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8"/>
        </w:rPr>
        <w:t>[Company Name] Contract Pack</w:t>
      </w:r>
    </w:p>
    <w:p>
      <w:pPr>
        <w:jc w:val="right"/>
      </w:pPr>
      <w:r>
        <w:rPr>
          <w:color w:val="505050"/>
          <w:sz w:val="20"/>
        </w:rPr>
        <w:t>Version: 0.1  |  Date: Feb 18, 2026</w:t>
      </w:r>
    </w:p>
    <w:p>
      <w:r>
        <w:rPr>
          <w:color w:val="505050"/>
          <w:sz w:val="24"/>
        </w:rPr>
        <w:t>MSA Template + Order Form + SLA Exhibit + SOW Template (SS NII Mobile X-ray Inspection Vans)</w:t>
      </w:r>
    </w:p>
    <w:p/>
    <w:p>
      <w:r>
        <w:rPr>
          <w:i/>
          <w:color w:val="5A5A5A"/>
          <w:sz w:val="18"/>
        </w:rPr>
        <w:t>Template for commercial discussion only. Not legal advice. Consult qualified counsel and local regulators before use.</w:t>
      </w:r>
    </w:p>
    <w:p/>
    <w:p>
      <w:pPr>
        <w:pStyle w:val="Heading2"/>
      </w:pPr>
      <w:r>
        <w:t>Document structure</w:t>
      </w:r>
    </w:p>
    <w:p>
      <w:pPr>
        <w:pStyle w:val="ListBullet"/>
      </w:pPr>
      <w:r>
        <w:t>Section 1: Master Services Agreement (MSA) Template</w:t>
      </w:r>
    </w:p>
    <w:p>
      <w:pPr>
        <w:pStyle w:val="ListBullet"/>
      </w:pPr>
      <w:r>
        <w:t>Section 2: Order Form Template</w:t>
      </w:r>
    </w:p>
    <w:p>
      <w:pPr>
        <w:pStyle w:val="ListBullet"/>
      </w:pPr>
      <w:r>
        <w:t>Section 3: Service Level Agreement (SLA) Exhibit Template</w:t>
      </w:r>
    </w:p>
    <w:p>
      <w:pPr>
        <w:pStyle w:val="ListBullet"/>
      </w:pPr>
      <w:r>
        <w:t>Section 4: Statement of Work (SOW) Template</w:t>
      </w:r>
    </w:p>
    <w:p>
      <w:r>
        <w:br w:type="page"/>
      </w:r>
    </w:p>
    <w:p>
      <w:pPr>
        <w:pStyle w:val="Heading1"/>
      </w:pPr>
      <w:r>
        <w:t>Section 1 - Master Services Agreement (MSA) Template</w:t>
      </w:r>
    </w:p>
    <w:p>
      <w:r>
        <w:t>This Master Services Agreement ("Agreement") is entered into as of [Effective Date] ("Effective Date") by and between [Customer Legal Name], with offices at [Customer Address] ("Customer"), and [Company Legal Name], with offices at [Company Address] ("Provider"). Customer and Provider may be referred to individually as a "Party" and collectively as the "Parties".</w:t>
      </w:r>
    </w:p>
    <w:p>
      <w:pPr>
        <w:pStyle w:val="Heading3"/>
      </w:pPr>
      <w:r>
        <w:t>1. Definitions</w:t>
      </w:r>
    </w:p>
    <w:tbl>
      <w:tblPr>
        <w:tblStyle w:val="TableGrid"/>
        <w:tblW w:type="auto" w:w="0"/>
        <w:jc w:val="left"/>
        <w:tblLook w:firstColumn="1" w:firstRow="1" w:lastColumn="0" w:lastRow="0" w:noHBand="0" w:noVBand="1" w:val="04A0"/>
      </w:tblPr>
      <w:tblGrid>
        <w:gridCol w:w="4680"/>
        <w:gridCol w:w="4680"/>
      </w:tblGrid>
      <w:tr>
        <w:tc>
          <w:tcPr>
            <w:tcW w:type="dxa" w:w="2592"/>
            <w:vAlign w:val="center"/>
            <w:shd w:val="clear" w:color="auto" w:fill="D9E1F2"/>
          </w:tcPr>
          <w:p>
            <w:r>
              <w:rPr>
                <w:b/>
                <w:sz w:val="20"/>
              </w:rPr>
              <w:t>Term</w:t>
            </w:r>
          </w:p>
        </w:tc>
        <w:tc>
          <w:tcPr>
            <w:tcW w:type="dxa" w:w="7488"/>
            <w:vAlign w:val="center"/>
            <w:shd w:val="clear" w:color="auto" w:fill="D9E1F2"/>
          </w:tcPr>
          <w:p>
            <w:r>
              <w:rPr>
                <w:b/>
                <w:sz w:val="20"/>
              </w:rPr>
              <w:t>Meaning</w:t>
            </w:r>
          </w:p>
        </w:tc>
      </w:tr>
      <w:tr>
        <w:tc>
          <w:tcPr>
            <w:tcW w:type="dxa" w:w="2592"/>
            <w:vAlign w:val="top"/>
          </w:tcPr>
          <w:p>
            <w:r>
              <w:rPr>
                <w:sz w:val="20"/>
              </w:rPr>
              <w:t>"Services"</w:t>
            </w:r>
          </w:p>
        </w:tc>
        <w:tc>
          <w:tcPr>
            <w:tcW w:type="dxa" w:w="7488"/>
            <w:vAlign w:val="top"/>
          </w:tcPr>
          <w:p>
            <w:r>
              <w:rPr>
                <w:sz w:val="20"/>
              </w:rPr>
              <w:t>The services described in one or more Statements of Work (SOWs) and/or Order Forms executed under this Agreement.</w:t>
            </w:r>
          </w:p>
        </w:tc>
      </w:tr>
      <w:tr>
        <w:tc>
          <w:tcPr>
            <w:tcW w:type="dxa" w:w="2592"/>
            <w:vAlign w:val="top"/>
          </w:tcPr>
          <w:p>
            <w:r>
              <w:rPr>
                <w:sz w:val="20"/>
              </w:rPr>
              <w:t>"Deliverables"</w:t>
            </w:r>
          </w:p>
        </w:tc>
        <w:tc>
          <w:tcPr>
            <w:tcW w:type="dxa" w:w="7488"/>
            <w:vAlign w:val="top"/>
          </w:tcPr>
          <w:p>
            <w:r>
              <w:rPr>
                <w:sz w:val="20"/>
              </w:rPr>
              <w:t>Any work product specifically identified as a deliverable in an SOW, including reports, checklists, and documentation packages.</w:t>
            </w:r>
          </w:p>
        </w:tc>
      </w:tr>
      <w:tr>
        <w:tc>
          <w:tcPr>
            <w:tcW w:type="dxa" w:w="2592"/>
            <w:vAlign w:val="top"/>
          </w:tcPr>
          <w:p>
            <w:r>
              <w:rPr>
                <w:sz w:val="20"/>
              </w:rPr>
              <w:t>"SLA"</w:t>
            </w:r>
          </w:p>
        </w:tc>
        <w:tc>
          <w:tcPr>
            <w:tcW w:type="dxa" w:w="7488"/>
            <w:vAlign w:val="top"/>
          </w:tcPr>
          <w:p>
            <w:r>
              <w:rPr>
                <w:sz w:val="20"/>
              </w:rPr>
              <w:t>The Service Level Agreement exhibit (if selected in an Order Form) describing support targets and service credits.</w:t>
            </w:r>
          </w:p>
        </w:tc>
      </w:tr>
      <w:tr>
        <w:tc>
          <w:tcPr>
            <w:tcW w:type="dxa" w:w="2592"/>
            <w:vAlign w:val="top"/>
          </w:tcPr>
          <w:p>
            <w:r>
              <w:rPr>
                <w:sz w:val="20"/>
              </w:rPr>
              <w:t>"SS NII Van"</w:t>
            </w:r>
          </w:p>
        </w:tc>
        <w:tc>
          <w:tcPr>
            <w:tcW w:type="dxa" w:w="7488"/>
            <w:vAlign w:val="top"/>
          </w:tcPr>
          <w:p>
            <w:r>
              <w:rPr>
                <w:sz w:val="20"/>
              </w:rPr>
              <w:t>A small-scale non-intrusive inspection (NII) mobile X-ray inspection van and associated subsystems.</w:t>
            </w:r>
          </w:p>
        </w:tc>
      </w:tr>
      <w:tr>
        <w:tc>
          <w:tcPr>
            <w:tcW w:type="dxa" w:w="2592"/>
            <w:vAlign w:val="top"/>
          </w:tcPr>
          <w:p>
            <w:r>
              <w:rPr>
                <w:sz w:val="20"/>
              </w:rPr>
              <w:t>"Confidential Information"</w:t>
            </w:r>
          </w:p>
        </w:tc>
        <w:tc>
          <w:tcPr>
            <w:tcW w:type="dxa" w:w="7488"/>
            <w:vAlign w:val="top"/>
          </w:tcPr>
          <w:p>
            <w:r>
              <w:rPr>
                <w:sz w:val="20"/>
              </w:rPr>
              <w:t>Non-public information disclosed by a Party that is identified as confidential or should reasonably be understood to be confidential.</w:t>
            </w:r>
          </w:p>
        </w:tc>
      </w:tr>
    </w:tbl>
    <w:p/>
    <w:p>
      <w:pPr>
        <w:pStyle w:val="Heading3"/>
      </w:pPr>
      <w:r>
        <w:t>2. Scope and ordering</w:t>
      </w:r>
    </w:p>
    <w:p>
      <w:r>
        <w:t>2.1 Ordering documents. The Parties may enter into one or more Order Forms and/or SOWs under this Agreement. Each Order Form or SOW will describe the Services, fees, schedule, and any special terms. In the event of a conflict, the following order of precedence applies: (a) Order Form, (b) SOW, (c) SLA Exhibit (if applicable), (d) this Agreement.</w:t>
      </w:r>
    </w:p>
    <w:p>
      <w:r>
        <w:t>2.2 Changes. Any change to scope, schedule, or fees must be documented in a written change order or amended SOW signed by both Parties.</w:t>
      </w:r>
    </w:p>
    <w:p>
      <w:pPr>
        <w:pStyle w:val="Heading3"/>
      </w:pPr>
      <w:r>
        <w:t>3. Fees, invoicing, and taxes</w:t>
      </w:r>
    </w:p>
    <w:p>
      <w:r>
        <w:t>3.1 Fees. Customer will pay the fees set forth in the applicable Order Form/SOW. Unless otherwise stated, fees are exclusive of taxes, duties, customs charges, and similar government assessments.</w:t>
      </w:r>
    </w:p>
    <w:p>
      <w:r>
        <w:t>3.2 Expenses. Reasonable travel and out-of-pocket expenses (e.g., airfare, lodging, per diem, shipping) are billable at cost unless included in a fixed fee or SLA tier.</w:t>
      </w:r>
    </w:p>
    <w:p>
      <w:r>
        <w:t>3.3 Payment terms. Invoices are due net [30] days from invoice date unless otherwise stated in the Order Form.</w:t>
      </w:r>
    </w:p>
    <w:p>
      <w:r>
        <w:t>3.4 Late payments. Past-due amounts may accrue interest at the lesser of 1.5% per month or the maximum allowed by law.</w:t>
      </w:r>
    </w:p>
    <w:p>
      <w:pPr>
        <w:pStyle w:val="Heading3"/>
      </w:pPr>
      <w:r>
        <w:t>4. Term and termination</w:t>
      </w:r>
    </w:p>
    <w:p>
      <w:r>
        <w:t>4.1 Term. This Agreement starts on the Effective Date and continues until terminated as provided herein.</w:t>
      </w:r>
    </w:p>
    <w:p>
      <w:r>
        <w:t>4.2 Termination for convenience. Either Party may terminate this Agreement or an individual SOW with [30] days' written notice, subject to payment for Services performed and non-cancellable commitments.</w:t>
      </w:r>
    </w:p>
    <w:p>
      <w:r>
        <w:t>4.3 Termination for cause. Either Party may terminate if the other Party materially breaches and fails to cure within [30] days after written notice.</w:t>
      </w:r>
    </w:p>
    <w:p>
      <w:r>
        <w:t>4.4 Effect of termination. Upon termination, Customer will pay all undisputed amounts due for Services performed through the termination date. Sections intended to survive will survive termination.</w:t>
      </w:r>
    </w:p>
    <w:p>
      <w:pPr>
        <w:pStyle w:val="Heading3"/>
      </w:pPr>
      <w:r>
        <w:t>5. Customer responsibilities and site readiness</w:t>
      </w:r>
    </w:p>
    <w:p>
      <w:r>
        <w:t>5.1 Site access. Customer will provide timely access to sites, assets, and knowledgeable personnel as reasonably required to perform the Services.</w:t>
      </w:r>
    </w:p>
    <w:p>
      <w:r>
        <w:t>5.2 Utilities and environment. Customer is responsible for ensuring that the operating environment (power quality, physical space, traffic control, and network connectivity) meets requirements specified by the OEM and/or agreed in the SOW.</w:t>
      </w:r>
    </w:p>
    <w:p>
      <w:r>
        <w:t>5.3 Safety and permits. Customer is responsible for obtaining any required permits, escorts, and approvals for site entry and operation, unless otherwise stated in the SOW.</w:t>
      </w:r>
    </w:p>
    <w:p>
      <w:pPr>
        <w:pStyle w:val="Heading3"/>
      </w:pPr>
      <w:r>
        <w:t>6. Radiation and safety compliance (X-ray devices)</w:t>
      </w:r>
    </w:p>
    <w:p>
      <w:r>
        <w:t>6.1 General. The Parties acknowledge that SS NII vans use ionizing radiation (X-rays). Provider will follow documented safety procedures and ALARA principles during commissioning and service activities.</w:t>
      </w:r>
    </w:p>
    <w:p>
      <w:r>
        <w:t>6.2 Regulatory compliance. Customer remains responsible for facility/operational licensing, registrations, and ongoing regulatory compliance for the operation of X-ray equipment, unless the SOW explicitly assigns certain administrative tasks to Provider.</w:t>
      </w:r>
    </w:p>
    <w:p>
      <w:r>
        <w:t>6.3 Controlled area. Customer will provide or approve the controlled-area layout, signage, barriers, and traffic control measures required for safe operation.</w:t>
      </w:r>
    </w:p>
    <w:p>
      <w:r>
        <w:t>6.4 Incident reporting. Each Party will promptly notify the other of any safety incident or suspected overexposure related to the Services and will cooperate in any investigation.</w:t>
      </w:r>
    </w:p>
    <w:p>
      <w:pPr>
        <w:pStyle w:val="Heading3"/>
      </w:pPr>
      <w:r>
        <w:t>7. Acceptance</w:t>
      </w:r>
    </w:p>
    <w:p>
      <w:r>
        <w:t>7.1 Acceptance criteria. Deliverables will be deemed accepted upon completion of the acceptance criteria stated in the applicable SOW, or if none, upon delivery and Customer's failure to reject in writing within [10] business days with specific reasons.</w:t>
      </w:r>
    </w:p>
    <w:p>
      <w:r>
        <w:t>7.2 Rework. If Customer timely rejects a Deliverable for material nonconformance, Provider will use commercially reasonable efforts to correct and re-submit.</w:t>
      </w:r>
    </w:p>
    <w:p>
      <w:pPr>
        <w:pStyle w:val="Heading3"/>
      </w:pPr>
      <w:r>
        <w:t>8. Confidentiality</w:t>
      </w:r>
    </w:p>
    <w:p>
      <w:r>
        <w:t>8.1 Protection. Each Party will protect the other Party's Confidential Information using at least the same degree of care it uses to protect its own confidential information, and no less than reasonable care.</w:t>
      </w:r>
    </w:p>
    <w:p>
      <w:r>
        <w:t>8.2 Permitted use. Confidential Information may be used solely to perform or receive Services under this Agreement.</w:t>
      </w:r>
    </w:p>
    <w:p>
      <w:r>
        <w:t>8.3 Exclusions. Confidential Information does not include information that is publicly available, independently developed without use of Confidential Information, or rightfully received from a third party without restriction.</w:t>
      </w:r>
    </w:p>
    <w:p>
      <w:pPr>
        <w:pStyle w:val="Heading3"/>
      </w:pPr>
      <w:r>
        <w:t>9. Intellectual property</w:t>
      </w:r>
    </w:p>
    <w:p>
      <w:r>
        <w:t>9.1 Background IP. Each Party retains ownership of its pre-existing intellectual property and materials.</w:t>
      </w:r>
    </w:p>
    <w:p>
      <w:r>
        <w:t>9.2 Deliverables. Unless otherwise stated in the SOW, Customer receives a non-exclusive, perpetual license to use Deliverables internally for operating and maintaining the SS NII vans covered by the Services. Provider retains ownership of underlying methods, know-how, templates, and tools.</w:t>
      </w:r>
    </w:p>
    <w:p>
      <w:pPr>
        <w:pStyle w:val="Heading3"/>
      </w:pPr>
      <w:r>
        <w:t>10. Warranties and disclaimers</w:t>
      </w:r>
    </w:p>
    <w:p>
      <w:r>
        <w:t>10.1 Services warranty. Provider warrants that Services will be performed in a professional and workmanlike manner.</w:t>
      </w:r>
    </w:p>
    <w:p>
      <w:r>
        <w:t>10.2 Disclaimer. Except as expressly stated, Provider disclaims all other warranties, including implied warranties of merchantability, fitness for a particular purpose, and non-infringement.</w:t>
      </w:r>
    </w:p>
    <w:p>
      <w:pPr>
        <w:pStyle w:val="Heading3"/>
      </w:pPr>
      <w:r>
        <w:t>11. Limitation of liability</w:t>
      </w:r>
    </w:p>
    <w:p>
      <w:r>
        <w:t>11.1 Exclusion of damages. To the maximum extent permitted by law, neither Party will be liable for indirect, incidental, special, consequential, or punitive damages, including loss of profits or revenue, even if advised of the possibility.</w:t>
      </w:r>
    </w:p>
    <w:p>
      <w:r>
        <w:t>11.2 Liability cap. Each Party's aggregate liability arising out of this Agreement will not exceed the fees paid or payable under the applicable SOW/Order Form giving rise to the claim during the [12]-month period preceding the event.</w:t>
      </w:r>
    </w:p>
    <w:p>
      <w:r>
        <w:t>11.3 Exceptions. The liability cap will not apply to: (a) breach of confidentiality, (b) infringement, or (c) willful misconduct or gross negligence, to the extent not prohibited by law.</w:t>
      </w:r>
    </w:p>
    <w:p>
      <w:pPr>
        <w:pStyle w:val="Heading3"/>
      </w:pPr>
      <w:r>
        <w:t>12. Insurance</w:t>
      </w:r>
    </w:p>
    <w:p>
      <w:r>
        <w:t>Provider will maintain insurance consistent with the Insurance Requirements Summary provided to Customer, or as otherwise stated in an Order Form or SOW.</w:t>
      </w:r>
    </w:p>
    <w:p>
      <w:pPr>
        <w:pStyle w:val="Heading3"/>
      </w:pPr>
      <w:r>
        <w:t>13. Compliance (anti-corruption, export, sanctions)</w:t>
      </w:r>
    </w:p>
    <w:p>
      <w:r>
        <w:t>13.1 Anti-corruption. Each Party will comply with applicable anti-corruption laws and will not offer or accept improper payments.</w:t>
      </w:r>
    </w:p>
    <w:p>
      <w:r>
        <w:t>13.2 Export and sanctions. Customer will not request, and Provider will not provide, Services in violation of applicable export controls or sanctions laws.</w:t>
      </w:r>
    </w:p>
    <w:p>
      <w:pPr>
        <w:pStyle w:val="Heading3"/>
      </w:pPr>
      <w:r>
        <w:t>14. Dispute resolution and governing law</w:t>
      </w:r>
    </w:p>
    <w:p>
      <w:r>
        <w:t>Governing law: [State/Country]. Venue: [City]. Dispute escalation: business negotiation, then mediation/arbitration or courts as selected in the Order Form.</w:t>
      </w:r>
    </w:p>
    <w:p>
      <w:pPr>
        <w:pStyle w:val="Heading3"/>
      </w:pPr>
      <w:r>
        <w:t>15. Miscellaneous</w:t>
      </w:r>
    </w:p>
    <w:p>
      <w:r>
        <w:t>15.1 Independent contractors. The Parties are independent contractors. Neither Party may bind the other.</w:t>
      </w:r>
    </w:p>
    <w:p>
      <w:r>
        <w:t>15.2 Force majeure. Neither Party is liable for delays due to events beyond reasonable control (e.g., natural disasters, war, pandemics, government actions, supply chain disruptions).</w:t>
      </w:r>
    </w:p>
    <w:p>
      <w:r>
        <w:t>15.3 Assignment. Neither Party may assign this Agreement without the other Party's written consent, except to an affiliate or in connection with a merger or sale of substantially all assets.</w:t>
      </w:r>
    </w:p>
    <w:p>
      <w:r>
        <w:t>15.4 Entire agreement. This Agreement, together with executed Order Forms and SOWs, is the complete agreement between the Parties regarding its subject matter.</w:t>
      </w:r>
    </w:p>
    <w:p/>
    <w:p>
      <w:pPr>
        <w:pStyle w:val="Heading2"/>
      </w:pPr>
      <w:r>
        <w:t>Signatures</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D9E1F2"/>
          </w:tcPr>
          <w:p>
            <w:r>
              <w:rPr>
                <w:b/>
              </w:rPr>
              <w:t>Customer</w:t>
            </w:r>
          </w:p>
        </w:tc>
        <w:tc>
          <w:tcPr>
            <w:tcW w:type="dxa" w:w="4680"/>
            <w:shd w:val="clear" w:color="auto" w:fill="D9E1F2"/>
          </w:tcPr>
          <w:p>
            <w:r>
              <w:rPr>
                <w:b/>
              </w:rPr>
              <w:t>Provider</w:t>
            </w:r>
          </w:p>
        </w:tc>
      </w:tr>
      <w:tr>
        <w:tc>
          <w:tcPr>
            <w:tcW w:type="dxa" w:w="4680"/>
          </w:tcPr>
          <w:p>
            <w:r>
              <w:rPr>
                <w:sz w:val="20"/>
              </w:rPr>
              <w:t>By: ______________________</w:t>
              <w:br/>
              <w:t>Name: ____________________</w:t>
              <w:br/>
              <w:t>Title: _____________________</w:t>
              <w:br/>
              <w:t>Date: _____________________</w:t>
            </w:r>
          </w:p>
        </w:tc>
        <w:tc>
          <w:tcPr>
            <w:tcW w:type="dxa" w:w="4680"/>
          </w:tcPr>
          <w:p>
            <w:r>
              <w:rPr>
                <w:sz w:val="20"/>
              </w:rPr>
              <w:t>By: ______________________</w:t>
              <w:br/>
              <w:t>Name: ____________________</w:t>
              <w:br/>
              <w:t>Title: _____________________</w:t>
              <w:br/>
              <w:t>Date: _____________________</w:t>
            </w:r>
          </w:p>
        </w:tc>
      </w:tr>
      <w:tr>
        <w:tc>
          <w:tcPr>
            <w:tcW w:type="dxa" w:w="4680"/>
          </w:tcPr>
          <w:p>
            <w:r>
              <w:rPr>
                <w:sz w:val="20"/>
              </w:rPr>
              <w:t>Address: [Customer Address]</w:t>
            </w:r>
          </w:p>
        </w:tc>
        <w:tc>
          <w:tcPr>
            <w:tcW w:type="dxa" w:w="4680"/>
          </w:tcPr>
          <w:p>
            <w:r>
              <w:rPr>
                <w:sz w:val="20"/>
              </w:rPr>
              <w:t>Address: [Company Address]</w:t>
            </w:r>
          </w:p>
        </w:tc>
      </w:tr>
    </w:tbl>
    <w:p>
      <w:r>
        <w:br w:type="page"/>
      </w:r>
    </w:p>
    <w:p>
      <w:pPr>
        <w:pStyle w:val="Heading1"/>
      </w:pPr>
      <w:r>
        <w:t>Section 2 - Order Form Template</w:t>
      </w:r>
    </w:p>
    <w:p>
      <w:r>
        <w:t>This Order Form is issued under the MSA between the Parties. All capitalized terms have the meanings set forth in the MSA.</w:t>
      </w:r>
    </w:p>
    <w:tbl>
      <w:tblPr>
        <w:tblStyle w:val="TableGrid"/>
        <w:tblW w:type="auto" w:w="0"/>
        <w:jc w:val="left"/>
        <w:tblLook w:firstColumn="1" w:firstRow="1" w:lastColumn="0" w:lastRow="0" w:noHBand="0" w:noVBand="1" w:val="04A0"/>
      </w:tblPr>
      <w:tblGrid>
        <w:gridCol w:w="4680"/>
        <w:gridCol w:w="4680"/>
      </w:tblGrid>
      <w:tr>
        <w:tc>
          <w:tcPr>
            <w:tcW w:type="dxa" w:w="3168"/>
            <w:vAlign w:val="center"/>
            <w:shd w:val="clear" w:color="auto" w:fill="D9E1F2"/>
          </w:tcPr>
          <w:p>
            <w:r>
              <w:rPr>
                <w:b/>
                <w:sz w:val="20"/>
              </w:rPr>
              <w:t>Field</w:t>
            </w:r>
          </w:p>
        </w:tc>
        <w:tc>
          <w:tcPr>
            <w:tcW w:type="dxa" w:w="6912"/>
            <w:vAlign w:val="center"/>
            <w:shd w:val="clear" w:color="auto" w:fill="D9E1F2"/>
          </w:tcPr>
          <w:p>
            <w:r>
              <w:rPr>
                <w:b/>
                <w:sz w:val="20"/>
              </w:rPr>
              <w:t>Value</w:t>
            </w:r>
          </w:p>
        </w:tc>
      </w:tr>
      <w:tr>
        <w:tc>
          <w:tcPr>
            <w:tcW w:type="dxa" w:w="3168"/>
            <w:vAlign w:val="top"/>
          </w:tcPr>
          <w:p>
            <w:r>
              <w:rPr>
                <w:sz w:val="20"/>
              </w:rPr>
              <w:t>Order Form No.</w:t>
            </w:r>
          </w:p>
        </w:tc>
        <w:tc>
          <w:tcPr>
            <w:tcW w:type="dxa" w:w="6912"/>
            <w:vAlign w:val="top"/>
          </w:tcPr>
          <w:p>
            <w:r>
              <w:rPr>
                <w:sz w:val="20"/>
              </w:rPr>
              <w:t>[OF-###]</w:t>
            </w:r>
          </w:p>
        </w:tc>
      </w:tr>
      <w:tr>
        <w:tc>
          <w:tcPr>
            <w:tcW w:type="dxa" w:w="3168"/>
            <w:vAlign w:val="top"/>
          </w:tcPr>
          <w:p>
            <w:r>
              <w:rPr>
                <w:sz w:val="20"/>
              </w:rPr>
              <w:t>Customer Legal Name</w:t>
            </w:r>
          </w:p>
        </w:tc>
        <w:tc>
          <w:tcPr>
            <w:tcW w:type="dxa" w:w="6912"/>
            <w:vAlign w:val="top"/>
          </w:tcPr>
          <w:p>
            <w:r>
              <w:rPr>
                <w:sz w:val="20"/>
              </w:rPr>
              <w:t>[Customer Legal Name]</w:t>
            </w:r>
          </w:p>
        </w:tc>
      </w:tr>
      <w:tr>
        <w:tc>
          <w:tcPr>
            <w:tcW w:type="dxa" w:w="3168"/>
            <w:vAlign w:val="top"/>
          </w:tcPr>
          <w:p>
            <w:r>
              <w:rPr>
                <w:sz w:val="20"/>
              </w:rPr>
              <w:t>Provider Legal Name</w:t>
            </w:r>
          </w:p>
        </w:tc>
        <w:tc>
          <w:tcPr>
            <w:tcW w:type="dxa" w:w="6912"/>
            <w:vAlign w:val="top"/>
          </w:tcPr>
          <w:p>
            <w:r>
              <w:rPr>
                <w:sz w:val="20"/>
              </w:rPr>
              <w:t>[Company Legal Name]</w:t>
            </w:r>
          </w:p>
        </w:tc>
      </w:tr>
      <w:tr>
        <w:tc>
          <w:tcPr>
            <w:tcW w:type="dxa" w:w="3168"/>
            <w:vAlign w:val="top"/>
          </w:tcPr>
          <w:p>
            <w:r>
              <w:rPr>
                <w:sz w:val="20"/>
              </w:rPr>
              <w:t>Service Location(s)</w:t>
            </w:r>
          </w:p>
        </w:tc>
        <w:tc>
          <w:tcPr>
            <w:tcW w:type="dxa" w:w="6912"/>
            <w:vAlign w:val="top"/>
          </w:tcPr>
          <w:p>
            <w:r>
              <w:rPr>
                <w:sz w:val="20"/>
              </w:rPr>
              <w:t>[Site(s) / City, Country]</w:t>
            </w:r>
          </w:p>
        </w:tc>
      </w:tr>
      <w:tr>
        <w:tc>
          <w:tcPr>
            <w:tcW w:type="dxa" w:w="3168"/>
            <w:vAlign w:val="top"/>
          </w:tcPr>
          <w:p>
            <w:r>
              <w:rPr>
                <w:sz w:val="20"/>
              </w:rPr>
              <w:t>Number of SS NII vans covered</w:t>
            </w:r>
          </w:p>
        </w:tc>
        <w:tc>
          <w:tcPr>
            <w:tcW w:type="dxa" w:w="6912"/>
            <w:vAlign w:val="top"/>
          </w:tcPr>
          <w:p>
            <w:r>
              <w:rPr>
                <w:sz w:val="20"/>
              </w:rPr>
              <w:t>[#]</w:t>
            </w:r>
          </w:p>
        </w:tc>
      </w:tr>
      <w:tr>
        <w:tc>
          <w:tcPr>
            <w:tcW w:type="dxa" w:w="3168"/>
            <w:vAlign w:val="top"/>
          </w:tcPr>
          <w:p>
            <w:r>
              <w:rPr>
                <w:sz w:val="20"/>
              </w:rPr>
              <w:t>SLA Tier</w:t>
            </w:r>
          </w:p>
        </w:tc>
        <w:tc>
          <w:tcPr>
            <w:tcW w:type="dxa" w:w="6912"/>
            <w:vAlign w:val="top"/>
          </w:tcPr>
          <w:p>
            <w:r>
              <w:rPr>
                <w:sz w:val="20"/>
              </w:rPr>
              <w:t>[Bronze / Silver / Gold / Platinum / None]</w:t>
            </w:r>
          </w:p>
        </w:tc>
      </w:tr>
      <w:tr>
        <w:tc>
          <w:tcPr>
            <w:tcW w:type="dxa" w:w="3168"/>
            <w:vAlign w:val="top"/>
          </w:tcPr>
          <w:p>
            <w:r>
              <w:rPr>
                <w:sz w:val="20"/>
              </w:rPr>
              <w:t>Service Term</w:t>
            </w:r>
          </w:p>
        </w:tc>
        <w:tc>
          <w:tcPr>
            <w:tcW w:type="dxa" w:w="6912"/>
            <w:vAlign w:val="top"/>
          </w:tcPr>
          <w:p>
            <w:r>
              <w:rPr>
                <w:sz w:val="20"/>
              </w:rPr>
              <w:t>[Start Date] to [End Date]</w:t>
            </w:r>
          </w:p>
        </w:tc>
      </w:tr>
      <w:tr>
        <w:tc>
          <w:tcPr>
            <w:tcW w:type="dxa" w:w="3168"/>
            <w:vAlign w:val="top"/>
          </w:tcPr>
          <w:p>
            <w:r>
              <w:rPr>
                <w:sz w:val="20"/>
              </w:rPr>
              <w:t>Included PM visits</w:t>
            </w:r>
          </w:p>
        </w:tc>
        <w:tc>
          <w:tcPr>
            <w:tcW w:type="dxa" w:w="6912"/>
            <w:vAlign w:val="top"/>
          </w:tcPr>
          <w:p>
            <w:r>
              <w:rPr>
                <w:sz w:val="20"/>
              </w:rPr>
              <w:t>[e.g., 2 per year per van]</w:t>
            </w:r>
          </w:p>
        </w:tc>
      </w:tr>
      <w:tr>
        <w:tc>
          <w:tcPr>
            <w:tcW w:type="dxa" w:w="3168"/>
            <w:vAlign w:val="top"/>
          </w:tcPr>
          <w:p>
            <w:r>
              <w:rPr>
                <w:sz w:val="20"/>
              </w:rPr>
              <w:t>Monthly support fee</w:t>
            </w:r>
          </w:p>
        </w:tc>
        <w:tc>
          <w:tcPr>
            <w:tcW w:type="dxa" w:w="6912"/>
            <w:vAlign w:val="top"/>
          </w:tcPr>
          <w:p>
            <w:r>
              <w:rPr>
                <w:sz w:val="20"/>
              </w:rPr>
              <w:t>[$____ / month]</w:t>
            </w:r>
          </w:p>
        </w:tc>
      </w:tr>
      <w:tr>
        <w:tc>
          <w:tcPr>
            <w:tcW w:type="dxa" w:w="3168"/>
            <w:vAlign w:val="top"/>
          </w:tcPr>
          <w:p>
            <w:r>
              <w:rPr>
                <w:sz w:val="20"/>
              </w:rPr>
              <w:t>Additional T&amp;M rates</w:t>
            </w:r>
          </w:p>
        </w:tc>
        <w:tc>
          <w:tcPr>
            <w:tcW w:type="dxa" w:w="6912"/>
            <w:vAlign w:val="top"/>
          </w:tcPr>
          <w:p>
            <w:r>
              <w:rPr>
                <w:sz w:val="20"/>
              </w:rPr>
              <w:t>Per Pricing Sheet or SOW</w:t>
            </w:r>
          </w:p>
        </w:tc>
      </w:tr>
      <w:tr>
        <w:tc>
          <w:tcPr>
            <w:tcW w:type="dxa" w:w="3168"/>
            <w:vAlign w:val="top"/>
          </w:tcPr>
          <w:p>
            <w:r>
              <w:rPr>
                <w:sz w:val="20"/>
              </w:rPr>
              <w:t>Billing frequency</w:t>
            </w:r>
          </w:p>
        </w:tc>
        <w:tc>
          <w:tcPr>
            <w:tcW w:type="dxa" w:w="6912"/>
            <w:vAlign w:val="top"/>
          </w:tcPr>
          <w:p>
            <w:r>
              <w:rPr>
                <w:sz w:val="20"/>
              </w:rPr>
              <w:t>[Monthly / Quarterly]</w:t>
            </w:r>
          </w:p>
        </w:tc>
      </w:tr>
      <w:tr>
        <w:tc>
          <w:tcPr>
            <w:tcW w:type="dxa" w:w="3168"/>
            <w:vAlign w:val="top"/>
          </w:tcPr>
          <w:p>
            <w:r>
              <w:rPr>
                <w:sz w:val="20"/>
              </w:rPr>
              <w:t>Primary customer POC</w:t>
            </w:r>
          </w:p>
        </w:tc>
        <w:tc>
          <w:tcPr>
            <w:tcW w:type="dxa" w:w="6912"/>
            <w:vAlign w:val="top"/>
          </w:tcPr>
          <w:p>
            <w:r>
              <w:rPr>
                <w:sz w:val="20"/>
              </w:rPr>
              <w:t>[Name, email, phone]</w:t>
            </w:r>
          </w:p>
        </w:tc>
      </w:tr>
      <w:tr>
        <w:tc>
          <w:tcPr>
            <w:tcW w:type="dxa" w:w="3168"/>
            <w:vAlign w:val="top"/>
          </w:tcPr>
          <w:p>
            <w:r>
              <w:rPr>
                <w:sz w:val="20"/>
              </w:rPr>
              <w:t>Primary provider POC</w:t>
            </w:r>
          </w:p>
        </w:tc>
        <w:tc>
          <w:tcPr>
            <w:tcW w:type="dxa" w:w="6912"/>
            <w:vAlign w:val="top"/>
          </w:tcPr>
          <w:p>
            <w:r>
              <w:rPr>
                <w:sz w:val="20"/>
              </w:rPr>
              <w:t>[Name, email, phone]</w:t>
            </w:r>
          </w:p>
        </w:tc>
      </w:tr>
      <w:tr>
        <w:tc>
          <w:tcPr>
            <w:tcW w:type="dxa" w:w="3168"/>
            <w:vAlign w:val="top"/>
          </w:tcPr>
          <w:p>
            <w:r>
              <w:rPr>
                <w:sz w:val="20"/>
              </w:rPr>
              <w:t>Special terms</w:t>
            </w:r>
          </w:p>
        </w:tc>
        <w:tc>
          <w:tcPr>
            <w:tcW w:type="dxa" w:w="6912"/>
            <w:vAlign w:val="top"/>
          </w:tcPr>
          <w:p>
            <w:r>
              <w:rPr>
                <w:sz w:val="20"/>
              </w:rPr>
              <w:t>[Optional]</w:t>
            </w:r>
          </w:p>
        </w:tc>
      </w:tr>
    </w:tbl>
    <w:p/>
    <w:p>
      <w:pPr>
        <w:pStyle w:val="Heading2"/>
      </w:pPr>
      <w:r>
        <w:t>Signatures</w:t>
      </w:r>
    </w:p>
    <w:tbl>
      <w:tblPr>
        <w:tblStyle w:val="TableGrid"/>
        <w:tblW w:type="auto" w:w="0"/>
        <w:tblLook w:firstColumn="1" w:firstRow="1" w:lastColumn="0" w:lastRow="0" w:noHBand="0" w:noVBand="1" w:val="04A0"/>
      </w:tblPr>
      <w:tblGrid>
        <w:gridCol w:w="4680"/>
        <w:gridCol w:w="4680"/>
      </w:tblGrid>
      <w:tr>
        <w:tc>
          <w:tcPr>
            <w:tcW w:type="dxa" w:w="4680"/>
            <w:shd w:val="clear" w:color="auto" w:fill="D9E1F2"/>
          </w:tcPr>
          <w:p>
            <w:r>
              <w:rPr>
                <w:b/>
              </w:rPr>
              <w:t>Customer (Authorized Signatory)</w:t>
            </w:r>
          </w:p>
        </w:tc>
        <w:tc>
          <w:tcPr>
            <w:tcW w:type="dxa" w:w="4680"/>
            <w:shd w:val="clear" w:color="auto" w:fill="D9E1F2"/>
          </w:tcPr>
          <w:p>
            <w:r>
              <w:rPr>
                <w:b/>
              </w:rPr>
              <w:t>Provider (Authorized Signatory)</w:t>
            </w:r>
          </w:p>
        </w:tc>
      </w:tr>
      <w:tr>
        <w:tc>
          <w:tcPr>
            <w:tcW w:type="dxa" w:w="4680"/>
          </w:tcPr>
          <w:p>
            <w:r>
              <w:t>By: ______________________</w:t>
              <w:br/>
              <w:t>Name/Title: _______________</w:t>
              <w:br/>
              <w:t>Date: _____________________</w:t>
            </w:r>
          </w:p>
        </w:tc>
        <w:tc>
          <w:tcPr>
            <w:tcW w:type="dxa" w:w="4680"/>
          </w:tcPr>
          <w:p>
            <w:r>
              <w:t>By: ______________________</w:t>
              <w:br/>
              <w:t>Name/Title: _______________</w:t>
              <w:br/>
              <w:t>Date: _____________________</w:t>
            </w:r>
          </w:p>
        </w:tc>
      </w:tr>
    </w:tbl>
    <w:p>
      <w:r>
        <w:br w:type="page"/>
      </w:r>
    </w:p>
    <w:p>
      <w:pPr>
        <w:pStyle w:val="Heading1"/>
      </w:pPr>
      <w:r>
        <w:t>Section 3 - SLA Exhibit Template</w:t>
      </w:r>
    </w:p>
    <w:p>
      <w:r>
        <w:t>This SLA Exhibit applies only if selected in an Order Form. It defines support coverage, response targets, and service credits for covered SS NII vans.</w:t>
      </w:r>
    </w:p>
    <w:p>
      <w:pPr>
        <w:pStyle w:val="Heading3"/>
      </w:pPr>
      <w:r>
        <w:t>1. Support scope</w:t>
      </w:r>
    </w:p>
    <w:p>
      <w:r>
        <w:t>1.1 Covered assets. Covered assets are those listed in the Asset Register and referenced by the Order Form or SOW.</w:t>
      </w:r>
    </w:p>
    <w:p>
      <w:r>
        <w:t>1.2 Support channels. Tickets may be submitted via [email/portal/phone]. Customer will provide a 24/7 escalation contact list.</w:t>
      </w:r>
    </w:p>
    <w:p>
      <w:r>
        <w:t>1.3 Service windows. Coverage hours are defined by the selected tier and local time zone stated in the Order Form.</w:t>
      </w:r>
    </w:p>
    <w:p>
      <w:pPr>
        <w:pStyle w:val="Heading3"/>
      </w:pPr>
      <w:r>
        <w:t>2. Severity levels</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shd w:val="clear" w:color="auto" w:fill="D9E1F2"/>
          </w:tcPr>
          <w:p>
            <w:r>
              <w:rPr>
                <w:b/>
                <w:sz w:val="20"/>
              </w:rPr>
              <w:t>Severity</w:t>
            </w:r>
          </w:p>
        </w:tc>
        <w:tc>
          <w:tcPr>
            <w:tcW w:type="dxa" w:w="5040"/>
            <w:vAlign w:val="center"/>
            <w:shd w:val="clear" w:color="auto" w:fill="D9E1F2"/>
          </w:tcPr>
          <w:p>
            <w:r>
              <w:rPr>
                <w:b/>
                <w:sz w:val="20"/>
              </w:rPr>
              <w:t>Definition</w:t>
            </w:r>
          </w:p>
        </w:tc>
        <w:tc>
          <w:tcPr>
            <w:tcW w:type="dxa" w:w="2880"/>
            <w:vAlign w:val="center"/>
            <w:shd w:val="clear" w:color="auto" w:fill="D9E1F2"/>
          </w:tcPr>
          <w:p>
            <w:r>
              <w:rPr>
                <w:b/>
                <w:sz w:val="20"/>
              </w:rPr>
              <w:t>Impact</w:t>
            </w:r>
          </w:p>
        </w:tc>
      </w:tr>
      <w:tr>
        <w:tc>
          <w:tcPr>
            <w:tcW w:type="dxa" w:w="2160"/>
            <w:vAlign w:val="top"/>
          </w:tcPr>
          <w:p>
            <w:r>
              <w:rPr>
                <w:sz w:val="20"/>
              </w:rPr>
              <w:t>Severity 1 (Critical)</w:t>
            </w:r>
          </w:p>
        </w:tc>
        <w:tc>
          <w:tcPr>
            <w:tcW w:type="dxa" w:w="5040"/>
            <w:vAlign w:val="top"/>
          </w:tcPr>
          <w:p>
            <w:r>
              <w:rPr>
                <w:sz w:val="20"/>
              </w:rPr>
              <w:t>System down; scanning unavailable; safety interlock failure; or regulatory stop-work.</w:t>
            </w:r>
          </w:p>
        </w:tc>
        <w:tc>
          <w:tcPr>
            <w:tcW w:type="dxa" w:w="2880"/>
            <w:vAlign w:val="top"/>
          </w:tcPr>
          <w:p>
            <w:r>
              <w:rPr>
                <w:sz w:val="20"/>
              </w:rPr>
              <w:t>Immediate operational impact.</w:t>
            </w:r>
          </w:p>
        </w:tc>
      </w:tr>
      <w:tr>
        <w:tc>
          <w:tcPr>
            <w:tcW w:type="dxa" w:w="2160"/>
            <w:vAlign w:val="top"/>
          </w:tcPr>
          <w:p>
            <w:r>
              <w:rPr>
                <w:sz w:val="20"/>
              </w:rPr>
              <w:t>Severity 2 (High)</w:t>
            </w:r>
          </w:p>
        </w:tc>
        <w:tc>
          <w:tcPr>
            <w:tcW w:type="dxa" w:w="5040"/>
            <w:vAlign w:val="top"/>
          </w:tcPr>
          <w:p>
            <w:r>
              <w:rPr>
                <w:sz w:val="20"/>
              </w:rPr>
              <w:t>Degraded scanning performance or repeated faults; workaround may exist.</w:t>
            </w:r>
          </w:p>
        </w:tc>
        <w:tc>
          <w:tcPr>
            <w:tcW w:type="dxa" w:w="2880"/>
            <w:vAlign w:val="top"/>
          </w:tcPr>
          <w:p>
            <w:r>
              <w:rPr>
                <w:sz w:val="20"/>
              </w:rPr>
              <w:t>Major impact.</w:t>
            </w:r>
          </w:p>
        </w:tc>
      </w:tr>
      <w:tr>
        <w:tc>
          <w:tcPr>
            <w:tcW w:type="dxa" w:w="2160"/>
            <w:vAlign w:val="top"/>
          </w:tcPr>
          <w:p>
            <w:r>
              <w:rPr>
                <w:sz w:val="20"/>
              </w:rPr>
              <w:t>Severity 3 (Medium)</w:t>
            </w:r>
          </w:p>
        </w:tc>
        <w:tc>
          <w:tcPr>
            <w:tcW w:type="dxa" w:w="5040"/>
            <w:vAlign w:val="top"/>
          </w:tcPr>
          <w:p>
            <w:r>
              <w:rPr>
                <w:sz w:val="20"/>
              </w:rPr>
              <w:t>Non-critical function impaired; administrative issues; minor faults.</w:t>
            </w:r>
          </w:p>
        </w:tc>
        <w:tc>
          <w:tcPr>
            <w:tcW w:type="dxa" w:w="2880"/>
            <w:vAlign w:val="top"/>
          </w:tcPr>
          <w:p>
            <w:r>
              <w:rPr>
                <w:sz w:val="20"/>
              </w:rPr>
              <w:t>Moderate impact.</w:t>
            </w:r>
          </w:p>
        </w:tc>
      </w:tr>
      <w:tr>
        <w:tc>
          <w:tcPr>
            <w:tcW w:type="dxa" w:w="2160"/>
            <w:vAlign w:val="top"/>
          </w:tcPr>
          <w:p>
            <w:r>
              <w:rPr>
                <w:sz w:val="20"/>
              </w:rPr>
              <w:t>Severity 4 (Low)</w:t>
            </w:r>
          </w:p>
        </w:tc>
        <w:tc>
          <w:tcPr>
            <w:tcW w:type="dxa" w:w="5040"/>
            <w:vAlign w:val="top"/>
          </w:tcPr>
          <w:p>
            <w:r>
              <w:rPr>
                <w:sz w:val="20"/>
              </w:rPr>
              <w:t>Questions, how-to, cosmetic, documentation requests.</w:t>
            </w:r>
          </w:p>
        </w:tc>
        <w:tc>
          <w:tcPr>
            <w:tcW w:type="dxa" w:w="2880"/>
            <w:vAlign w:val="top"/>
          </w:tcPr>
          <w:p>
            <w:r>
              <w:rPr>
                <w:sz w:val="20"/>
              </w:rPr>
              <w:t>Low impact.</w:t>
            </w:r>
          </w:p>
        </w:tc>
      </w:tr>
    </w:tbl>
    <w:p/>
    <w:p>
      <w:pPr>
        <w:pStyle w:val="Heading3"/>
      </w:pPr>
      <w:r>
        <w:t>3. Response and restoration targets</w:t>
      </w:r>
    </w:p>
    <w:p>
      <w:r>
        <w:t>Targets are measured from ticket submission (and severity assignment) during coverage hours.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728"/>
            <w:vAlign w:val="center"/>
            <w:shd w:val="clear" w:color="auto" w:fill="D9E1F2"/>
          </w:tcPr>
          <w:p>
            <w:r>
              <w:rPr>
                <w:b/>
                <w:sz w:val="20"/>
              </w:rPr>
              <w:t>Tier</w:t>
            </w:r>
          </w:p>
        </w:tc>
        <w:tc>
          <w:tcPr>
            <w:tcW w:type="dxa" w:w="2304"/>
            <w:vAlign w:val="center"/>
            <w:shd w:val="clear" w:color="auto" w:fill="D9E1F2"/>
          </w:tcPr>
          <w:p>
            <w:r>
              <w:rPr>
                <w:b/>
                <w:sz w:val="20"/>
              </w:rPr>
              <w:t>Remote response</w:t>
            </w:r>
          </w:p>
        </w:tc>
        <w:tc>
          <w:tcPr>
            <w:tcW w:type="dxa" w:w="2448"/>
            <w:vAlign w:val="center"/>
            <w:shd w:val="clear" w:color="auto" w:fill="D9E1F2"/>
          </w:tcPr>
          <w:p>
            <w:r>
              <w:rPr>
                <w:b/>
                <w:sz w:val="20"/>
              </w:rPr>
              <w:t>Remote restoration (target)</w:t>
            </w:r>
          </w:p>
        </w:tc>
        <w:tc>
          <w:tcPr>
            <w:tcW w:type="dxa" w:w="2592"/>
            <w:vAlign w:val="center"/>
            <w:shd w:val="clear" w:color="auto" w:fill="D9E1F2"/>
          </w:tcPr>
          <w:p>
            <w:r>
              <w:rPr>
                <w:b/>
                <w:sz w:val="20"/>
              </w:rPr>
              <w:t>Onsite dispatch trigger</w:t>
            </w:r>
          </w:p>
        </w:tc>
        <w:tc>
          <w:tcPr>
            <w:tcW w:type="dxa" w:w="1872"/>
            <w:vAlign w:val="center"/>
            <w:shd w:val="clear" w:color="auto" w:fill="D9E1F2"/>
          </w:tcPr>
          <w:p>
            <w:r>
              <w:rPr>
                <w:b/>
                <w:sz w:val="20"/>
              </w:rPr>
              <w:t>Status updates</w:t>
            </w:r>
          </w:p>
        </w:tc>
      </w:tr>
      <w:tr>
        <w:tc>
          <w:tcPr>
            <w:tcW w:type="dxa" w:w="1728"/>
            <w:vAlign w:val="top"/>
          </w:tcPr>
          <w:p>
            <w:r>
              <w:rPr>
                <w:sz w:val="20"/>
              </w:rPr>
              <w:t>Bronze</w:t>
            </w:r>
          </w:p>
        </w:tc>
        <w:tc>
          <w:tcPr>
            <w:tcW w:type="dxa" w:w="2304"/>
            <w:vAlign w:val="top"/>
          </w:tcPr>
          <w:p>
            <w:r>
              <w:rPr>
                <w:sz w:val="20"/>
              </w:rPr>
              <w:t>S1: 4 business hours</w:t>
            </w:r>
          </w:p>
        </w:tc>
        <w:tc>
          <w:tcPr>
            <w:tcW w:type="dxa" w:w="2448"/>
            <w:vAlign w:val="top"/>
          </w:tcPr>
          <w:p>
            <w:r>
              <w:rPr>
                <w:sz w:val="20"/>
              </w:rPr>
              <w:t>Best effort / per incident plan</w:t>
            </w:r>
          </w:p>
        </w:tc>
        <w:tc>
          <w:tcPr>
            <w:tcW w:type="dxa" w:w="2592"/>
            <w:vAlign w:val="top"/>
          </w:tcPr>
          <w:p>
            <w:r>
              <w:rPr>
                <w:sz w:val="20"/>
              </w:rPr>
              <w:t>When remote steps cannot restore service</w:t>
            </w:r>
          </w:p>
        </w:tc>
        <w:tc>
          <w:tcPr>
            <w:tcW w:type="dxa" w:w="1872"/>
            <w:vAlign w:val="top"/>
          </w:tcPr>
          <w:p>
            <w:r>
              <w:rPr>
                <w:sz w:val="20"/>
              </w:rPr>
              <w:t>Every [2-4] hours for S1/S2</w:t>
            </w:r>
          </w:p>
        </w:tc>
      </w:tr>
      <w:tr>
        <w:tc>
          <w:tcPr>
            <w:tcW w:type="dxa" w:w="1728"/>
            <w:vAlign w:val="top"/>
          </w:tcPr>
          <w:p>
            <w:r>
              <w:rPr>
                <w:sz w:val="20"/>
              </w:rPr>
              <w:t>Silver</w:t>
            </w:r>
          </w:p>
        </w:tc>
        <w:tc>
          <w:tcPr>
            <w:tcW w:type="dxa" w:w="2304"/>
            <w:vAlign w:val="top"/>
          </w:tcPr>
          <w:p>
            <w:r>
              <w:rPr>
                <w:sz w:val="20"/>
              </w:rPr>
              <w:t>S1: 2 hours</w:t>
            </w:r>
          </w:p>
        </w:tc>
        <w:tc>
          <w:tcPr>
            <w:tcW w:type="dxa" w:w="2448"/>
            <w:vAlign w:val="top"/>
          </w:tcPr>
          <w:p>
            <w:r>
              <w:rPr>
                <w:sz w:val="20"/>
              </w:rPr>
              <w:t>Best effort / per incident plan</w:t>
            </w:r>
          </w:p>
        </w:tc>
        <w:tc>
          <w:tcPr>
            <w:tcW w:type="dxa" w:w="2592"/>
            <w:vAlign w:val="top"/>
          </w:tcPr>
          <w:p>
            <w:r>
              <w:rPr>
                <w:sz w:val="20"/>
              </w:rPr>
              <w:t>When remote steps cannot restore service</w:t>
            </w:r>
          </w:p>
        </w:tc>
        <w:tc>
          <w:tcPr>
            <w:tcW w:type="dxa" w:w="1872"/>
            <w:vAlign w:val="top"/>
          </w:tcPr>
          <w:p>
            <w:r>
              <w:rPr>
                <w:sz w:val="20"/>
              </w:rPr>
              <w:t>Every [2-4] hours for S1/S2</w:t>
            </w:r>
          </w:p>
        </w:tc>
      </w:tr>
      <w:tr>
        <w:tc>
          <w:tcPr>
            <w:tcW w:type="dxa" w:w="1728"/>
            <w:vAlign w:val="top"/>
          </w:tcPr>
          <w:p>
            <w:r>
              <w:rPr>
                <w:sz w:val="20"/>
              </w:rPr>
              <w:t>Gold</w:t>
            </w:r>
          </w:p>
        </w:tc>
        <w:tc>
          <w:tcPr>
            <w:tcW w:type="dxa" w:w="2304"/>
            <w:vAlign w:val="top"/>
          </w:tcPr>
          <w:p>
            <w:r>
              <w:rPr>
                <w:sz w:val="20"/>
              </w:rPr>
              <w:t>S1: 1 hour</w:t>
            </w:r>
          </w:p>
        </w:tc>
        <w:tc>
          <w:tcPr>
            <w:tcW w:type="dxa" w:w="2448"/>
            <w:vAlign w:val="top"/>
          </w:tcPr>
          <w:p>
            <w:r>
              <w:rPr>
                <w:sz w:val="20"/>
              </w:rPr>
              <w:t>Best effort / per incident plan</w:t>
            </w:r>
          </w:p>
        </w:tc>
        <w:tc>
          <w:tcPr>
            <w:tcW w:type="dxa" w:w="2592"/>
            <w:vAlign w:val="top"/>
          </w:tcPr>
          <w:p>
            <w:r>
              <w:rPr>
                <w:sz w:val="20"/>
              </w:rPr>
              <w:t>When remote steps cannot restore service</w:t>
            </w:r>
          </w:p>
        </w:tc>
        <w:tc>
          <w:tcPr>
            <w:tcW w:type="dxa" w:w="1872"/>
            <w:vAlign w:val="top"/>
          </w:tcPr>
          <w:p>
            <w:r>
              <w:rPr>
                <w:sz w:val="20"/>
              </w:rPr>
              <w:t>Every [2-4] hours for S1/S2</w:t>
            </w:r>
          </w:p>
        </w:tc>
      </w:tr>
      <w:tr>
        <w:tc>
          <w:tcPr>
            <w:tcW w:type="dxa" w:w="1728"/>
            <w:vAlign w:val="top"/>
          </w:tcPr>
          <w:p>
            <w:r>
              <w:rPr>
                <w:sz w:val="20"/>
              </w:rPr>
              <w:t>Platinum</w:t>
            </w:r>
          </w:p>
        </w:tc>
        <w:tc>
          <w:tcPr>
            <w:tcW w:type="dxa" w:w="2304"/>
            <w:vAlign w:val="top"/>
          </w:tcPr>
          <w:p>
            <w:r>
              <w:rPr>
                <w:sz w:val="20"/>
              </w:rPr>
              <w:t>S1: 30 minutes</w:t>
            </w:r>
          </w:p>
        </w:tc>
        <w:tc>
          <w:tcPr>
            <w:tcW w:type="dxa" w:w="2448"/>
            <w:vAlign w:val="top"/>
          </w:tcPr>
          <w:p>
            <w:r>
              <w:rPr>
                <w:sz w:val="20"/>
              </w:rPr>
              <w:t>Best effort / per incident plan</w:t>
            </w:r>
          </w:p>
        </w:tc>
        <w:tc>
          <w:tcPr>
            <w:tcW w:type="dxa" w:w="2592"/>
            <w:vAlign w:val="top"/>
          </w:tcPr>
          <w:p>
            <w:r>
              <w:rPr>
                <w:sz w:val="20"/>
              </w:rPr>
              <w:t>When remote steps cannot restore service</w:t>
            </w:r>
          </w:p>
        </w:tc>
        <w:tc>
          <w:tcPr>
            <w:tcW w:type="dxa" w:w="1872"/>
            <w:vAlign w:val="top"/>
          </w:tcPr>
          <w:p>
            <w:r>
              <w:rPr>
                <w:sz w:val="20"/>
              </w:rPr>
              <w:t>Every [2-4] hours for S1/S2</w:t>
            </w:r>
          </w:p>
        </w:tc>
      </w:tr>
    </w:tbl>
    <w:p>
      <w:pPr>
        <w:pStyle w:val="Heading3"/>
      </w:pPr>
      <w:r>
        <w:t>4. Uptime and service credits</w:t>
      </w:r>
    </w:p>
    <w:p>
      <w:r>
        <w:t>If the Order Form includes service credits, and if measured uptime falls below the tier target (excluding stated exclusions), Customer may receive a credit against the monthly support fee for the affected van(s). Credits are the sole and exclusive remedy for SLA failures.</w:t>
      </w:r>
    </w:p>
    <w:tbl>
      <w:tblPr>
        <w:tblStyle w:val="TableGrid"/>
        <w:tblW w:type="auto" w:w="0"/>
        <w:jc w:val="left"/>
        <w:tblLook w:firstColumn="1" w:firstRow="1" w:lastColumn="0" w:lastRow="0" w:noHBand="0" w:noVBand="1" w:val="04A0"/>
      </w:tblPr>
      <w:tblGrid>
        <w:gridCol w:w="4680"/>
        <w:gridCol w:w="4680"/>
      </w:tblGrid>
      <w:tr>
        <w:tc>
          <w:tcPr>
            <w:tcW w:type="dxa" w:w="3744"/>
            <w:vAlign w:val="center"/>
            <w:shd w:val="clear" w:color="auto" w:fill="D9E1F2"/>
          </w:tcPr>
          <w:p>
            <w:r>
              <w:rPr>
                <w:b/>
                <w:sz w:val="20"/>
              </w:rPr>
              <w:t>Uptime shortfall (monthly)</w:t>
            </w:r>
          </w:p>
        </w:tc>
        <w:tc>
          <w:tcPr>
            <w:tcW w:type="dxa" w:w="6336"/>
            <w:vAlign w:val="center"/>
            <w:shd w:val="clear" w:color="auto" w:fill="D9E1F2"/>
          </w:tcPr>
          <w:p>
            <w:r>
              <w:rPr>
                <w:b/>
                <w:sz w:val="20"/>
              </w:rPr>
              <w:t>Credit</w:t>
            </w:r>
          </w:p>
        </w:tc>
      </w:tr>
      <w:tr>
        <w:tc>
          <w:tcPr>
            <w:tcW w:type="dxa" w:w="3744"/>
            <w:vAlign w:val="top"/>
          </w:tcPr>
          <w:p>
            <w:r>
              <w:rPr>
                <w:sz w:val="20"/>
              </w:rPr>
              <w:t>&lt; target by 0.0% to 1.0%</w:t>
            </w:r>
          </w:p>
        </w:tc>
        <w:tc>
          <w:tcPr>
            <w:tcW w:type="dxa" w:w="6336"/>
            <w:vAlign w:val="top"/>
          </w:tcPr>
          <w:p>
            <w:r>
              <w:rPr>
                <w:sz w:val="20"/>
              </w:rPr>
              <w:t>5% credit (affected van monthly fee)</w:t>
            </w:r>
          </w:p>
        </w:tc>
      </w:tr>
      <w:tr>
        <w:tc>
          <w:tcPr>
            <w:tcW w:type="dxa" w:w="3744"/>
            <w:vAlign w:val="top"/>
          </w:tcPr>
          <w:p>
            <w:r>
              <w:rPr>
                <w:sz w:val="20"/>
              </w:rPr>
              <w:t>&lt; target by 1.1% to 2.0%</w:t>
            </w:r>
          </w:p>
        </w:tc>
        <w:tc>
          <w:tcPr>
            <w:tcW w:type="dxa" w:w="6336"/>
            <w:vAlign w:val="top"/>
          </w:tcPr>
          <w:p>
            <w:r>
              <w:rPr>
                <w:sz w:val="20"/>
              </w:rPr>
              <w:t>10% credit</w:t>
            </w:r>
          </w:p>
        </w:tc>
      </w:tr>
      <w:tr>
        <w:tc>
          <w:tcPr>
            <w:tcW w:type="dxa" w:w="3744"/>
            <w:vAlign w:val="top"/>
          </w:tcPr>
          <w:p>
            <w:r>
              <w:rPr>
                <w:sz w:val="20"/>
              </w:rPr>
              <w:t>&lt; target by 2.1% to 4.0%</w:t>
            </w:r>
          </w:p>
        </w:tc>
        <w:tc>
          <w:tcPr>
            <w:tcW w:type="dxa" w:w="6336"/>
            <w:vAlign w:val="top"/>
          </w:tcPr>
          <w:p>
            <w:r>
              <w:rPr>
                <w:sz w:val="20"/>
              </w:rPr>
              <w:t>15% credit</w:t>
            </w:r>
          </w:p>
        </w:tc>
      </w:tr>
      <w:tr>
        <w:tc>
          <w:tcPr>
            <w:tcW w:type="dxa" w:w="3744"/>
            <w:vAlign w:val="top"/>
          </w:tcPr>
          <w:p>
            <w:r>
              <w:rPr>
                <w:sz w:val="20"/>
              </w:rPr>
              <w:t>&lt; target by &gt; 4.0%</w:t>
            </w:r>
          </w:p>
        </w:tc>
        <w:tc>
          <w:tcPr>
            <w:tcW w:type="dxa" w:w="6336"/>
            <w:vAlign w:val="top"/>
          </w:tcPr>
          <w:p>
            <w:r>
              <w:rPr>
                <w:sz w:val="20"/>
              </w:rPr>
              <w:t>20% credit</w:t>
            </w:r>
          </w:p>
        </w:tc>
      </w:tr>
    </w:tbl>
    <w:p>
      <w:pPr>
        <w:pStyle w:val="Heading3"/>
      </w:pPr>
      <w:r>
        <w:t>5. Exclusions</w:t>
      </w:r>
    </w:p>
    <w:p>
      <w:pPr>
        <w:pStyle w:val="ListBullet"/>
      </w:pPr>
      <w:r>
        <w:t>Planned maintenance windows agreed in advance.</w:t>
      </w:r>
    </w:p>
    <w:p>
      <w:pPr>
        <w:pStyle w:val="ListBullet"/>
      </w:pPr>
      <w:r>
        <w:t>Customer-caused outages (misuse, unauthorized changes, failure to provide access or safe conditions).</w:t>
      </w:r>
    </w:p>
    <w:p>
      <w:pPr>
        <w:pStyle w:val="ListBullet"/>
      </w:pPr>
      <w:r>
        <w:t>Force majeure events and government restrictions.</w:t>
      </w:r>
    </w:p>
    <w:p>
      <w:pPr>
        <w:pStyle w:val="ListBullet"/>
      </w:pPr>
      <w:r>
        <w:t>Third-party network/power provider issues outside reasonable control.</w:t>
      </w:r>
    </w:p>
    <w:p>
      <w:pPr>
        <w:pStyle w:val="ListBullet"/>
      </w:pPr>
      <w:r>
        <w:t>Security incidents or malware affecting systems not managed by Provider.</w:t>
      </w:r>
    </w:p>
    <w:p>
      <w:pPr>
        <w:pStyle w:val="Heading3"/>
      </w:pPr>
      <w:r>
        <w:t>6. Customer responsibilities</w:t>
      </w:r>
    </w:p>
    <w:p>
      <w:pPr>
        <w:pStyle w:val="ListBullet"/>
      </w:pPr>
      <w:r>
        <w:t>Maintain current points of contact and escalation list.</w:t>
      </w:r>
    </w:p>
    <w:p>
      <w:pPr>
        <w:pStyle w:val="ListBullet"/>
      </w:pPr>
      <w:r>
        <w:t>Provide remote connectivity/logs as reasonably requested for diagnostics.</w:t>
      </w:r>
    </w:p>
    <w:p>
      <w:pPr>
        <w:pStyle w:val="ListBullet"/>
      </w:pPr>
      <w:r>
        <w:t>Follow safety and operating procedures; do not bypass interlocks or warning systems.</w:t>
      </w:r>
    </w:p>
    <w:p>
      <w:pPr>
        <w:pStyle w:val="ListBullet"/>
      </w:pPr>
      <w:r>
        <w:t>Maintain site readiness (power, environment, traffic control) per agreed requirements.</w:t>
      </w:r>
    </w:p>
    <w:p>
      <w:r>
        <w:br w:type="page"/>
      </w:r>
    </w:p>
    <w:p>
      <w:pPr>
        <w:pStyle w:val="Heading1"/>
      </w:pPr>
      <w:r>
        <w:t>Section 4 - Statement of Work (SOW) Template</w:t>
      </w:r>
    </w:p>
    <w:p>
      <w:r>
        <w:t>SOW No.: [SOW-###]   |   Effective Date: [Date]   |   Customer: [Customer Legal Name]   |   Provider: [Company Legal Name]</w:t>
      </w:r>
    </w:p>
    <w:p>
      <w:pPr>
        <w:pStyle w:val="Heading2"/>
      </w:pPr>
      <w:r>
        <w:t>1. Objectives</w:t>
      </w:r>
    </w:p>
    <w:p>
      <w:r>
        <w:t>[Describe goals: commissioning, PM program setup, operator training, safety program rollout, etc.]</w:t>
      </w:r>
    </w:p>
    <w:p>
      <w:pPr>
        <w:pStyle w:val="Heading2"/>
      </w:pPr>
      <w:r>
        <w:t>2. Scope of Services</w:t>
      </w:r>
    </w:p>
    <w:p>
      <w:pPr>
        <w:pStyle w:val="Heading3"/>
      </w:pPr>
      <w:r>
        <w:t>2.1 In scope</w:t>
      </w:r>
    </w:p>
    <w:p>
      <w:pPr>
        <w:pStyle w:val="ListBullet"/>
      </w:pPr>
      <w:r>
        <w:t>[Example] Site survey and readiness report for [Site].</w:t>
      </w:r>
    </w:p>
    <w:p>
      <w:pPr>
        <w:pStyle w:val="ListBullet"/>
      </w:pPr>
      <w:r>
        <w:t>[Example] Commissioning and baseline acceptance testing for [#] SS NII vans.</w:t>
      </w:r>
    </w:p>
    <w:p>
      <w:pPr>
        <w:pStyle w:val="ListBullet"/>
      </w:pPr>
      <w:r>
        <w:t>[Example] Operator initial training for [#] trainees using simulation scenarios.</w:t>
      </w:r>
    </w:p>
    <w:p>
      <w:pPr>
        <w:pStyle w:val="ListBullet"/>
      </w:pPr>
      <w:r>
        <w:t>[Example] Preventive maintenance visit(s) per checklist.</w:t>
      </w:r>
    </w:p>
    <w:p>
      <w:pPr>
        <w:pStyle w:val="Heading3"/>
      </w:pPr>
      <w:r>
        <w:t>2.2 Out of scope</w:t>
      </w:r>
    </w:p>
    <w:p>
      <w:pPr>
        <w:pStyle w:val="ListBullet"/>
      </w:pPr>
      <w:r>
        <w:t>Civil works and electrical construction.</w:t>
      </w:r>
    </w:p>
    <w:p>
      <w:pPr>
        <w:pStyle w:val="ListBullet"/>
      </w:pPr>
      <w:r>
        <w:t>OEM warranty claim administration (unless explicitly included).</w:t>
      </w:r>
    </w:p>
    <w:p>
      <w:pPr>
        <w:pStyle w:val="ListBullet"/>
      </w:pPr>
      <w:r>
        <w:t>Security staffing and traffic control.</w:t>
      </w:r>
    </w:p>
    <w:p>
      <w:pPr>
        <w:pStyle w:val="Heading2"/>
      </w:pPr>
      <w:r>
        <w:t>3. Deliverables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vAlign w:val="center"/>
            <w:shd w:val="clear" w:color="auto" w:fill="D9E1F2"/>
          </w:tcPr>
          <w:p>
            <w:r>
              <w:rPr>
                <w:b/>
                <w:sz w:val="20"/>
              </w:rPr>
              <w:t>Deliverable</w:t>
            </w:r>
          </w:p>
        </w:tc>
        <w:tc>
          <w:tcPr>
            <w:tcW w:type="dxa" w:w="3888"/>
            <w:vAlign w:val="center"/>
            <w:shd w:val="clear" w:color="auto" w:fill="D9E1F2"/>
          </w:tcPr>
          <w:p>
            <w:r>
              <w:rPr>
                <w:b/>
                <w:sz w:val="20"/>
              </w:rPr>
              <w:t>Description</w:t>
            </w:r>
          </w:p>
        </w:tc>
        <w:tc>
          <w:tcPr>
            <w:tcW w:type="dxa" w:w="1440"/>
            <w:vAlign w:val="center"/>
            <w:shd w:val="clear" w:color="auto" w:fill="D9E1F2"/>
          </w:tcPr>
          <w:p>
            <w:r>
              <w:rPr>
                <w:b/>
                <w:sz w:val="20"/>
              </w:rPr>
              <w:t>Due date</w:t>
            </w:r>
          </w:p>
        </w:tc>
        <w:tc>
          <w:tcPr>
            <w:tcW w:type="dxa" w:w="2592"/>
            <w:vAlign w:val="center"/>
            <w:shd w:val="clear" w:color="auto" w:fill="D9E1F2"/>
          </w:tcPr>
          <w:p>
            <w:r>
              <w:rPr>
                <w:b/>
                <w:sz w:val="20"/>
              </w:rPr>
              <w:t>Acceptance criteria</w:t>
            </w:r>
          </w:p>
        </w:tc>
      </w:tr>
      <w:tr>
        <w:tc>
          <w:tcPr>
            <w:tcW w:type="dxa" w:w="2160"/>
            <w:vAlign w:val="top"/>
          </w:tcPr>
          <w:p>
            <w:r>
              <w:rPr>
                <w:sz w:val="20"/>
              </w:rPr>
              <w:t>Readiness Report</w:t>
            </w:r>
          </w:p>
        </w:tc>
        <w:tc>
          <w:tcPr>
            <w:tcW w:type="dxa" w:w="3888"/>
            <w:vAlign w:val="top"/>
          </w:tcPr>
          <w:p>
            <w:r>
              <w:rPr>
                <w:sz w:val="20"/>
              </w:rPr>
              <w:t>Completed site survey checklist, findings, and action items.</w:t>
            </w:r>
          </w:p>
        </w:tc>
        <w:tc>
          <w:tcPr>
            <w:tcW w:type="dxa" w:w="1440"/>
            <w:vAlign w:val="top"/>
          </w:tcPr>
          <w:p>
            <w:r>
              <w:rPr>
                <w:sz w:val="20"/>
              </w:rPr>
              <w:t>[Date]</w:t>
            </w:r>
          </w:p>
        </w:tc>
        <w:tc>
          <w:tcPr>
            <w:tcW w:type="dxa" w:w="2592"/>
            <w:vAlign w:val="top"/>
          </w:tcPr>
          <w:p>
            <w:r>
              <w:rPr>
                <w:sz w:val="20"/>
              </w:rPr>
              <w:t>Customer sign-off or written comments within [10] business days.</w:t>
            </w:r>
          </w:p>
        </w:tc>
      </w:tr>
      <w:tr>
        <w:tc>
          <w:tcPr>
            <w:tcW w:type="dxa" w:w="2160"/>
            <w:vAlign w:val="top"/>
          </w:tcPr>
          <w:p>
            <w:r>
              <w:rPr>
                <w:sz w:val="20"/>
              </w:rPr>
              <w:t>Commissioning Package</w:t>
            </w:r>
          </w:p>
        </w:tc>
        <w:tc>
          <w:tcPr>
            <w:tcW w:type="dxa" w:w="3888"/>
            <w:vAlign w:val="top"/>
          </w:tcPr>
          <w:p>
            <w:r>
              <w:rPr>
                <w:sz w:val="20"/>
              </w:rPr>
              <w:t>Completed commissioning checklist + baseline test results.</w:t>
            </w:r>
          </w:p>
        </w:tc>
        <w:tc>
          <w:tcPr>
            <w:tcW w:type="dxa" w:w="1440"/>
            <w:vAlign w:val="top"/>
          </w:tcPr>
          <w:p>
            <w:r>
              <w:rPr>
                <w:sz w:val="20"/>
              </w:rPr>
              <w:t>[Date]</w:t>
            </w:r>
          </w:p>
        </w:tc>
        <w:tc>
          <w:tcPr>
            <w:tcW w:type="dxa" w:w="2592"/>
            <w:vAlign w:val="top"/>
          </w:tcPr>
          <w:p>
            <w:r>
              <w:rPr>
                <w:sz w:val="20"/>
              </w:rPr>
              <w:t>All required tests passed or documented punch list.</w:t>
            </w:r>
          </w:p>
        </w:tc>
      </w:tr>
      <w:tr>
        <w:tc>
          <w:tcPr>
            <w:tcW w:type="dxa" w:w="2160"/>
            <w:vAlign w:val="top"/>
          </w:tcPr>
          <w:p>
            <w:r>
              <w:rPr>
                <w:sz w:val="20"/>
              </w:rPr>
              <w:t>Training Package</w:t>
            </w:r>
          </w:p>
        </w:tc>
        <w:tc>
          <w:tcPr>
            <w:tcW w:type="dxa" w:w="3888"/>
            <w:vAlign w:val="top"/>
          </w:tcPr>
          <w:p>
            <w:r>
              <w:rPr>
                <w:sz w:val="20"/>
              </w:rPr>
              <w:t>Agenda, attendance, competency checklist, certificates.</w:t>
            </w:r>
          </w:p>
        </w:tc>
        <w:tc>
          <w:tcPr>
            <w:tcW w:type="dxa" w:w="1440"/>
            <w:vAlign w:val="top"/>
          </w:tcPr>
          <w:p>
            <w:r>
              <w:rPr>
                <w:sz w:val="20"/>
              </w:rPr>
              <w:t>[Date]</w:t>
            </w:r>
          </w:p>
        </w:tc>
        <w:tc>
          <w:tcPr>
            <w:tcW w:type="dxa" w:w="2592"/>
            <w:vAlign w:val="top"/>
          </w:tcPr>
          <w:p>
            <w:r>
              <w:rPr>
                <w:sz w:val="20"/>
              </w:rPr>
              <w:t>Trainees complete assessment; records delivered.</w:t>
            </w:r>
          </w:p>
        </w:tc>
      </w:tr>
    </w:tbl>
    <w:p/>
    <w:p>
      <w:pPr>
        <w:pStyle w:val="Heading2"/>
      </w:pPr>
      <w:r>
        <w:t>4. Schedule and milestones</w:t>
      </w:r>
    </w:p>
    <w:p>
      <w:r>
        <w:t>[Insert milestone table: mobilization, site survey, commissioning, training, acceptance.]</w:t>
      </w:r>
    </w:p>
    <w:p>
      <w:pPr>
        <w:pStyle w:val="Heading2"/>
      </w:pPr>
      <w:r>
        <w:t>5. Roles and responsibilities</w:t>
      </w:r>
    </w:p>
    <w:tbl>
      <w:tblPr>
        <w:tblStyle w:val="TableGrid"/>
        <w:tblW w:type="auto" w:w="0"/>
        <w:jc w:val="left"/>
        <w:tblLook w:firstColumn="1" w:firstRow="1" w:lastColumn="0" w:lastRow="0" w:noHBand="0" w:noVBand="1" w:val="04A0"/>
      </w:tblPr>
      <w:tblGrid>
        <w:gridCol w:w="3120"/>
        <w:gridCol w:w="3120"/>
        <w:gridCol w:w="3120"/>
      </w:tblGrid>
      <w:tr>
        <w:tc>
          <w:tcPr>
            <w:tcW w:type="dxa" w:w="2304"/>
            <w:vAlign w:val="center"/>
            <w:shd w:val="clear" w:color="auto" w:fill="D9E1F2"/>
          </w:tcPr>
          <w:p>
            <w:r>
              <w:rPr>
                <w:b/>
                <w:sz w:val="20"/>
              </w:rPr>
              <w:t>Role</w:t>
            </w:r>
          </w:p>
        </w:tc>
        <w:tc>
          <w:tcPr>
            <w:tcW w:type="dxa" w:w="3744"/>
            <w:vAlign w:val="center"/>
            <w:shd w:val="clear" w:color="auto" w:fill="D9E1F2"/>
          </w:tcPr>
          <w:p>
            <w:r>
              <w:rPr>
                <w:b/>
                <w:sz w:val="20"/>
              </w:rPr>
              <w:t>Customer</w:t>
            </w:r>
          </w:p>
        </w:tc>
        <w:tc>
          <w:tcPr>
            <w:tcW w:type="dxa" w:w="3744"/>
            <w:vAlign w:val="center"/>
            <w:shd w:val="clear" w:color="auto" w:fill="D9E1F2"/>
          </w:tcPr>
          <w:p>
            <w:r>
              <w:rPr>
                <w:b/>
                <w:sz w:val="20"/>
              </w:rPr>
              <w:t>Provider</w:t>
            </w:r>
          </w:p>
        </w:tc>
      </w:tr>
      <w:tr>
        <w:tc>
          <w:tcPr>
            <w:tcW w:type="dxa" w:w="2304"/>
            <w:vAlign w:val="top"/>
          </w:tcPr>
          <w:p>
            <w:r>
              <w:rPr>
                <w:sz w:val="20"/>
              </w:rPr>
              <w:t>Project management</w:t>
            </w:r>
          </w:p>
        </w:tc>
        <w:tc>
          <w:tcPr>
            <w:tcW w:type="dxa" w:w="3744"/>
            <w:vAlign w:val="top"/>
          </w:tcPr>
          <w:p>
            <w:r>
              <w:rPr>
                <w:sz w:val="20"/>
              </w:rPr>
              <w:t>Provide POC and approvals</w:t>
            </w:r>
          </w:p>
        </w:tc>
        <w:tc>
          <w:tcPr>
            <w:tcW w:type="dxa" w:w="3744"/>
            <w:vAlign w:val="top"/>
          </w:tcPr>
          <w:p>
            <w:r>
              <w:rPr>
                <w:sz w:val="20"/>
              </w:rPr>
              <w:t>Plan and execute work; status reporting</w:t>
            </w:r>
          </w:p>
        </w:tc>
      </w:tr>
      <w:tr>
        <w:tc>
          <w:tcPr>
            <w:tcW w:type="dxa" w:w="2304"/>
            <w:vAlign w:val="top"/>
          </w:tcPr>
          <w:p>
            <w:r>
              <w:rPr>
                <w:sz w:val="20"/>
              </w:rPr>
              <w:t>Site access and escorts</w:t>
            </w:r>
          </w:p>
        </w:tc>
        <w:tc>
          <w:tcPr>
            <w:tcW w:type="dxa" w:w="3744"/>
            <w:vAlign w:val="top"/>
          </w:tcPr>
          <w:p>
            <w:r>
              <w:rPr>
                <w:sz w:val="20"/>
              </w:rPr>
              <w:t>Provide access and escorts</w:t>
            </w:r>
          </w:p>
        </w:tc>
        <w:tc>
          <w:tcPr>
            <w:tcW w:type="dxa" w:w="3744"/>
            <w:vAlign w:val="top"/>
          </w:tcPr>
          <w:p>
            <w:r>
              <w:rPr>
                <w:sz w:val="20"/>
              </w:rPr>
              <w:t>Comply with site rules</w:t>
            </w:r>
          </w:p>
        </w:tc>
      </w:tr>
      <w:tr>
        <w:tc>
          <w:tcPr>
            <w:tcW w:type="dxa" w:w="2304"/>
            <w:vAlign w:val="top"/>
          </w:tcPr>
          <w:p>
            <w:r>
              <w:rPr>
                <w:sz w:val="20"/>
              </w:rPr>
              <w:t>Safety &amp; controlled area</w:t>
            </w:r>
          </w:p>
        </w:tc>
        <w:tc>
          <w:tcPr>
            <w:tcW w:type="dxa" w:w="3744"/>
            <w:vAlign w:val="top"/>
          </w:tcPr>
          <w:p>
            <w:r>
              <w:rPr>
                <w:sz w:val="20"/>
              </w:rPr>
              <w:t>Provide/approve layout and controls</w:t>
            </w:r>
          </w:p>
        </w:tc>
        <w:tc>
          <w:tcPr>
            <w:tcW w:type="dxa" w:w="3744"/>
            <w:vAlign w:val="top"/>
          </w:tcPr>
          <w:p>
            <w:r>
              <w:rPr>
                <w:sz w:val="20"/>
              </w:rPr>
              <w:t>Follow procedures; verify controls during work</w:t>
            </w:r>
          </w:p>
        </w:tc>
      </w:tr>
      <w:tr>
        <w:tc>
          <w:tcPr>
            <w:tcW w:type="dxa" w:w="2304"/>
            <w:vAlign w:val="top"/>
          </w:tcPr>
          <w:p>
            <w:r>
              <w:rPr>
                <w:sz w:val="20"/>
              </w:rPr>
              <w:t>IT/network connectivity</w:t>
            </w:r>
          </w:p>
        </w:tc>
        <w:tc>
          <w:tcPr>
            <w:tcW w:type="dxa" w:w="3744"/>
            <w:vAlign w:val="top"/>
          </w:tcPr>
          <w:p>
            <w:r>
              <w:rPr>
                <w:sz w:val="20"/>
              </w:rPr>
              <w:t>Provide connectivity and permissions</w:t>
            </w:r>
          </w:p>
        </w:tc>
        <w:tc>
          <w:tcPr>
            <w:tcW w:type="dxa" w:w="3744"/>
            <w:vAlign w:val="top"/>
          </w:tcPr>
          <w:p>
            <w:r>
              <w:rPr>
                <w:sz w:val="20"/>
              </w:rPr>
              <w:t>Provide requirements; support diagnostics</w:t>
            </w:r>
          </w:p>
        </w:tc>
      </w:tr>
    </w:tbl>
    <w:p/>
    <w:p>
      <w:pPr>
        <w:pStyle w:val="Heading2"/>
      </w:pPr>
      <w:r>
        <w:t>6. Pricing and payment</w:t>
      </w:r>
    </w:p>
    <w:p>
      <w:r>
        <w:t>[Insert pricing table or reference Pricing Sheet / Order Form. Specify travel/expenses policy.]</w:t>
      </w:r>
    </w:p>
    <w:p>
      <w:pPr>
        <w:pStyle w:val="Heading2"/>
      </w:pPr>
      <w:r>
        <w:t>7. Assumptions and dependencies</w:t>
      </w:r>
    </w:p>
    <w:p>
      <w:pPr>
        <w:pStyle w:val="ListBullet"/>
      </w:pPr>
      <w:r>
        <w:t>Customer will provide a safe work environment and required permits.</w:t>
      </w:r>
    </w:p>
    <w:p>
      <w:pPr>
        <w:pStyle w:val="ListBullet"/>
      </w:pPr>
      <w:r>
        <w:t>Required downtime windows will be scheduled in advance.</w:t>
      </w:r>
    </w:p>
    <w:p>
      <w:pPr>
        <w:pStyle w:val="ListBullet"/>
      </w:pPr>
      <w:r>
        <w:t>OEM manuals and configuration data will be provided as needed.</w:t>
      </w:r>
    </w:p>
    <w:p>
      <w:pPr>
        <w:pStyle w:val="Heading2"/>
      </w:pPr>
      <w:r>
        <w:t>8. Acceptance and sign-off</w:t>
      </w:r>
    </w:p>
    <w:p>
      <w:r>
        <w:t>By signing below, the Parties agree to this SOW.</w:t>
      </w:r>
    </w:p>
    <w:tbl>
      <w:tblPr>
        <w:tblStyle w:val="TableGrid"/>
        <w:tblW w:type="auto" w:w="0"/>
        <w:tblLook w:firstColumn="1" w:firstRow="1" w:lastColumn="0" w:lastRow="0" w:noHBand="0" w:noVBand="1" w:val="04A0"/>
      </w:tblPr>
      <w:tblGrid>
        <w:gridCol w:w="4680"/>
        <w:gridCol w:w="4680"/>
      </w:tblGrid>
      <w:tr>
        <w:tc>
          <w:tcPr>
            <w:tcW w:type="dxa" w:w="4680"/>
            <w:shd w:val="clear" w:color="auto" w:fill="D9E1F2"/>
          </w:tcPr>
          <w:p>
            <w:r>
              <w:rPr>
                <w:b/>
              </w:rPr>
              <w:t>Customer</w:t>
            </w:r>
          </w:p>
        </w:tc>
        <w:tc>
          <w:tcPr>
            <w:tcW w:type="dxa" w:w="4680"/>
            <w:shd w:val="clear" w:color="auto" w:fill="D9E1F2"/>
          </w:tcPr>
          <w:p>
            <w:r>
              <w:rPr>
                <w:b/>
              </w:rPr>
              <w:t>Provider</w:t>
            </w:r>
          </w:p>
        </w:tc>
      </w:tr>
      <w:tr>
        <w:tc>
          <w:tcPr>
            <w:tcW w:type="dxa" w:w="4680"/>
          </w:tcPr>
          <w:p>
            <w:r>
              <w:t>By: ______________________</w:t>
              <w:br/>
              <w:t>Name/Title: _______________</w:t>
              <w:br/>
              <w:t>Date: _____________________</w:t>
            </w:r>
          </w:p>
        </w:tc>
        <w:tc>
          <w:tcPr>
            <w:tcW w:type="dxa" w:w="4680"/>
          </w:tcPr>
          <w:p>
            <w:r>
              <w:t>By: ______________________</w:t>
              <w:br/>
              <w:t>Name/Title: _______________</w:t>
              <w:br/>
              <w:t>Date: _____________________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6EDDB69EA2DAD41BB23C77A6D511F22" ma:contentTypeVersion="10" ma:contentTypeDescription="Create a new document." ma:contentTypeScope="" ma:versionID="8b560be23b359af8cc84fa3e3590c86f">
  <xsd:schema xmlns:xsd="http://www.w3.org/2001/XMLSchema" xmlns:xs="http://www.w3.org/2001/XMLSchema" xmlns:p="http://schemas.microsoft.com/office/2006/metadata/properties" xmlns:ns2="0218e173-100b-4d0b-8754-105f4c8a5ae9" targetNamespace="http://schemas.microsoft.com/office/2006/metadata/properties" ma:root="true" ma:fieldsID="803ed7469266dc26cb84428d15612e6f" ns2:_="">
    <xsd:import namespace="0218e173-100b-4d0b-8754-105f4c8a5a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18e173-100b-4d0b-8754-105f4c8a5a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9d40501-dd33-4069-8788-55aa03317db1"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218e173-100b-4d0b-8754-105f4c8a5a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E6A12CD-C1EF-4DC0-BCD8-D8A5BC183C09}"/>
</file>

<file path=customXml/itemProps3.xml><?xml version="1.0" encoding="utf-8"?>
<ds:datastoreItem xmlns:ds="http://schemas.openxmlformats.org/officeDocument/2006/customXml" ds:itemID="{EAADE344-050D-46DB-8F2B-FE0F150BF4D2}"/>
</file>

<file path=customXml/itemProps4.xml><?xml version="1.0" encoding="utf-8"?>
<ds:datastoreItem xmlns:ds="http://schemas.openxmlformats.org/officeDocument/2006/customXml" ds:itemID="{C8448A1C-EF90-4980-99F4-4210B659FC9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0x010100E6EDDB69EA2DAD41BB23C77A6D511F22</vt:lpwstr>
  </property>
</Properties>
</file>