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Group 7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Member: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b w:val="1"/>
          <w:color w:val="444444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Weihang Wen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b w:val="1"/>
          <w:color w:val="444444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Mengchen Xiao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b w:val="1"/>
          <w:color w:val="444444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Xuan Yang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b w:val="1"/>
          <w:color w:val="444444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Weichao Zhu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b w:val="1"/>
          <w:color w:val="444444"/>
          <w:sz w:val="20"/>
          <w:szCs w:val="20"/>
        </w:rPr>
      </w:pP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Yinian Lyu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b w:val="1"/>
          <w:color w:val="363c42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Practicum Company</w:t>
      </w:r>
      <w:r w:rsidDel="00000000" w:rsidR="00000000" w:rsidRPr="00000000">
        <w:rPr>
          <w:b w:val="1"/>
          <w:color w:val="444444"/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363c42"/>
          <w:sz w:val="24"/>
          <w:szCs w:val="24"/>
          <w:rtl w:val="0"/>
        </w:rPr>
        <w:t xml:space="preserve">Attain, LLC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b w:val="1"/>
          <w:color w:val="363c42"/>
          <w:sz w:val="24"/>
          <w:szCs w:val="24"/>
          <w:rtl w:val="0"/>
        </w:rPr>
        <w:t xml:space="preserve">Main Contacts: Tim Pavlick(</w:t>
      </w:r>
      <w:r w:rsidDel="00000000" w:rsidR="00000000" w:rsidRPr="00000000">
        <w:rPr>
          <w:b w:val="1"/>
          <w:color w:val="555555"/>
          <w:sz w:val="19"/>
          <w:szCs w:val="19"/>
          <w:highlight w:val="white"/>
          <w:rtl w:val="0"/>
        </w:rPr>
        <w:t xml:space="preserve">tpavlick@attain.com)</w:t>
      </w:r>
      <w:r w:rsidDel="00000000" w:rsidR="00000000" w:rsidRPr="00000000">
        <w:rPr>
          <w:b w:val="1"/>
          <w:color w:val="363c42"/>
          <w:sz w:val="24"/>
          <w:szCs w:val="24"/>
          <w:rtl w:val="0"/>
        </w:rPr>
        <w:t xml:space="preserve">, Alex Brown(</w:t>
      </w:r>
      <w:hyperlink r:id="rId6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abbrown@attain.com</w:t>
        </w:r>
      </w:hyperlink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backup arrangements: None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role(s): Tim is the Chief Innovation Officer and he is responsible to contact us and arrange all the tasks. Alex is handling all the technical softwares and solving our technical issues.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subject matter expert(s):  Tim  = Big Idea; Alex = Coding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mentor expectations: help build an automated risk consulting platform, discover trends of Anti-Semitism &amp; Antifa across the social media websites, and analyze risk data from Attain.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clarity of the problem: data crawling, data clean, building databases,  social network analysis, create solutions for digital consulting platform.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your level of comfort: Quite challenging, new software, new topic, cutting edge area. There is much flexibility, and we come up with tasks and assign them to ourselves on our own.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b w:val="1"/>
          <w:color w:val="363c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bbrown@att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