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900" w:after="160"/>
      </w:pPr>
      <w:r>
        <w:rPr>
          <w:rFonts w:ascii="Aptos Display" w:hAnsi="Aptos Display" w:cs="Aptos Display"/>
          <w:b/>
          <w:color w:val="121A26"/>
          <w:sz w:val="50"/>
        </w:rPr>
        <w:t>ROI Kick-Off - Mindmap / Guia de Entrevista</w:t>
      </w:r>
    </w:p>
    <w:p>
      <w:pPr>
        <w:spacing w:after="360"/>
      </w:pPr>
      <w:r>
        <w:rPr>
          <w:rFonts w:ascii="Aptos" w:hAnsi="Aptos" w:cs="Aptos"/>
          <w:b w:val="0"/>
          <w:color w:val="5A697D"/>
          <w:sz w:val="30"/>
        </w:rPr>
        <w:t>ODOO IMPLEMENTATION</w:t>
      </w:r>
    </w:p>
    <w:p>
      <w:pPr>
        <w:spacing w:after="280"/>
      </w:pPr>
      <w:r>
        <w:rPr>
          <w:rFonts w:ascii="Aptos" w:hAnsi="Aptos" w:cs="Aptos"/>
          <w:b w:val="0"/>
          <w:color w:val="1F2937"/>
          <w:sz w:val="21"/>
        </w:rPr>
        <w:t>Guia estruturado para alinhar stakeholders, fatores de sucesso, riscos, âmbito e próximos passos antes dos workshops de implementação Odoo.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Cliente / Projeto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Odoo Implementation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02 de junho de 2026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Versão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1.0</w:t>
            </w:r>
          </w:p>
        </w:tc>
      </w:tr>
    </w:tbl>
    <w:p/>
    <w:p/>
    <w:p/>
    <w:p/>
    <w:p/>
    <w:p/>
    <w:p>
      <w:pPr>
        <w:spacing w:after="80"/>
      </w:pPr>
      <w:r>
        <w:rPr>
          <w:rFonts w:ascii="Aptos" w:hAnsi="Aptos" w:cs="Aptos"/>
          <w:b w:val="0"/>
          <w:color w:val="5A697D"/>
          <w:sz w:val="17"/>
        </w:rPr>
        <w:t>Preparado por Parâmetro Global</w:t>
      </w:r>
    </w:p>
    <w:p>
      <w:pPr>
        <w:pBdr>
          <w:bottom w:val="single" w:sz="22" w:space="1" w:color="121A26"/>
        </w:pBdr>
      </w:pPr>
    </w:p>
    <w:p>
      <w:pPr>
        <w:sectPr>
          <w:pgSz w:w="12240" w:h="15840"/>
          <w:pgMar w:top="964" w:right="1134" w:bottom="850" w:left="1134" w:header="454" w:footer="397" w:gutter="0"/>
          <w:cols w:space="720"/>
          <w:docGrid w:linePitch="360"/>
        </w:sectPr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1. INTRODUÇÃO — Contextualizar o Projeto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Objetivo: alinhar todos os stakeholders nos princípios da metodologia e no âmbito do projeto antes de avançar para os workshops.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061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Campo</w:t>
            </w:r>
          </w:p>
        </w:tc>
        <w:tc>
          <w:tcPr>
            <w:tcW w:type="dxa" w:w="6577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O que registar</w:t>
            </w:r>
          </w:p>
        </w:tc>
      </w:tr>
      <w:tr>
        <w:tc>
          <w:tcPr>
            <w:tcW w:type="dxa" w:w="306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Objetivo principal do projeto</w:t>
            </w:r>
          </w:p>
        </w:tc>
        <w:tc>
          <w:tcPr>
            <w:tcW w:type="dxa" w:w="657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Ex: substituir SAP legacy, centralizar operações, automatizar faturação</w:t>
            </w:r>
          </w:p>
        </w:tc>
      </w:tr>
      <w:tr>
        <w:tc>
          <w:tcPr>
            <w:tcW w:type="dxa" w:w="306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Motivação do CEO / sponsor</w:t>
            </w:r>
          </w:p>
        </w:tc>
        <w:tc>
          <w:tcPr>
            <w:tcW w:type="dxa" w:w="657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Por que agora? Pressão competitiva, crescimento, ineficiência atual?</w:t>
            </w:r>
          </w:p>
        </w:tc>
      </w:tr>
      <w:tr>
        <w:tc>
          <w:tcPr>
            <w:tcW w:type="dxa" w:w="306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Riscos identificados (pré-projeto)</w:t>
            </w:r>
          </w:p>
        </w:tc>
        <w:tc>
          <w:tcPr>
            <w:tcW w:type="dxa" w:w="657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Resistência à mudança, dependência de TI, prazos apertados, dados sujos</w:t>
            </w:r>
          </w:p>
        </w:tc>
      </w:tr>
      <w:tr>
        <w:tc>
          <w:tcPr>
            <w:tcW w:type="dxa" w:w="306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Âmbito preliminar (apps)</w:t>
            </w:r>
          </w:p>
        </w:tc>
        <w:tc>
          <w:tcPr>
            <w:tcW w:type="dxa" w:w="657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Quais módulos Odoo estão em discussão? Sales, Inventory, Finance, MFG...</w:t>
            </w:r>
          </w:p>
        </w:tc>
      </w:tr>
      <w:tr>
        <w:tc>
          <w:tcPr>
            <w:tcW w:type="dxa" w:w="306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Budget expectation</w:t>
            </w:r>
          </w:p>
        </w:tc>
        <w:tc>
          <w:tcPr>
            <w:tcW w:type="dxa" w:w="657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Tem budget aprovado? Qual a ordem de grandeza esperada?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2. STAKEHOLDERS — Mapear Decisores e Utilizadores-Chave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Mapa de decisores, key users e disponibilidade prevista para o projeto.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154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Nome</w:t>
            </w:r>
          </w:p>
        </w:tc>
        <w:tc>
          <w:tcPr>
            <w:tcW w:type="dxa" w:w="2154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Cargo</w:t>
            </w:r>
          </w:p>
        </w:tc>
        <w:tc>
          <w:tcPr>
            <w:tcW w:type="dxa" w:w="3061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Papel no Projeto</w:t>
            </w:r>
          </w:p>
        </w:tc>
        <w:tc>
          <w:tcPr>
            <w:tcW w:type="dxa" w:w="2268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Disponibilidade</w:t>
            </w:r>
          </w:p>
        </w:tc>
      </w:tr>
      <w:tr>
        <w:tc>
          <w:tcPr>
            <w:tcW w:type="dxa" w:w="215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15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CEO / Sponsor</w:t>
            </w:r>
          </w:p>
        </w:tc>
        <w:tc>
          <w:tcPr>
            <w:tcW w:type="dxa" w:w="226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215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15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SPoC (Single Point of Contact)</w:t>
            </w:r>
          </w:p>
        </w:tc>
        <w:tc>
          <w:tcPr>
            <w:tcW w:type="dxa" w:w="2268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215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15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Key User — Financeiro</w:t>
            </w:r>
          </w:p>
        </w:tc>
        <w:tc>
          <w:tcPr>
            <w:tcW w:type="dxa" w:w="226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215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15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Key User — Operacional</w:t>
            </w:r>
          </w:p>
        </w:tc>
        <w:tc>
          <w:tcPr>
            <w:tcW w:type="dxa" w:w="2268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215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15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Key User — Logística / MFG</w:t>
            </w:r>
          </w:p>
        </w:tc>
        <w:tc>
          <w:tcPr>
            <w:tcW w:type="dxa" w:w="226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215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15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IT / Técnico interno</w:t>
            </w:r>
          </w:p>
        </w:tc>
        <w:tc>
          <w:tcPr>
            <w:tcW w:type="dxa" w:w="2268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3. FATORES DE SUCESSO — O que define o projeto como bem-sucedido?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Perguntar diretamente ao CEO e ao SPoC: 'Daqui a 12 meses, o que terá de ser verdade para considerarem este projeto um sucesso?'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819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Fator de Sucesso</w:t>
            </w:r>
          </w:p>
        </w:tc>
        <w:tc>
          <w:tcPr>
            <w:tcW w:type="dxa" w:w="4819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Notas / Prioridade</w:t>
            </w:r>
          </w:p>
        </w:tc>
      </w:tr>
      <w:tr>
        <w:tc>
          <w:tcPr>
            <w:tcW w:type="dxa" w:w="481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Entrar em produção dentro do prazo</w:t>
            </w:r>
          </w:p>
        </w:tc>
        <w:tc>
          <w:tcPr>
            <w:tcW w:type="dxa" w:w="481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4819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Manter o orçamento acordado</w:t>
            </w:r>
          </w:p>
        </w:tc>
        <w:tc>
          <w:tcPr>
            <w:tcW w:type="dxa" w:w="4819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481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Adoção pelos utilizadores finais</w:t>
            </w:r>
          </w:p>
        </w:tc>
        <w:tc>
          <w:tcPr>
            <w:tcW w:type="dxa" w:w="481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4819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Eliminar processos manuais (Excel, papel)</w:t>
            </w:r>
          </w:p>
        </w:tc>
        <w:tc>
          <w:tcPr>
            <w:tcW w:type="dxa" w:w="4819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481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Integração com sistemas externos</w:t>
            </w:r>
          </w:p>
        </w:tc>
        <w:tc>
          <w:tcPr>
            <w:tcW w:type="dxa" w:w="481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4819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Outro (a definir):</w:t>
            </w:r>
          </w:p>
        </w:tc>
        <w:tc>
          <w:tcPr>
            <w:tcW w:type="dxa" w:w="4819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4. RISCOS — Identificar ameaças ao projeto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Identificação das principais ameaças ao projeto, impacto estimado e ações de mitigação.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742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Risco</w:t>
            </w:r>
          </w:p>
        </w:tc>
        <w:tc>
          <w:tcPr>
            <w:tcW w:type="dxa" w:w="1474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Impacto (A/M/B)</w:t>
            </w:r>
          </w:p>
        </w:tc>
        <w:tc>
          <w:tcPr>
            <w:tcW w:type="dxa" w:w="4422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Mitigação</w:t>
            </w:r>
          </w:p>
        </w:tc>
      </w:tr>
      <w:tr>
        <w:tc>
          <w:tcPr>
            <w:tcW w:type="dxa" w:w="374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Resistência à mudança por parte dos utilizadores</w:t>
            </w:r>
          </w:p>
        </w:tc>
        <w:tc>
          <w:tcPr>
            <w:tcW w:type="dxa" w:w="147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A</w:t>
            </w:r>
          </w:p>
        </w:tc>
        <w:tc>
          <w:tcPr>
            <w:tcW w:type="dxa" w:w="442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Envolver key users desde o início; demos precoces</w:t>
            </w:r>
          </w:p>
        </w:tc>
      </w:tr>
      <w:tr>
        <w:tc>
          <w:tcPr>
            <w:tcW w:type="dxa" w:w="374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SPoC sem disponibilidade suficiente</w:t>
            </w:r>
          </w:p>
        </w:tc>
        <w:tc>
          <w:tcPr>
            <w:tcW w:type="dxa" w:w="147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A</w:t>
            </w:r>
          </w:p>
        </w:tc>
        <w:tc>
          <w:tcPr>
            <w:tcW w:type="dxa" w:w="442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Negociar dedicação mínima de 30-50% do seu tempo</w:t>
            </w:r>
          </w:p>
        </w:tc>
      </w:tr>
      <w:tr>
        <w:tc>
          <w:tcPr>
            <w:tcW w:type="dxa" w:w="374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Dados históricos sujos ou incompletos</w:t>
            </w:r>
          </w:p>
        </w:tc>
        <w:tc>
          <w:tcPr>
            <w:tcW w:type="dxa" w:w="147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M</w:t>
            </w:r>
          </w:p>
        </w:tc>
        <w:tc>
          <w:tcPr>
            <w:tcW w:type="dxa" w:w="442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Importar apenas dados mestre; histórico numa 2ª fase</w:t>
            </w:r>
          </w:p>
        </w:tc>
      </w:tr>
      <w:tr>
        <w:tc>
          <w:tcPr>
            <w:tcW w:type="dxa" w:w="374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Pedidos de desenvolvimento excessivos</w:t>
            </w:r>
          </w:p>
        </w:tc>
        <w:tc>
          <w:tcPr>
            <w:tcW w:type="dxa" w:w="147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A</w:t>
            </w:r>
          </w:p>
        </w:tc>
        <w:tc>
          <w:tcPr>
            <w:tcW w:type="dxa" w:w="442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Estabelecer regra: 0 dev antes de Go-Live salvo must-have</w:t>
            </w:r>
          </w:p>
        </w:tc>
      </w:tr>
      <w:tr>
        <w:tc>
          <w:tcPr>
            <w:tcW w:type="dxa" w:w="374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Prazo irrealista</w:t>
            </w:r>
          </w:p>
        </w:tc>
        <w:tc>
          <w:tcPr>
            <w:tcW w:type="dxa" w:w="147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M</w:t>
            </w:r>
          </w:p>
        </w:tc>
        <w:tc>
          <w:tcPr>
            <w:tcW w:type="dxa" w:w="442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Renegociar no kick-off; ser transparente sobre timelines</w:t>
            </w:r>
          </w:p>
        </w:tc>
      </w:tr>
      <w:tr>
        <w:tc>
          <w:tcPr>
            <w:tcW w:type="dxa" w:w="374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Risco específico (a preencher):</w:t>
            </w:r>
          </w:p>
        </w:tc>
        <w:tc>
          <w:tcPr>
            <w:tcW w:type="dxa" w:w="147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442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5. ÂMBITO &amp; FASEAMENTO — Decidir o que entra na Fase 1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Regra de ouro: na Fase 1, incluir apenas o que é absolutamente necessário para operar o negócio. O resto vai para a Fase 2+.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3231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App / Módulo</w:t>
            </w:r>
          </w:p>
        </w:tc>
        <w:tc>
          <w:tcPr>
            <w:tcW w:type="dxa" w:w="1927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Fase 1 (Must Have)</w:t>
            </w:r>
          </w:p>
        </w:tc>
        <w:tc>
          <w:tcPr>
            <w:tcW w:type="dxa" w:w="2097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Fase 2+ (Nice to Have)</w:t>
            </w:r>
          </w:p>
        </w:tc>
        <w:tc>
          <w:tcPr>
            <w:tcW w:type="dxa" w:w="2381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Observações</w:t>
            </w:r>
          </w:p>
        </w:tc>
      </w:tr>
      <w:tr>
        <w:tc>
          <w:tcPr>
            <w:tcW w:type="dxa" w:w="323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Vendas / CRM</w:t>
            </w:r>
          </w:p>
        </w:tc>
        <w:tc>
          <w:tcPr>
            <w:tcW w:type="dxa" w:w="192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09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38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323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Compras</w:t>
            </w:r>
          </w:p>
        </w:tc>
        <w:tc>
          <w:tcPr>
            <w:tcW w:type="dxa" w:w="192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09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38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323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Inventário / Stock</w:t>
            </w:r>
          </w:p>
        </w:tc>
        <w:tc>
          <w:tcPr>
            <w:tcW w:type="dxa" w:w="192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09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38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323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Faturação / Contabilidade</w:t>
            </w:r>
          </w:p>
        </w:tc>
        <w:tc>
          <w:tcPr>
            <w:tcW w:type="dxa" w:w="192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09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38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323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Fabrico (MFG)</w:t>
            </w:r>
          </w:p>
        </w:tc>
        <w:tc>
          <w:tcPr>
            <w:tcW w:type="dxa" w:w="192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09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38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323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Website / eCommerce</w:t>
            </w:r>
          </w:p>
        </w:tc>
        <w:tc>
          <w:tcPr>
            <w:tcW w:type="dxa" w:w="192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09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38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323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Recursos Humanos</w:t>
            </w:r>
          </w:p>
        </w:tc>
        <w:tc>
          <w:tcPr>
            <w:tcW w:type="dxa" w:w="192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09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38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323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Helpdesk</w:t>
            </w:r>
          </w:p>
        </w:tc>
        <w:tc>
          <w:tcPr>
            <w:tcW w:type="dxa" w:w="192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09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38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323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Outro:</w:t>
            </w:r>
          </w:p>
        </w:tc>
        <w:tc>
          <w:tcPr>
            <w:tcW w:type="dxa" w:w="192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09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☐ Sim   ☐ Não</w:t>
            </w:r>
          </w:p>
        </w:tc>
        <w:tc>
          <w:tcPr>
            <w:tcW w:type="dxa" w:w="238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6. PRÓXIMOS PASSOS — Acordo de metodologia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Acordo de metodologia e preparação operacional antes do próximo encontro.</w:t>
      </w:r>
    </w:p>
    <w:p>
      <w:pPr>
        <w:spacing w:after="160"/>
        <w:pBdr>
          <w:bottom w:val="single" w:sz="6" w:space="1" w:color="D5E2EE"/>
        </w:pBdr>
      </w:pP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Confirmar data e formato dos workshops por departamento (1 session = 1 dept.)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O SPoC prepara: screenshots do sistema atual, exemplos de documentos, lista de relatórios necessários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Project Leader envia: acesso ao ambiente de demonstração Odoo + agenda dos workshops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SPoC começa formação em odoo.com/learn antes do próximo encontro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Peer-review agendado com App Expert após workshops (antes de apresentar proposta)</w:t>
      </w:r>
    </w:p>
    <w:p/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9"/>
            <w:shd w:fill="F5F9FC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7"/>
              </w:rPr>
              <w:t>Nota metodológica: O cliente define os seus objetivos de negócio (o quê e o porquê). O Project Leader decide como os satisfazer com o produto standard. Evitar prometer funcionalidades custom nesta fase.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  <w:vAlign w:val="top"/>
          <w:tcMar>
            <w:top w:w="90" w:type="dxa"/>
            <w:start w:w="120" w:type="dxa"/>
            <w:bottom w:w="90" w:type="dxa"/>
            <w:end w:w="120" w:type="dxa"/>
          </w:tcMar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spacing w:after="0" w:before="0"/>
          </w:pPr>
          <w:r/>
          <w:r>
            <w:rPr>
              <w:rFonts w:ascii="Aptos" w:hAnsi="Aptos" w:cs="Aptos"/>
              <w:b w:val="0"/>
              <w:color w:val="5A697D"/>
              <w:sz w:val="16"/>
            </w:rPr>
            <w:t>ROI Kick-Off | Odoo Implementation</w:t>
          </w:r>
        </w:p>
      </w:tc>
      <w:tc>
        <w:tcPr>
          <w:tcW w:type="dxa" w:w="2835"/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jc w:val="right"/>
          </w:pPr>
          <w:r>
            <w:rPr>
              <w:rFonts w:ascii="Aptos" w:hAnsi="Aptos" w:cs="Aptos"/>
              <w:b w:val="0"/>
              <w:color w:val="5A697D"/>
              <w:sz w:val="16"/>
            </w:rPr>
            <w:t xml:space="preserve">Página </w:t>
          </w:r>
          <w:r>
            <w:rPr>
              <w:rFonts w:ascii="Aptos" w:hAnsi="Aptos" w:cs="Aptos"/>
              <w:b/>
              <w:color w:val="0094E9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2619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261957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1A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 w:val="0"/>
      <w:bCs/>
      <w:color w:val="5A697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SectionKicker">
    <w:name w:val="PG Section Kicker"/>
    <w:basedOn w:val="Normal"/>
    <w:rPr>
      <w:rFonts w:ascii="Aptos" w:hAnsi="Aptos"/>
      <w:b/>
      <w:color w:val="0094E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ROI Kick-Off - Mindmap / Guia de Entrevista</dc:title>
  <dc:subject>Odoo Implementation</dc:subject>
  <dc:creator>Parâmetro Global</dc:creator>
  <cp:keywords/>
  <dc:description>Documento convertido para o layout Parâmetro Global.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