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00000" cy="545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900" w:after="160"/>
      </w:pPr>
      <w:r>
        <w:rPr>
          <w:rFonts w:ascii="Aptos Display" w:hAnsi="Aptos Display" w:cs="Aptos Display"/>
          <w:b/>
          <w:color w:val="121A26"/>
          <w:sz w:val="50"/>
        </w:rPr>
        <w:t>Relatório De Peer-Review</w:t>
      </w:r>
    </w:p>
    <w:p>
      <w:pPr>
        <w:spacing w:after="360"/>
      </w:pPr>
      <w:r>
        <w:rPr>
          <w:rFonts w:ascii="Aptos" w:hAnsi="Aptos" w:cs="Aptos"/>
          <w:b w:val="0"/>
          <w:color w:val="5A697D"/>
          <w:sz w:val="30"/>
        </w:rPr>
        <w:t>Fase: ROI Analysis</w:t>
      </w:r>
    </w:p>
    <w:p>
      <w:pPr>
        <w:spacing w:after="280"/>
      </w:pPr>
      <w:r>
        <w:rPr>
          <w:rFonts w:ascii="Aptos" w:hAnsi="Aptos" w:cs="Aptos"/>
          <w:b w:val="0"/>
          <w:color w:val="1F2937"/>
          <w:sz w:val="21"/>
        </w:rPr>
        <w:t>Validação por App Expert — Independente do Projeto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Cliente / Projeto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Odoo Implementation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02 de junho de 2026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Versão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1.0</w:t>
            </w:r>
          </w:p>
        </w:tc>
      </w:tr>
    </w:tbl>
    <w:p/>
    <w:p/>
    <w:p/>
    <w:p/>
    <w:p/>
    <w:p/>
    <w:p>
      <w:pPr>
        <w:spacing w:after="80"/>
      </w:pPr>
      <w:r>
        <w:rPr>
          <w:rFonts w:ascii="Aptos" w:hAnsi="Aptos" w:cs="Aptos"/>
          <w:b w:val="0"/>
          <w:color w:val="5A697D"/>
          <w:sz w:val="17"/>
        </w:rPr>
        <w:t>Preparado por Parâmetro Global</w:t>
      </w:r>
    </w:p>
    <w:p>
      <w:pPr>
        <w:pBdr>
          <w:bottom w:val="single" w:sz="22" w:space="1" w:color="121A26"/>
        </w:pBdr>
      </w:pPr>
    </w:p>
    <w:p>
      <w:pPr>
        <w:sectPr>
          <w:pgSz w:w="12240" w:h="15840"/>
          <w:pgMar w:top="964" w:right="1134" w:bottom="850" w:left="1134" w:header="454" w:footer="397" w:gutter="0"/>
          <w:cols w:space="720"/>
          <w:docGrid w:linePitch="360"/>
        </w:sectPr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Dados da Review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Identificação do projeto, intervenientes e versão do relatório.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Projeto</w:t>
            </w:r>
          </w:p>
        </w:tc>
        <w:tc>
          <w:tcPr>
            <w:tcW w:type="dxa" w:w="6690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_________________________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Cliente</w:t>
            </w:r>
          </w:p>
        </w:tc>
        <w:tc>
          <w:tcPr>
            <w:tcW w:type="dxa" w:w="669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_________________________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Project Leader</w:t>
            </w:r>
          </w:p>
        </w:tc>
        <w:tc>
          <w:tcPr>
            <w:tcW w:type="dxa" w:w="669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_________________________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App Expert Reviewer</w:t>
            </w:r>
          </w:p>
        </w:tc>
        <w:tc>
          <w:tcPr>
            <w:tcW w:type="dxa" w:w="669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_________________________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Data da Review</w:t>
            </w:r>
          </w:p>
        </w:tc>
        <w:tc>
          <w:tcPr>
            <w:tcW w:type="dxa" w:w="669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_________________________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Versão do Documento</w:t>
            </w:r>
          </w:p>
        </w:tc>
        <w:tc>
          <w:tcPr>
            <w:tcW w:type="dxa" w:w="669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v1.0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1. Objetivo</w:t>
      </w:r>
    </w:p>
    <w:p>
      <w:pPr>
        <w:spacing w:after="160"/>
        <w:pBdr>
          <w:bottom w:val="single" w:sz="6" w:space="1" w:color="D5E2EE"/>
        </w:pBdr>
      </w:pPr>
    </w:p>
    <w:p>
      <w:pPr>
        <w:spacing w:before="0" w:after="100"/>
      </w:pPr>
      <w:r>
        <w:rPr>
          <w:rFonts w:ascii="Aptos" w:hAnsi="Aptos" w:cs="Aptos"/>
          <w:b w:val="0"/>
          <w:color w:val="1F2937"/>
          <w:sz w:val="18"/>
        </w:rPr>
        <w:t>Este relatório documenta a revisão independente efectuada por um App Expert sobre a análise ROI preparada pelo Project Leader. O App Expert não está envolvido no projeto, permitindo uma avaliação objectiva e imparcial das soluções propostas.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9"/>
            <w:shd w:fill="F5F9FC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7"/>
              </w:rPr>
              <w:t>A peer-review tem dois objetivos principais:</w:t>
            </w:r>
          </w:p>
        </w:tc>
      </w:tr>
    </w:tbl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Avaliar se os desenvolvimentos custom identificados são realmente necessários e, se sim, priorizá-los para reduzir budget e prazo.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Verificar se não foram ignorados pain points críticos comuns à indústria do cliente, e rever a qualidade global da análise e a coerência da solução proposta.</w:t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2. Âmbito da Revisão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Documentos base a confirmar antes da validação final pelo App Expert.</w:t>
      </w:r>
    </w:p>
    <w:p>
      <w:pPr>
        <w:spacing w:after="160"/>
        <w:pBdr>
          <w:bottom w:val="single" w:sz="6" w:space="1" w:color="D5E2EE"/>
        </w:pBdr>
      </w:pPr>
    </w:p>
    <w:p>
      <w:pPr>
        <w:spacing w:before="160" w:after="80"/>
      </w:pPr>
      <w:r>
        <w:rPr>
          <w:rFonts w:ascii="Aptos Display" w:hAnsi="Aptos Display" w:cs="Aptos Display"/>
          <w:b/>
          <w:color w:val="121A26"/>
          <w:sz w:val="24"/>
        </w:rPr>
        <w:t>2.1 Documentos Analisados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4649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Documento</w:t>
            </w:r>
          </w:p>
        </w:tc>
        <w:tc>
          <w:tcPr>
            <w:tcW w:type="dxa" w:w="1757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Versão</w:t>
            </w:r>
          </w:p>
        </w:tc>
        <w:tc>
          <w:tcPr>
            <w:tcW w:type="dxa" w:w="3231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Revisto?</w:t>
            </w:r>
          </w:p>
        </w:tc>
      </w:tr>
      <w:tr>
        <w:tc>
          <w:tcPr>
            <w:tcW w:type="dxa" w:w="464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ROI Analysis Tool (Spreadsheet)</w:t>
            </w:r>
          </w:p>
        </w:tc>
        <w:tc>
          <w:tcPr>
            <w:tcW w:type="dxa" w:w="175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type="dxa" w:w="323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Sim  [ ] Não</w:t>
            </w:r>
          </w:p>
        </w:tc>
      </w:tr>
      <w:tr>
        <w:tc>
          <w:tcPr>
            <w:tcW w:type="dxa" w:w="4649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Workshop Notes / Mindmaps</w:t>
            </w:r>
          </w:p>
        </w:tc>
        <w:tc>
          <w:tcPr>
            <w:tcW w:type="dxa" w:w="1757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type="dxa" w:w="323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Sim  [ ] Não</w:t>
            </w:r>
          </w:p>
        </w:tc>
      </w:tr>
      <w:tr>
        <w:tc>
          <w:tcPr>
            <w:tcW w:type="dxa" w:w="464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Proof of Concept (demo/mockups)</w:t>
            </w:r>
          </w:p>
        </w:tc>
        <w:tc>
          <w:tcPr>
            <w:tcW w:type="dxa" w:w="175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type="dxa" w:w="323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Sim  [ ] Não</w:t>
            </w:r>
          </w:p>
        </w:tc>
      </w:tr>
      <w:tr>
        <w:tc>
          <w:tcPr>
            <w:tcW w:type="dxa" w:w="4649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Lista de Desenvolvimentos Propostos</w:t>
            </w:r>
          </w:p>
        </w:tc>
        <w:tc>
          <w:tcPr>
            <w:tcW w:type="dxa" w:w="1757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type="dxa" w:w="323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Sim  [ ] Não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3. Avaliação dos Desenvolvimentos Custom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Para cada desenvolvimento identificado na análise, o App Expert avalia se é realmente necessário e em que fase deve ser implementado.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2608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Desenvolvimento</w:t>
            </w:r>
          </w:p>
        </w:tc>
        <w:tc>
          <w:tcPr>
            <w:tcW w:type="dxa" w:w="1474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Estimativa (dias)</w:t>
            </w:r>
          </w:p>
        </w:tc>
        <w:tc>
          <w:tcPr>
            <w:tcW w:type="dxa" w:w="1530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Must-Have P1?</w:t>
            </w:r>
          </w:p>
        </w:tc>
        <w:tc>
          <w:tcPr>
            <w:tcW w:type="dxa" w:w="1701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Nice-to-Have P2?</w:t>
            </w:r>
          </w:p>
        </w:tc>
        <w:tc>
          <w:tcPr>
            <w:tcW w:type="dxa" w:w="2324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Decisão / Alternativa Standard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147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153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170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23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608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1474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1530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170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2324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147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153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170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23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608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1474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1530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1701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2324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147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153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170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  <w:tc>
          <w:tcPr>
            <w:tcW w:type="dxa" w:w="232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4. Qualidade da Análise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Checklist de consistência, cobertura funcional e qualidade metodológica da análise ROI.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4762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Critério</w:t>
            </w:r>
          </w:p>
        </w:tc>
        <w:tc>
          <w:tcPr>
            <w:tcW w:type="dxa" w:w="1134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OK?</w:t>
            </w:r>
          </w:p>
        </w:tc>
        <w:tc>
          <w:tcPr>
            <w:tcW w:type="dxa" w:w="3742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Observações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Pain points críticos da indústria identificados</w:t>
            </w:r>
          </w:p>
        </w:tc>
        <w:tc>
          <w:tcPr>
            <w:tcW w:type="dxa" w:w="113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374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4762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Terminologias mapeadas corretamente com Odoo</w:t>
            </w:r>
          </w:p>
        </w:tc>
        <w:tc>
          <w:tcPr>
            <w:tcW w:type="dxa" w:w="1134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3742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Workflows 'as-is' documentados com screenshots</w:t>
            </w:r>
          </w:p>
        </w:tc>
        <w:tc>
          <w:tcPr>
            <w:tcW w:type="dxa" w:w="113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374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4762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POC cobre os fluxos mais críticos do negócio</w:t>
            </w:r>
          </w:p>
        </w:tc>
        <w:tc>
          <w:tcPr>
            <w:tcW w:type="dxa" w:w="1134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3742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Phasing adequado (must-have vs nice-to-have)</w:t>
            </w:r>
          </w:p>
        </w:tc>
        <w:tc>
          <w:tcPr>
            <w:tcW w:type="dxa" w:w="113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374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4762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Budget e timing realistas</w:t>
            </w:r>
          </w:p>
        </w:tc>
        <w:tc>
          <w:tcPr>
            <w:tcW w:type="dxa" w:w="1134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3742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Riscos identificados e mitigados</w:t>
            </w:r>
          </w:p>
        </w:tc>
        <w:tc>
          <w:tcPr>
            <w:tcW w:type="dxa" w:w="113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374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5. Conclusão e Recomendações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Síntese da revisão independente e recomendações antes da proposta final.</w:t>
      </w:r>
    </w:p>
    <w:p>
      <w:pPr>
        <w:spacing w:after="160"/>
        <w:pBdr>
          <w:bottom w:val="single" w:sz="6" w:space="1" w:color="D5E2EE"/>
        </w:pBdr>
      </w:pPr>
    </w:p>
    <w:p>
      <w:pPr>
        <w:spacing w:before="160" w:after="80"/>
      </w:pPr>
      <w:r>
        <w:rPr>
          <w:rFonts w:ascii="Aptos Display" w:hAnsi="Aptos Display" w:cs="Aptos Display"/>
          <w:b/>
          <w:color w:val="121A26"/>
          <w:sz w:val="24"/>
        </w:rPr>
        <w:t>5.1 Avaliação Global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819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[ ] Aprovado sem reservas</w:t>
            </w:r>
          </w:p>
        </w:tc>
        <w:tc>
          <w:tcPr>
            <w:tcW w:type="dxa" w:w="4819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[ ] Aprovado com reservas</w:t>
            </w:r>
          </w:p>
        </w:tc>
      </w:tr>
      <w:tr>
        <w:tc>
          <w:tcPr>
            <w:tcW w:type="dxa" w:w="481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[ ] Requer revisão pelo PL</w:t>
            </w:r>
          </w:p>
        </w:tc>
        <w:tc>
          <w:tcPr>
            <w:tcW w:type="dxa" w:w="481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[ ] Análise insuficiente — refazer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ptos Display" w:hAnsi="Aptos Display" w:cs="Aptos Display"/>
          <w:b/>
          <w:color w:val="121A26"/>
          <w:sz w:val="24"/>
        </w:rPr>
        <w:t>5.2 Principais Recomendações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963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963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963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 xml:space="preserve"> </w:t>
            </w:r>
          </w:p>
        </w:tc>
      </w:tr>
    </w:tbl>
    <w:p>
      <w:pPr>
        <w:spacing w:before="160" w:after="80"/>
      </w:pPr>
      <w:r>
        <w:rPr>
          <w:rFonts w:ascii="Aptos Display" w:hAnsi="Aptos Display" w:cs="Aptos Display"/>
          <w:b/>
          <w:color w:val="121A26"/>
          <w:sz w:val="24"/>
        </w:rPr>
        <w:t>5.3 Assinaturas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App Expert</w:t>
            </w:r>
          </w:p>
        </w:tc>
        <w:tc>
          <w:tcPr>
            <w:tcW w:type="dxa" w:w="6917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Nome / Assinatura / Data: _______________</w:t>
            </w:r>
          </w:p>
        </w:tc>
      </w:tr>
      <w:tr>
        <w:tc>
          <w:tcPr>
            <w:tcW w:type="dxa" w:w="2721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Project Leader</w:t>
            </w:r>
          </w:p>
        </w:tc>
        <w:tc>
          <w:tcPr>
            <w:tcW w:type="dxa" w:w="691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Nome / Assinatura / Data: _______________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907" w:right="1134" w:bottom="850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803"/>
          <w:vAlign w:val="top"/>
          <w:tcMar>
            <w:top w:w="90" w:type="dxa"/>
            <w:start w:w="120" w:type="dxa"/>
            <w:bottom w:w="90" w:type="dxa"/>
            <w:end w:w="120" w:type="dxa"/>
          </w:tcMar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spacing w:after="0" w:before="0"/>
          </w:pPr>
          <w:r/>
          <w:r>
            <w:rPr>
              <w:rFonts w:ascii="Aptos" w:hAnsi="Aptos" w:cs="Aptos"/>
              <w:b w:val="0"/>
              <w:color w:val="5A697D"/>
              <w:sz w:val="16"/>
            </w:rPr>
            <w:t>ROI Peer-Review | Odoo Implementation</w:t>
          </w:r>
        </w:p>
      </w:tc>
      <w:tc>
        <w:tcPr>
          <w:tcW w:type="dxa" w:w="2835"/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jc w:val="right"/>
          </w:pPr>
          <w:r>
            <w:rPr>
              <w:rFonts w:ascii="Aptos" w:hAnsi="Aptos" w:cs="Aptos"/>
              <w:b w:val="0"/>
              <w:color w:val="5A697D"/>
              <w:sz w:val="16"/>
            </w:rPr>
            <w:t xml:space="preserve">Página </w:t>
          </w:r>
          <w:r>
            <w:rPr>
              <w:rFonts w:ascii="Aptos" w:hAnsi="Aptos" w:cs="Aptos"/>
              <w:b/>
              <w:color w:val="0094E9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96000" cy="2619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261957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1A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 w:val="0"/>
      <w:bCs/>
      <w:color w:val="5A697D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SectionKicker">
    <w:name w:val="PG Section Kicker"/>
    <w:basedOn w:val="Normal"/>
    <w:rPr>
      <w:rFonts w:ascii="Aptos" w:hAnsi="Aptos"/>
      <w:b/>
      <w:color w:val="0094E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Peer-Review</dc:title>
  <dc:subject>Fase: ROI Analysis</dc:subject>
  <dc:creator>Parâmetro Global</dc:creator>
  <cp:keywords/>
  <dc:description>Documento convertido para o layout Parâmetro Global.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