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900" w:after="160"/>
      </w:pPr>
      <w:r>
        <w:rPr>
          <w:rFonts w:ascii="Aptos Display" w:hAnsi="Aptos Display" w:cs="Aptos Display"/>
          <w:b/>
          <w:color w:val="121A26"/>
          <w:sz w:val="50"/>
        </w:rPr>
        <w:t>Guia de Onboarding do SPoC</w:t>
      </w:r>
    </w:p>
    <w:p>
      <w:pPr>
        <w:spacing w:after="360"/>
      </w:pPr>
      <w:r>
        <w:rPr>
          <w:rFonts w:ascii="Aptos" w:hAnsi="Aptos" w:cs="Aptos"/>
          <w:b w:val="0"/>
          <w:color w:val="5A697D"/>
          <w:sz w:val="30"/>
        </w:rPr>
        <w:t>Single Point of Contact | Project Kick-Off</w:t>
      </w:r>
    </w:p>
    <w:p>
      <w:pPr>
        <w:spacing w:after="280"/>
      </w:pPr>
      <w:r>
        <w:rPr>
          <w:rFonts w:ascii="Aptos" w:hAnsi="Aptos" w:cs="Aptos"/>
          <w:b w:val="0"/>
          <w:color w:val="1F2937"/>
          <w:sz w:val="21"/>
        </w:rPr>
        <w:t>Guia operacional para clarificar responsabilidades, metodologia, recursos, comunicação e checklist de arranque do SPoC durante a implementação Odoo.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Cliente / Projeto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Odoo Implementation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02 de junho de 2026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Versão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1.0</w:t>
            </w:r>
          </w:p>
        </w:tc>
      </w:tr>
    </w:tbl>
    <w:p/>
    <w:p/>
    <w:p/>
    <w:p/>
    <w:p/>
    <w:p/>
    <w:p>
      <w:pPr>
        <w:spacing w:after="80"/>
      </w:pPr>
      <w:r>
        <w:rPr>
          <w:rFonts w:ascii="Aptos" w:hAnsi="Aptos" w:cs="Aptos"/>
          <w:b w:val="0"/>
          <w:color w:val="5A697D"/>
          <w:sz w:val="17"/>
        </w:rPr>
        <w:t>Preparado por Parâmetro Global</w:t>
      </w:r>
    </w:p>
    <w:p>
      <w:pPr>
        <w:pBdr>
          <w:bottom w:val="single" w:sz="22" w:space="1" w:color="121A26"/>
        </w:pBdr>
      </w:pPr>
    </w:p>
    <w:p>
      <w:pPr>
        <w:sectPr>
          <w:pgSz w:w="12240" w:h="15840"/>
          <w:pgMar w:top="964" w:right="1134" w:bottom="850" w:left="1134" w:header="454" w:footer="397" w:gutter="0"/>
          <w:cols w:space="720"/>
          <w:docGrid w:linePitch="360"/>
        </w:sectPr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Dados do Projeto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Identificação do projeto, do SPoC e do Project Leader para a fase de kick-off.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Projeto</w:t>
            </w:r>
          </w:p>
        </w:tc>
        <w:tc>
          <w:tcPr>
            <w:tcW w:type="dxa" w:w="669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___________________________________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Nome do SPoC</w:t>
            </w:r>
          </w:p>
        </w:tc>
        <w:tc>
          <w:tcPr>
            <w:tcW w:type="dxa" w:w="669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___________________________________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Project Leader</w:t>
            </w:r>
          </w:p>
        </w:tc>
        <w:tc>
          <w:tcPr>
            <w:tcW w:type="dxa" w:w="669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___________________________________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 de Início</w:t>
            </w:r>
          </w:p>
        </w:tc>
        <w:tc>
          <w:tcPr>
            <w:tcW w:type="dxa" w:w="6690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___________________________________</w:t>
            </w:r>
          </w:p>
        </w:tc>
      </w:tr>
    </w:tbl>
    <w:p>
      <w:pPr>
        <w:spacing w:after="6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1. O Teu Papel no Projeto</w:t>
      </w:r>
    </w:p>
    <w:p>
      <w:pPr>
        <w:spacing w:after="160"/>
        <w:pBdr>
          <w:bottom w:val="single" w:sz="6" w:space="1" w:color="D5E2EE"/>
        </w:pBdr>
      </w:pPr>
    </w:p>
    <w:p>
      <w:pPr>
        <w:spacing w:before="0" w:after="100"/>
      </w:pPr>
      <w:r>
        <w:rPr>
          <w:rFonts w:ascii="Aptos" w:hAnsi="Aptos" w:cs="Aptos"/>
          <w:b w:val="0"/>
          <w:color w:val="1F2937"/>
          <w:sz w:val="18"/>
        </w:rPr>
        <w:t>Como SPoC (Single Point of Contact), és a peça central do sucesso desta implementação. O teu papel é fundamental e partilhas a responsabilidade do sucesso do projeto com o Project Leader.</w:t>
      </w:r>
    </w:p>
    <w:p>
      <w:pPr>
        <w:spacing w:before="140" w:after="60"/>
      </w:pPr>
      <w:r>
        <w:rPr>
          <w:rFonts w:ascii="Aptos Display" w:hAnsi="Aptos Display" w:cs="Aptos Display"/>
          <w:b/>
          <w:color w:val="121A26"/>
          <w:sz w:val="23"/>
        </w:rPr>
        <w:t>1.1 As tuas responsabilidades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Recolher e validar os requisitos do projeto junto dos teus colegas.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Tornar-te o expert interno de Odoo na tua empresa.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Treinar os utilizadores finais com o apoio do Project Leader.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Garantir o primeiro nível de suporte interno para os teus colegas.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Tomar decisões e ter autoridade para o fazer — sem precisar de validação constante.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Estar disponível e dedicar tempo suficiente ao projeto.</w:t>
      </w:r>
    </w:p>
    <w:p>
      <w:pPr>
        <w:spacing w:before="140" w:after="60"/>
      </w:pPr>
      <w:r>
        <w:rPr>
          <w:rFonts w:ascii="Aptos Display" w:hAnsi="Aptos Display" w:cs="Aptos Display"/>
          <w:b/>
          <w:color w:val="121A26"/>
          <w:sz w:val="23"/>
        </w:rPr>
        <w:t>1.2 O que NÃO é o teu papel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Não tens de saber tudo sobre Odoo desde o início — vai aprendendo ao longo do projeto.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Não tens de escrever especificações técnicas — esse é o trabalho do Project Leader.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Não defines COMO implementar — defines O QUÊ precisas e PORQUÊ. O PL decide o COMO.</w:t>
      </w: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2. A Metodologia - O que esperar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Princípios de trabalho, tomada de decisão e etapas previstas ao longo da implementação.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0" w:after="100"/>
      </w:pPr>
      <w:r>
        <w:rPr>
          <w:rFonts w:ascii="Aptos" w:hAnsi="Aptos" w:cs="Aptos"/>
          <w:b w:val="0"/>
          <w:color w:val="1F2937"/>
          <w:sz w:val="18"/>
        </w:rPr>
        <w:t>É importante que compreendas como trabalhamos. Aqui estão os princípios fundamentais:</w:t>
      </w:r>
    </w:p>
    <w:p>
      <w:pPr>
        <w:spacing w:before="140" w:after="60"/>
      </w:pPr>
      <w:r>
        <w:rPr>
          <w:rFonts w:ascii="Aptos Display" w:hAnsi="Aptos Display" w:cs="Aptos Display"/>
          <w:b/>
          <w:color w:val="121A26"/>
          <w:sz w:val="23"/>
        </w:rPr>
        <w:t>2.1 Prioridades absolutas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O projeto deve ser entregue A TEMPO e DENTRO DO ORÇAMENTO.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Desenvolvimentos custom são um último recurso — evitamo-los ao máximo.</w:t>
      </w:r>
    </w:p>
    <w:p>
      <w:pPr>
        <w:pStyle w:val="ListBullet"/>
        <w:spacing w:after="80"/>
        <w:ind w:left="369" w:hanging="142"/>
      </w:pPr>
      <w:r>
        <w:rPr>
          <w:rFonts w:ascii="Aptos" w:hAnsi="Aptos" w:cs="Aptos"/>
          <w:b w:val="0"/>
          <w:color w:val="1F2937"/>
          <w:sz w:val="18"/>
        </w:rPr>
        <w:t>Customer satisfaction durante a implementação não é o KPI principal — o sucesso é o go-live.</w:t>
      </w:r>
    </w:p>
    <w:p>
      <w:pPr>
        <w:spacing w:before="140" w:after="60"/>
      </w:pPr>
      <w:r>
        <w:rPr>
          <w:rFonts w:ascii="Aptos Display" w:hAnsi="Aptos Display" w:cs="Aptos Display"/>
          <w:b/>
          <w:color w:val="121A26"/>
          <w:sz w:val="23"/>
        </w:rPr>
        <w:t>2.2 Processo de decisão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9"/>
            <w:shd w:fill="F5F9FC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7"/>
              </w:rPr>
              <w:t>O Project Leader decide COMO implementar. O teu papel é desafiar as suas propostas — não fazer pedidos ilimitados. Se pedires X e o PL propuser Y (mais simples e igualmente eficaz), aceita a proposta a menos que tenhas uma razão de negócio sólida para insistir.</w:t>
            </w:r>
          </w:p>
        </w:tc>
      </w:tr>
    </w:tbl>
    <w:p>
      <w:pPr>
        <w:spacing w:before="140" w:after="60"/>
      </w:pPr>
      <w:r>
        <w:rPr>
          <w:rFonts w:ascii="Aptos Display" w:hAnsi="Aptos Display" w:cs="Aptos Display"/>
          <w:b/>
          <w:color w:val="121A26"/>
          <w:sz w:val="23"/>
        </w:rPr>
        <w:t>2.3 O que vai acontecer ao longo do projeto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0094E9"/>
                <w:sz w:val="17"/>
              </w:rPr>
              <w:t>1</w:t>
            </w:r>
          </w:p>
        </w:tc>
        <w:tc>
          <w:tcPr>
            <w:tcW w:type="dxa" w:w="9185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ROI/Kick-Off: alinhamento, plano, primeiras demos.</w:t>
            </w:r>
          </w:p>
        </w:tc>
      </w:tr>
    </w:tbl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0094E9"/>
                <w:sz w:val="17"/>
              </w:rPr>
              <w:t>2</w:t>
            </w:r>
          </w:p>
        </w:tc>
        <w:tc>
          <w:tcPr>
            <w:tcW w:type="dxa" w:w="9185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Implementação: ciclos semanais de análise → configuração → validação → treino.</w:t>
            </w:r>
          </w:p>
        </w:tc>
      </w:tr>
    </w:tbl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0094E9"/>
                <w:sz w:val="17"/>
              </w:rPr>
              <w:t>3</w:t>
            </w:r>
          </w:p>
        </w:tc>
        <w:tc>
          <w:tcPr>
            <w:tcW w:type="dxa" w:w="9185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Go-Live: formação final, testes, arranque em produção.</w:t>
            </w:r>
          </w:p>
        </w:tc>
      </w:tr>
    </w:tbl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 w:cs="Aptos"/>
                <w:b/>
                <w:color w:val="0094E9"/>
                <w:sz w:val="17"/>
              </w:rPr>
              <w:t>4</w:t>
            </w:r>
          </w:p>
        </w:tc>
        <w:tc>
          <w:tcPr>
            <w:tcW w:type="dxa" w:w="9185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Pós Go-Live: ajustes, suporte, fase 2.</w:t>
            </w:r>
          </w:p>
        </w:tc>
      </w:tr>
    </w:tbl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3. Plataformas e Recursos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Recursos que o SPoC deve utilizar para preparar as sessões de implementação.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140" w:after="60"/>
      </w:pPr>
      <w:r>
        <w:rPr>
          <w:rFonts w:ascii="Aptos Display" w:hAnsi="Aptos Display" w:cs="Aptos Display"/>
          <w:b/>
          <w:color w:val="121A26"/>
          <w:sz w:val="23"/>
        </w:rPr>
        <w:t>3.1 eLearning - o teu ponto de partida</w:t>
      </w:r>
    </w:p>
    <w:p>
      <w:pPr>
        <w:spacing w:before="0" w:after="100"/>
      </w:pPr>
      <w:r>
        <w:rPr>
          <w:rFonts w:ascii="Aptos" w:hAnsi="Aptos" w:cs="Aptos"/>
          <w:b w:val="0"/>
          <w:color w:val="1F2937"/>
          <w:sz w:val="18"/>
        </w:rPr>
        <w:t>Acede a https://odoo.com/learn e completa os cursos das apps do teu projeto ANTES das sessões de implementação. Quanto mais souberes, mais rápido avançamos.</w:t>
      </w:r>
    </w:p>
    <w:p>
      <w:pPr>
        <w:spacing w:before="140" w:after="60"/>
      </w:pPr>
      <w:r>
        <w:rPr>
          <w:rFonts w:ascii="Aptos Display" w:hAnsi="Aptos Display" w:cs="Aptos Display"/>
          <w:b/>
          <w:color w:val="121A26"/>
          <w:sz w:val="23"/>
        </w:rPr>
        <w:t>3.2 Documentação Odoo</w:t>
      </w:r>
    </w:p>
    <w:p>
      <w:pPr>
        <w:spacing w:before="0" w:after="100"/>
      </w:pPr>
      <w:r>
        <w:rPr>
          <w:rFonts w:ascii="Aptos" w:hAnsi="Aptos" w:cs="Aptos"/>
          <w:b w:val="0"/>
          <w:color w:val="1F2937"/>
          <w:sz w:val="18"/>
        </w:rPr>
        <w:t>Toda a documentação funcional está disponível em https://www.odoo.com/documentation. Usa-a sempre que tiveres dúvidas.</w:t>
      </w: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3.3 Apps a aprender (para este projeto)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Priorização dos módulos e confirmação da conclusão dos cursos eLearning.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948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App / Módulo</w:t>
            </w:r>
          </w:p>
        </w:tc>
        <w:tc>
          <w:tcPr>
            <w:tcW w:type="dxa" w:w="3515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Prioridade</w:t>
            </w:r>
          </w:p>
        </w:tc>
        <w:tc>
          <w:tcPr>
            <w:tcW w:type="dxa" w:w="3175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Curso eLearning Concluído?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Vendas (CRM/Sales)</w:t>
            </w:r>
          </w:p>
        </w:tc>
        <w:tc>
          <w:tcPr>
            <w:tcW w:type="dxa" w:w="3515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Alta  [ ] Média  [ ] N/A</w:t>
            </w:r>
          </w:p>
        </w:tc>
        <w:tc>
          <w:tcPr>
            <w:tcW w:type="dxa" w:w="3175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Sim  [ ] Não</w:t>
            </w:r>
          </w:p>
        </w:tc>
      </w:tr>
      <w:tr>
        <w:tc>
          <w:tcPr>
            <w:tcW w:type="dxa" w:w="2948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Compras</w:t>
            </w:r>
          </w:p>
        </w:tc>
        <w:tc>
          <w:tcPr>
            <w:tcW w:type="dxa" w:w="3515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Alta  [ ] Média  [ ] N/A</w:t>
            </w:r>
          </w:p>
        </w:tc>
        <w:tc>
          <w:tcPr>
            <w:tcW w:type="dxa" w:w="3175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Sim  [ ] Não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Inventário / Armazém</w:t>
            </w:r>
          </w:p>
        </w:tc>
        <w:tc>
          <w:tcPr>
            <w:tcW w:type="dxa" w:w="3515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Alta  [ ] Média  [ ] N/A</w:t>
            </w:r>
          </w:p>
        </w:tc>
        <w:tc>
          <w:tcPr>
            <w:tcW w:type="dxa" w:w="3175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Sim  [ ] Não</w:t>
            </w:r>
          </w:p>
        </w:tc>
      </w:tr>
      <w:tr>
        <w:tc>
          <w:tcPr>
            <w:tcW w:type="dxa" w:w="2948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Faturação / Contabilidade</w:t>
            </w:r>
          </w:p>
        </w:tc>
        <w:tc>
          <w:tcPr>
            <w:tcW w:type="dxa" w:w="3515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Alta  [ ] Média  [ ] N/A</w:t>
            </w:r>
          </w:p>
        </w:tc>
        <w:tc>
          <w:tcPr>
            <w:tcW w:type="dxa" w:w="3175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Sim  [ ] Não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Produção (MRP)</w:t>
            </w:r>
          </w:p>
        </w:tc>
        <w:tc>
          <w:tcPr>
            <w:tcW w:type="dxa" w:w="3515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Alta  [ ] Média  [ ] N/A</w:t>
            </w:r>
          </w:p>
        </w:tc>
        <w:tc>
          <w:tcPr>
            <w:tcW w:type="dxa" w:w="3175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Sim  [ ] Não</w:t>
            </w:r>
          </w:p>
        </w:tc>
      </w:tr>
      <w:tr>
        <w:tc>
          <w:tcPr>
            <w:tcW w:type="dxa" w:w="2948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Website / eCommerce</w:t>
            </w:r>
          </w:p>
        </w:tc>
        <w:tc>
          <w:tcPr>
            <w:tcW w:type="dxa" w:w="3515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Alta  [ ] Média  [ ] N/A</w:t>
            </w:r>
          </w:p>
        </w:tc>
        <w:tc>
          <w:tcPr>
            <w:tcW w:type="dxa" w:w="3175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Sim  [ ] Não</w:t>
            </w:r>
          </w:p>
        </w:tc>
      </w:tr>
      <w:tr>
        <w:tc>
          <w:tcPr>
            <w:tcW w:type="dxa" w:w="2948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Recursos Humanos</w:t>
            </w:r>
          </w:p>
        </w:tc>
        <w:tc>
          <w:tcPr>
            <w:tcW w:type="dxa" w:w="3515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Alta  [ ] Média  [ ] N/A</w:t>
            </w:r>
          </w:p>
        </w:tc>
        <w:tc>
          <w:tcPr>
            <w:tcW w:type="dxa" w:w="3175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Sim  [ ] Não</w:t>
            </w:r>
          </w:p>
        </w:tc>
      </w:tr>
      <w:tr>
        <w:tc>
          <w:tcPr>
            <w:tcW w:type="dxa" w:w="2948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Outro: ___________</w:t>
            </w:r>
          </w:p>
        </w:tc>
        <w:tc>
          <w:tcPr>
            <w:tcW w:type="dxa" w:w="3515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Alta  [ ] Média  [ ] N/A</w:t>
            </w:r>
          </w:p>
        </w:tc>
        <w:tc>
          <w:tcPr>
            <w:tcW w:type="dxa" w:w="3175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[ ] Sim  [ ] Não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4. Comunicação e Disponibilidade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Canais, ferramentas, frequência de reuniões e disponibilidade mínima acordada para o SPoC.</w:t>
      </w:r>
    </w:p>
    <w:p>
      <w:pPr>
        <w:spacing w:after="160"/>
        <w:pBdr>
          <w:bottom w:val="single" w:sz="6" w:space="1" w:color="D5E2EE"/>
        </w:pBdr>
      </w:pPr>
    </w:p>
    <w:p>
      <w:pPr>
        <w:spacing w:before="0" w:after="100"/>
      </w:pPr>
      <w:r>
        <w:rPr>
          <w:rFonts w:ascii="Aptos" w:hAnsi="Aptos" w:cs="Aptos"/>
          <w:b w:val="0"/>
          <w:color w:val="1F2937"/>
          <w:sz w:val="18"/>
        </w:rPr>
        <w:t>Estima-se que o SPoC invista entre 20% a 50% do seu tempo no projeto durante a fase de implementação (varia com a complexidade e fase do projeto). Confirma abaixo: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62"/>
            <w:tcBorders>
              <w:top w:val="single" w:sz="0" w:space="0" w:color="FFFFFF"/>
              <w:bottom w:val="single" w:sz="0" w:space="0" w:color="FFFFFF"/>
              <w:left w:val="nil"/>
              <w:right w:val="nil"/>
            </w:tcBorders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ptos Display" w:hAnsi="Aptos Display" w:cs="Aptos Display"/>
                <w:b/>
                <w:color w:val="121A26"/>
                <w:sz w:val="21"/>
              </w:rPr>
              <w:t>4.1 Canal principal de comunicação</w:t>
            </w:r>
          </w:p>
          <w:tbl>
            <w:tblPr>
              <w:tblW w:type="dxa" w:w="4592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381"/>
              <w:gridCol w:w="2381"/>
            </w:tblGrid>
            <w:tr>
              <w:tc>
                <w:tcPr>
                  <w:tcW w:type="dxa" w:w="1984"/>
                  <w:shd w:fill="EBF7FF"/>
                  <w:vAlign w:val="top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tcBorders>
                    <w:top w:val="single" w:sz="4" w:space="0" w:color="D5E2EE"/>
                    <w:bottom w:val="single" w:sz="4" w:space="0" w:color="D5E2EE"/>
                    <w:left w:val="single" w:sz="4" w:space="0" w:color="D5E2EE"/>
                    <w:right w:val="single" w:sz="4" w:space="0" w:color="D5E2EE"/>
                  </w:tcBorders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ptos" w:hAnsi="Aptos" w:cs="Aptos"/>
                      <w:b/>
                      <w:color w:val="121A26"/>
                      <w:sz w:val="15"/>
                    </w:rPr>
                    <w:t>Email / Slack / Teams</w:t>
                  </w:r>
                </w:p>
              </w:tc>
              <w:tc>
                <w:tcPr>
                  <w:tcW w:type="dxa" w:w="2608"/>
                  <w:vAlign w:val="top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tcBorders>
                    <w:top w:val="single" w:sz="4" w:space="0" w:color="D5E2EE"/>
                    <w:bottom w:val="single" w:sz="4" w:space="0" w:color="D5E2EE"/>
                    <w:left w:val="single" w:sz="4" w:space="0" w:color="D5E2EE"/>
                    <w:right w:val="single" w:sz="4" w:space="0" w:color="D5E2EE"/>
                  </w:tcBorders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ptos" w:hAnsi="Aptos" w:cs="Aptos"/>
                      <w:b w:val="0"/>
                      <w:color w:val="1F2937"/>
                      <w:sz w:val="15"/>
                    </w:rPr>
                    <w:t>___________________________________</w:t>
                  </w:r>
                </w:p>
              </w:tc>
            </w:tr>
            <w:tr>
              <w:tc>
                <w:tcPr>
                  <w:tcW w:type="dxa" w:w="1984"/>
                  <w:shd w:fill="EBF7FF"/>
                  <w:vAlign w:val="top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tcBorders>
                    <w:top w:val="single" w:sz="4" w:space="0" w:color="D5E2EE"/>
                    <w:bottom w:val="single" w:sz="4" w:space="0" w:color="D5E2EE"/>
                    <w:left w:val="single" w:sz="4" w:space="0" w:color="D5E2EE"/>
                    <w:right w:val="single" w:sz="4" w:space="0" w:color="D5E2EE"/>
                  </w:tcBorders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ptos" w:hAnsi="Aptos" w:cs="Aptos"/>
                      <w:b/>
                      <w:color w:val="121A26"/>
                      <w:sz w:val="15"/>
                    </w:rPr>
                    <w:t>Ferramenta de Gestão de Projeto</w:t>
                  </w:r>
                </w:p>
              </w:tc>
              <w:tc>
                <w:tcPr>
                  <w:tcW w:type="dxa" w:w="2608"/>
                  <w:vAlign w:val="top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tcBorders>
                    <w:top w:val="single" w:sz="4" w:space="0" w:color="D5E2EE"/>
                    <w:bottom w:val="single" w:sz="4" w:space="0" w:color="D5E2EE"/>
                    <w:left w:val="single" w:sz="4" w:space="0" w:color="D5E2EE"/>
                    <w:right w:val="single" w:sz="4" w:space="0" w:color="D5E2EE"/>
                  </w:tcBorders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ptos" w:hAnsi="Aptos" w:cs="Aptos"/>
                      <w:b w:val="0"/>
                      <w:color w:val="1F2937"/>
                      <w:sz w:val="15"/>
                    </w:rPr>
                    <w:t>Odoo Project / ___________________</w:t>
                  </w:r>
                </w:p>
              </w:tc>
            </w:tr>
            <w:tr>
              <w:tc>
                <w:tcPr>
                  <w:tcW w:type="dxa" w:w="1984"/>
                  <w:shd w:fill="EBF7FF"/>
                  <w:vAlign w:val="top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tcBorders>
                    <w:top w:val="single" w:sz="4" w:space="0" w:color="D5E2EE"/>
                    <w:bottom w:val="single" w:sz="4" w:space="0" w:color="D5E2EE"/>
                    <w:left w:val="single" w:sz="4" w:space="0" w:color="D5E2EE"/>
                    <w:right w:val="single" w:sz="4" w:space="0" w:color="D5E2EE"/>
                  </w:tcBorders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ptos" w:hAnsi="Aptos" w:cs="Aptos"/>
                      <w:b/>
                      <w:color w:val="121A26"/>
                      <w:sz w:val="15"/>
                    </w:rPr>
                    <w:t>Frequência de reuniões</w:t>
                  </w:r>
                </w:p>
              </w:tc>
              <w:tc>
                <w:tcPr>
                  <w:tcW w:type="dxa" w:w="2608"/>
                  <w:vAlign w:val="top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tcBorders>
                    <w:top w:val="single" w:sz="4" w:space="0" w:color="D5E2EE"/>
                    <w:bottom w:val="single" w:sz="4" w:space="0" w:color="D5E2EE"/>
                    <w:left w:val="single" w:sz="4" w:space="0" w:color="D5E2EE"/>
                    <w:right w:val="single" w:sz="4" w:space="0" w:color="D5E2EE"/>
                  </w:tcBorders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ptos" w:hAnsi="Aptos" w:cs="Aptos"/>
                      <w:b w:val="0"/>
                      <w:color w:val="1F2937"/>
                      <w:sz w:val="15"/>
                    </w:rPr>
                    <w:t>[ ] Semanal  [ ] Bi-semanal  [ ] Quinzenal</w:t>
                  </w:r>
                </w:p>
              </w:tc>
            </w:tr>
          </w:tbl>
          <w:p/>
        </w:tc>
        <w:tc>
          <w:tcPr>
            <w:tcW w:type="dxa" w:w="4876"/>
            <w:tcBorders>
              <w:top w:val="single" w:sz="0" w:space="0" w:color="FFFFFF"/>
              <w:bottom w:val="single" w:sz="0" w:space="0" w:color="FFFFFF"/>
              <w:left w:val="nil"/>
              <w:right w:val="nil"/>
            </w:tcBorders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ptos Display" w:hAnsi="Aptos Display" w:cs="Aptos Display"/>
                <w:b/>
                <w:color w:val="121A26"/>
                <w:sz w:val="21"/>
              </w:rPr>
              <w:t>4.2 Disponibilidade esperada</w:t>
            </w:r>
          </w:p>
          <w:tbl>
            <w:tblPr>
              <w:tblW w:type="dxa" w:w="4762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438"/>
              <w:gridCol w:w="2438"/>
            </w:tblGrid>
            <w:tr>
              <w:tc>
                <w:tcPr>
                  <w:tcW w:type="dxa" w:w="2097"/>
                  <w:shd w:fill="EBF7FF"/>
                  <w:vAlign w:val="top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tcBorders>
                    <w:top w:val="single" w:sz="4" w:space="0" w:color="D5E2EE"/>
                    <w:bottom w:val="single" w:sz="4" w:space="0" w:color="D5E2EE"/>
                    <w:left w:val="single" w:sz="4" w:space="0" w:color="D5E2EE"/>
                    <w:right w:val="single" w:sz="4" w:space="0" w:color="D5E2EE"/>
                  </w:tcBorders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ptos" w:hAnsi="Aptos" w:cs="Aptos"/>
                      <w:b/>
                      <w:color w:val="121A26"/>
                      <w:sz w:val="15"/>
                    </w:rPr>
                    <w:t>% de tempo disponível estimado</w:t>
                  </w:r>
                </w:p>
              </w:tc>
              <w:tc>
                <w:tcPr>
                  <w:tcW w:type="dxa" w:w="2664"/>
                  <w:vAlign w:val="top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tcBorders>
                    <w:top w:val="single" w:sz="4" w:space="0" w:color="D5E2EE"/>
                    <w:bottom w:val="single" w:sz="4" w:space="0" w:color="D5E2EE"/>
                    <w:left w:val="single" w:sz="4" w:space="0" w:color="D5E2EE"/>
                    <w:right w:val="single" w:sz="4" w:space="0" w:color="D5E2EE"/>
                  </w:tcBorders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ptos" w:hAnsi="Aptos" w:cs="Aptos"/>
                      <w:b w:val="0"/>
                      <w:color w:val="1F2937"/>
                      <w:sz w:val="15"/>
                    </w:rPr>
                    <w:t>_____% do tempo de trabalho</w:t>
                  </w:r>
                </w:p>
              </w:tc>
            </w:tr>
            <w:tr>
              <w:tc>
                <w:tcPr>
                  <w:tcW w:type="dxa" w:w="2097"/>
                  <w:shd w:fill="EBF7FF"/>
                  <w:vAlign w:val="top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tcBorders>
                    <w:top w:val="single" w:sz="4" w:space="0" w:color="D5E2EE"/>
                    <w:bottom w:val="single" w:sz="4" w:space="0" w:color="D5E2EE"/>
                    <w:left w:val="single" w:sz="4" w:space="0" w:color="D5E2EE"/>
                    <w:right w:val="single" w:sz="4" w:space="0" w:color="D5E2EE"/>
                  </w:tcBorders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ptos" w:hAnsi="Aptos" w:cs="Aptos"/>
                      <w:b/>
                      <w:color w:val="121A26"/>
                      <w:sz w:val="15"/>
                    </w:rPr>
                    <w:t>Gestor direto informado?</w:t>
                  </w:r>
                </w:p>
              </w:tc>
              <w:tc>
                <w:tcPr>
                  <w:tcW w:type="dxa" w:w="2664"/>
                  <w:vAlign w:val="top"/>
                  <w:tcMar>
                    <w:top w:w="90" w:type="dxa"/>
                    <w:start w:w="120" w:type="dxa"/>
                    <w:bottom w:w="90" w:type="dxa"/>
                    <w:end w:w="120" w:type="dxa"/>
                  </w:tcMar>
                  <w:tcBorders>
                    <w:top w:val="single" w:sz="4" w:space="0" w:color="D5E2EE"/>
                    <w:bottom w:val="single" w:sz="4" w:space="0" w:color="D5E2EE"/>
                    <w:left w:val="single" w:sz="4" w:space="0" w:color="D5E2EE"/>
                    <w:right w:val="single" w:sz="4" w:space="0" w:color="D5E2EE"/>
                  </w:tcBorders>
                </w:tcPr>
                <w:p>
                  <w:pPr>
                    <w:spacing w:after="0" w:before="0"/>
                  </w:pPr>
                  <w:r/>
                  <w:r>
                    <w:rPr>
                      <w:rFonts w:ascii="Aptos" w:hAnsi="Aptos" w:cs="Aptos"/>
                      <w:b w:val="0"/>
                      <w:color w:val="1F2937"/>
                      <w:sz w:val="15"/>
                    </w:rPr>
                    <w:t>[ ] Sim  [ ] Não — Data: ___________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5. Checklist de Arranque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Tarefas mínimas a concluir antes do início efetivo das sessões de trabalho.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2"/>
      </w:tblGrid>
      <w:tr>
        <w:trPr>
          <w:tblHeader w:val="true"/>
        </w:trPr>
        <w:tc>
          <w:tcPr>
            <w:tcW w:type="dxa" w:w="567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#</w:t>
            </w:r>
          </w:p>
        </w:tc>
        <w:tc>
          <w:tcPr>
            <w:tcW w:type="dxa" w:w="9072"/>
            <w:shd w:fill="EBF7FF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Tarefa de Arranque</w:t>
            </w:r>
          </w:p>
        </w:tc>
      </w:tr>
      <w:tr>
        <w:tc>
          <w:tcPr>
            <w:tcW w:type="dxa" w:w="56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90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Aceder ao ambiente Odoo (URL + credenciais recebidas)</w:t>
            </w:r>
          </w:p>
        </w:tc>
      </w:tr>
      <w:tr>
        <w:tc>
          <w:tcPr>
            <w:tcW w:type="dxa" w:w="56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907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Completar o curso de introdução ao Odoo no eLearning</w:t>
            </w:r>
          </w:p>
        </w:tc>
      </w:tr>
      <w:tr>
        <w:tc>
          <w:tcPr>
            <w:tcW w:type="dxa" w:w="56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90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Rever o plano de projeto e confirmar datas</w:t>
            </w:r>
          </w:p>
        </w:tc>
      </w:tr>
      <w:tr>
        <w:tc>
          <w:tcPr>
            <w:tcW w:type="dxa" w:w="56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907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Confirmar disponibilidade com o gestor direto</w:t>
            </w:r>
          </w:p>
        </w:tc>
      </w:tr>
      <w:tr>
        <w:tc>
          <w:tcPr>
            <w:tcW w:type="dxa" w:w="56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90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Identificar os key-users por departamento</w:t>
            </w:r>
          </w:p>
        </w:tc>
      </w:tr>
      <w:tr>
        <w:tc>
          <w:tcPr>
            <w:tcW w:type="dxa" w:w="567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9072"/>
            <w:shd w:fill="F7FBFE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Agendar a primeira sessão de trabalho com o Project Leader</w:t>
            </w:r>
          </w:p>
        </w:tc>
      </w:tr>
      <w:tr>
        <w:tc>
          <w:tcPr>
            <w:tcW w:type="dxa" w:w="567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[ ]</w:t>
            </w:r>
          </w:p>
        </w:tc>
        <w:tc>
          <w:tcPr>
            <w:tcW w:type="dxa" w:w="907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Rever a documentação dos fluxos atuais da empresa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  <w:vAlign w:val="top"/>
          <w:tcMar>
            <w:top w:w="90" w:type="dxa"/>
            <w:start w:w="120" w:type="dxa"/>
            <w:bottom w:w="90" w:type="dxa"/>
            <w:end w:w="120" w:type="dxa"/>
          </w:tcMar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spacing w:after="0" w:before="0"/>
          </w:pPr>
          <w:r/>
          <w:r>
            <w:rPr>
              <w:rFonts w:ascii="Aptos" w:hAnsi="Aptos" w:cs="Aptos"/>
              <w:b w:val="0"/>
              <w:color w:val="5A697D"/>
              <w:sz w:val="16"/>
            </w:rPr>
            <w:t>SPoC Onboarding | Odoo Implementation</w:t>
          </w:r>
        </w:p>
      </w:tc>
      <w:tc>
        <w:tcPr>
          <w:tcW w:type="dxa" w:w="2835"/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jc w:val="right"/>
          </w:pPr>
          <w:r>
            <w:rPr>
              <w:rFonts w:ascii="Aptos" w:hAnsi="Aptos" w:cs="Aptos"/>
              <w:b w:val="0"/>
              <w:color w:val="5A697D"/>
              <w:sz w:val="16"/>
            </w:rPr>
            <w:t xml:space="preserve">Página </w:t>
          </w:r>
          <w:r>
            <w:rPr>
              <w:rFonts w:ascii="Aptos" w:hAnsi="Aptos" w:cs="Aptos"/>
              <w:b/>
              <w:color w:val="0094E9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2619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A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 w:val="0"/>
      <w:bCs/>
      <w:color w:val="5A697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SectionKicker">
    <w:name w:val="PG Section Kicker"/>
    <w:basedOn w:val="Normal"/>
    <w:rPr>
      <w:rFonts w:ascii="Aptos" w:hAnsi="Aptos"/>
      <w:b/>
      <w:color w:val="0094E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Onboarding do SPoC</dc:title>
  <dc:subject>Odoo Implementation Methodology</dc:subject>
  <dc:creator>Parâmetro Global</dc:creator>
  <cp:keywords/>
  <dc:description>Documento convertido para o layout Parâmetro Global.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