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Peer Review Report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Odoo Implementation | App Expert Review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Relatório de revisão independente para validar cobertura funcional, riscos, desenvolvimentos propostos, recomendações e aprovação antes da fase seguinte.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Dados da Revisão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Identificação do projeto, intervenientes e fase em análise.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4"/>
      </w:tblGrid>
      <w:tr>
        <w:tc>
          <w:tcPr>
            <w:tcW w:type="dxa" w:w="283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Projeto</w:t>
            </w:r>
          </w:p>
        </w:tc>
        <w:tc>
          <w:tcPr>
            <w:tcW w:type="dxa" w:w="680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</w:t>
            </w:r>
          </w:p>
        </w:tc>
        <w:tc>
          <w:tcPr>
            <w:tcW w:type="dxa" w:w="680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Project Leader (PL)</w:t>
            </w:r>
          </w:p>
        </w:tc>
        <w:tc>
          <w:tcPr>
            <w:tcW w:type="dxa" w:w="680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App Expert Reviewer</w:t>
            </w:r>
          </w:p>
        </w:tc>
        <w:tc>
          <w:tcPr>
            <w:tcW w:type="dxa" w:w="680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 da Revisão</w:t>
            </w:r>
          </w:p>
        </w:tc>
        <w:tc>
          <w:tcPr>
            <w:tcW w:type="dxa" w:w="680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Fase do Projeto</w:t>
            </w:r>
          </w:p>
        </w:tc>
        <w:tc>
          <w:tcPr>
            <w:tcW w:type="dxa" w:w="680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☐ ROI Analysis   ☐ Entre Fases   ☐ Pré Go-Live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1. SUMÁRIO EXECUTIVO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Avaliação global do projeto após análise da documentação, workshops e proposta de solução do PL.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989"/>
      </w:tblGrid>
      <w:tr>
        <w:trPr>
          <w:trHeight w:val="340" w:hRule="atLeast"/>
          <w:tblHeader w:val="true"/>
        </w:trPr>
        <w:tc>
          <w:tcPr>
            <w:tcW w:type="dxa" w:w="464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Dimensão</w:t>
            </w:r>
          </w:p>
        </w:tc>
        <w:tc>
          <w:tcPr>
            <w:tcW w:type="dxa" w:w="498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Avaliação (Verde / Amarelo / Vermelho)</w:t>
            </w:r>
          </w:p>
        </w:tc>
      </w:tr>
      <w:tr>
        <w:trPr>
          <w:trHeight w:val="351" w:hRule="atLeast"/>
        </w:trPr>
        <w:tc>
          <w:tcPr>
            <w:tcW w:type="dxa" w:w="464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Cobertura funcional (standard vs. custom)</w:t>
            </w:r>
          </w:p>
        </w:tc>
        <w:tc>
          <w:tcPr>
            <w:tcW w:type="dxa" w:w="498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51" w:hRule="atLeast"/>
        </w:trPr>
        <w:tc>
          <w:tcPr>
            <w:tcW w:type="dxa" w:w="464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Qualidade da análise de requisitos</w:t>
            </w:r>
          </w:p>
        </w:tc>
        <w:tc>
          <w:tcPr>
            <w:tcW w:type="dxa" w:w="498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51" w:hRule="atLeast"/>
        </w:trPr>
        <w:tc>
          <w:tcPr>
            <w:tcW w:type="dxa" w:w="464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Realismo do plano e orçamento</w:t>
            </w:r>
          </w:p>
        </w:tc>
        <w:tc>
          <w:tcPr>
            <w:tcW w:type="dxa" w:w="498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51" w:hRule="atLeast"/>
        </w:trPr>
        <w:tc>
          <w:tcPr>
            <w:tcW w:type="dxa" w:w="464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Risco de desenvolvimento excessivo</w:t>
            </w:r>
          </w:p>
        </w:tc>
        <w:tc>
          <w:tcPr>
            <w:tcW w:type="dxa" w:w="498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51" w:hRule="atLeast"/>
        </w:trPr>
        <w:tc>
          <w:tcPr>
            <w:tcW w:type="dxa" w:w="464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Alinhamento do SPoC e key users</w:t>
            </w:r>
          </w:p>
        </w:tc>
        <w:tc>
          <w:tcPr>
            <w:tcW w:type="dxa" w:w="498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351" w:hRule="atLeast"/>
        </w:trPr>
        <w:tc>
          <w:tcPr>
            <w:tcW w:type="dxa" w:w="464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Completude dos pain points identificados</w:t>
            </w:r>
          </w:p>
        </w:tc>
        <w:tc>
          <w:tcPr>
            <w:tcW w:type="dxa" w:w="498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2. ANÁLISE DE DESENVOLVIMENTOS — Must Have vs. Fase 2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Para cada desenvolvimento identificado pelo PL, o App Expert avalia se é realmente necessário antes do Go-Live, se pode ser substituído por uma solução standard, ou se deve ser adiado.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417"/>
        <w:gridCol w:w="1814"/>
        <w:gridCol w:w="1644"/>
        <w:gridCol w:w="2211"/>
      </w:tblGrid>
      <w:tr>
        <w:trPr>
          <w:trHeight w:val="425" w:hRule="atLeast"/>
          <w:tblHeader w:val="true"/>
        </w:trPr>
        <w:tc>
          <w:tcPr>
            <w:tcW w:type="dxa" w:w="255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Desenvolvimento Proposto</w:t>
            </w:r>
          </w:p>
        </w:tc>
        <w:tc>
          <w:tcPr>
            <w:tcW w:type="dxa" w:w="1417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Estimativa (dias)</w:t>
            </w:r>
          </w:p>
        </w:tc>
        <w:tc>
          <w:tcPr>
            <w:tcW w:type="dxa" w:w="181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Classificação</w:t>
            </w:r>
          </w:p>
        </w:tc>
        <w:tc>
          <w:tcPr>
            <w:tcW w:type="dxa" w:w="164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Decisão</w:t>
            </w:r>
          </w:p>
        </w:tc>
        <w:tc>
          <w:tcPr>
            <w:tcW w:type="dxa" w:w="221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4"/>
              </w:rPr>
              <w:t>Justificação / Alternativa Standard</w:t>
            </w:r>
          </w:p>
        </w:tc>
      </w:tr>
      <w:tr>
        <w:trPr>
          <w:trHeight w:val="708" w:hRule="atLeast"/>
        </w:trPr>
        <w:tc>
          <w:tcPr>
            <w:tcW w:type="dxa" w:w="255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  <w:tr>
        <w:trPr>
          <w:trHeight w:val="708" w:hRule="atLeast"/>
        </w:trPr>
        <w:tc>
          <w:tcPr>
            <w:tcW w:type="dxa" w:w="255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  <w:tr>
        <w:trPr>
          <w:trHeight w:val="708" w:hRule="atLeast"/>
        </w:trPr>
        <w:tc>
          <w:tcPr>
            <w:tcW w:type="dxa" w:w="255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  <w:tr>
        <w:trPr>
          <w:trHeight w:val="708" w:hRule="atLeast"/>
        </w:trPr>
        <w:tc>
          <w:tcPr>
            <w:tcW w:type="dxa" w:w="255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  <w:tr>
        <w:trPr>
          <w:trHeight w:val="708" w:hRule="atLeast"/>
        </w:trPr>
        <w:tc>
          <w:tcPr>
            <w:tcW w:type="dxa" w:w="255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  <w:tr>
        <w:trPr>
          <w:trHeight w:val="708" w:hRule="atLeast"/>
        </w:trPr>
        <w:tc>
          <w:tcPr>
            <w:tcW w:type="dxa" w:w="255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  <w:tr>
        <w:trPr>
          <w:trHeight w:val="708" w:hRule="atLeast"/>
        </w:trPr>
        <w:tc>
          <w:tcPr>
            <w:tcW w:type="dxa" w:w="255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  <w:tr>
        <w:trPr>
          <w:trHeight w:val="708" w:hRule="atLeast"/>
        </w:trPr>
        <w:tc>
          <w:tcPr>
            <w:tcW w:type="dxa" w:w="255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417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  <w:tc>
          <w:tcPr>
            <w:tcW w:type="dxa" w:w="181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Must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Nice to Have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Dispensável</w:t>
            </w:r>
          </w:p>
        </w:tc>
        <w:tc>
          <w:tcPr>
            <w:tcW w:type="dxa" w:w="164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  <w:t>☐ Fase 1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Fase 2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4"/>
              </w:rPr>
              <w:t>☐ Recusar</w:t>
            </w:r>
          </w:p>
        </w:tc>
        <w:tc>
          <w:tcPr>
            <w:tcW w:type="dxa" w:w="221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4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3. PAIN POINTS NÃO IDENTIFICADOS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Pain points comuns nesta indústria/área funcional que podem não ter sido capturados nos workshops: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Pain points adicionais a validar</w:t>
            </w:r>
          </w:p>
        </w:tc>
      </w:tr>
      <w:tr>
        <w:trPr>
          <w:trHeight w:val="42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4. RISCOS IDENTIFICADOS PELO REVIEWER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Riscos sinalizados pelo App Expert Reviewer e ações recomendadas para mitigação.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927"/>
        <w:gridCol w:w="4082"/>
      </w:tblGrid>
      <w:tr>
        <w:trPr>
          <w:trHeight w:val="368" w:hRule="atLeast"/>
          <w:tblHeader w:val="true"/>
        </w:trPr>
        <w:tc>
          <w:tcPr>
            <w:tcW w:type="dxa" w:w="362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Risco</w:t>
            </w:r>
          </w:p>
        </w:tc>
        <w:tc>
          <w:tcPr>
            <w:tcW w:type="dxa" w:w="1927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Severidade</w:t>
            </w:r>
          </w:p>
        </w:tc>
        <w:tc>
          <w:tcPr>
            <w:tcW w:type="dxa" w:w="4082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Recomendação</w:t>
            </w:r>
          </w:p>
        </w:tc>
      </w:tr>
      <w:tr>
        <w:trPr>
          <w:trHeight w:val="510" w:hRule="atLeast"/>
        </w:trPr>
        <w:tc>
          <w:tcPr>
            <w:tcW w:type="dxa" w:w="362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192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☐ Alto ☐ Médio ☐ Baixo</w:t>
            </w:r>
          </w:p>
        </w:tc>
        <w:tc>
          <w:tcPr>
            <w:tcW w:type="dxa" w:w="408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362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1927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☐ Alto ☐ Médio ☐ Baixo</w:t>
            </w:r>
          </w:p>
        </w:tc>
        <w:tc>
          <w:tcPr>
            <w:tcW w:type="dxa" w:w="408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362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192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☐ Alto ☐ Médio ☐ Baixo</w:t>
            </w:r>
          </w:p>
        </w:tc>
        <w:tc>
          <w:tcPr>
            <w:tcW w:type="dxa" w:w="408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362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1927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☐ Alto ☐ Médio ☐ Baixo</w:t>
            </w:r>
          </w:p>
        </w:tc>
        <w:tc>
          <w:tcPr>
            <w:tcW w:type="dxa" w:w="408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10" w:hRule="atLeast"/>
        </w:trPr>
        <w:tc>
          <w:tcPr>
            <w:tcW w:type="dxa" w:w="362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192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☐ Alto ☐ Médio ☐ Baixo</w:t>
            </w:r>
          </w:p>
        </w:tc>
        <w:tc>
          <w:tcPr>
            <w:tcW w:type="dxa" w:w="408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5. RECOMENDAÇÕES AO PROJECT LEADER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Ações específicas que o PL deve tomar antes de avançar para a próxima fase: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311" w:hRule="atLeast"/>
        </w:trPr>
        <w:tc>
          <w:tcPr>
            <w:tcW w:type="dxa" w:w="963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Ações específicas antes da próxima fase</w:t>
            </w:r>
          </w:p>
        </w:tc>
      </w:tr>
      <w:tr>
        <w:trPr>
          <w:trHeight w:val="42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963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  <w:tr>
        <w:trPr>
          <w:trHeight w:val="425" w:hRule="atLeast"/>
        </w:trPr>
        <w:tc>
          <w:tcPr>
            <w:tcW w:type="dxa" w:w="9639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6. CONCLUSÃO E APROVAÇÃO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Decisão formal do reviewer e condições de aprovação, se aplicável.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989"/>
      </w:tblGrid>
      <w:tr>
        <w:trPr>
          <w:trHeight w:val="368" w:hRule="atLeast"/>
          <w:tblHeader w:val="true"/>
        </w:trPr>
        <w:tc>
          <w:tcPr>
            <w:tcW w:type="dxa" w:w="464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Decisão do Reviewer</w:t>
            </w:r>
          </w:p>
        </w:tc>
        <w:tc>
          <w:tcPr>
            <w:tcW w:type="dxa" w:w="4989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Condições (se aplicável)</w:t>
            </w:r>
          </w:p>
        </w:tc>
      </w:tr>
      <w:tr>
        <w:trPr>
          <w:trHeight w:val="907" w:hRule="atLeast"/>
        </w:trPr>
        <w:tc>
          <w:tcPr>
            <w:tcW w:type="dxa" w:w="464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☐ APROVADO — avançar para fase seguinte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6"/>
              </w:rPr>
              <w:t>☐ APROVADO COM CONDIÇÕES</w:t>
            </w:r>
            <w:r>
              <w:br/>
            </w:r>
            <w:r>
              <w:rPr>
                <w:rFonts w:ascii="Aptos" w:hAnsi="Aptos" w:cs="Aptos"/>
                <w:b w:val="0"/>
                <w:color w:val="1F2937"/>
                <w:sz w:val="16"/>
              </w:rPr>
              <w:t>☐ REQUER REVISÃO ADICIONAL</w:t>
            </w:r>
          </w:p>
        </w:tc>
        <w:tc>
          <w:tcPr>
            <w:tcW w:type="dxa" w:w="4989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Assinaturas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701"/>
        <w:gridCol w:w="4422"/>
      </w:tblGrid>
      <w:tr>
        <w:tc>
          <w:tcPr>
            <w:tcW w:type="dxa" w:w="3515"/>
            <w:shd w:fill="EBF7FF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Assinatura App Expert</w:t>
            </w:r>
          </w:p>
        </w:tc>
        <w:tc>
          <w:tcPr>
            <w:tcW w:type="dxa" w:w="1701"/>
            <w:shd w:fill="EBF7FF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Data</w:t>
            </w:r>
          </w:p>
        </w:tc>
        <w:tc>
          <w:tcPr>
            <w:tcW w:type="dxa" w:w="4422"/>
            <w:shd w:fill="EBF7FF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Assinatura PL</w:t>
            </w:r>
          </w:p>
        </w:tc>
      </w:tr>
      <w:tr>
        <w:tc>
          <w:tcPr>
            <w:tcW w:type="dxa" w:w="3515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  <w:tc>
          <w:tcPr>
            <w:tcW w:type="dxa" w:w="1701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</w:t>
            </w:r>
          </w:p>
        </w:tc>
        <w:tc>
          <w:tcPr>
            <w:tcW w:type="dxa" w:w="4422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Peer Review Report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Review Report</dc:title>
  <dc:subject>Odoo Implementation - App Expert Review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