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700000" cy="5457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45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900" w:after="160"/>
      </w:pPr>
      <w:r>
        <w:rPr>
          <w:rFonts w:ascii="Aptos Display" w:hAnsi="Aptos Display" w:cs="Aptos Display"/>
          <w:b/>
          <w:color w:val="121A26"/>
          <w:sz w:val="50"/>
        </w:rPr>
        <w:t>PROPOSTA DE FASE 2</w:t>
      </w:r>
    </w:p>
    <w:p>
      <w:pPr>
        <w:spacing w:after="360"/>
      </w:pPr>
      <w:r>
        <w:rPr>
          <w:rFonts w:ascii="Aptos" w:hAnsi="Aptos" w:cs="Aptos"/>
          <w:b w:val="0"/>
          <w:color w:val="5A697D"/>
          <w:sz w:val="30"/>
        </w:rPr>
        <w:t>Ampliação do Âmbito / Second Deployment | Fase: Second Deployment</w:t>
      </w:r>
    </w:p>
    <w:p>
      <w:pPr>
        <w:spacing w:after="280"/>
      </w:pPr>
      <w:r>
        <w:rPr>
          <w:rFonts w:ascii="Aptos" w:hAnsi="Aptos" w:cs="Aptos"/>
          <w:b w:val="0"/>
          <w:color w:val="1F2937"/>
          <w:sz w:val="21"/>
        </w:rPr>
        <w:t>Proposta estruturada para ampliar o âmbito após o Go-Live da Fase 1, com revisão de backlog, novas oportunidades, âmbito proposto, investimento e próximos passos.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76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Cliente / Projeto</w:t>
            </w:r>
          </w:p>
        </w:tc>
        <w:tc>
          <w:tcPr>
            <w:tcW w:type="dxa" w:w="487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Odoo Implementation</w:t>
            </w:r>
          </w:p>
        </w:tc>
      </w:tr>
      <w:tr>
        <w:tc>
          <w:tcPr>
            <w:tcW w:type="dxa" w:w="476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Data</w:t>
            </w:r>
          </w:p>
        </w:tc>
        <w:tc>
          <w:tcPr>
            <w:tcW w:type="dxa" w:w="487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02 de junho de 2026</w:t>
            </w:r>
          </w:p>
        </w:tc>
      </w:tr>
      <w:tr>
        <w:tc>
          <w:tcPr>
            <w:tcW w:type="dxa" w:w="476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Versão</w:t>
            </w:r>
          </w:p>
        </w:tc>
        <w:tc>
          <w:tcPr>
            <w:tcW w:type="dxa" w:w="487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1.0</w:t>
            </w:r>
          </w:p>
        </w:tc>
      </w:tr>
    </w:tbl>
    <w:p/>
    <w:p/>
    <w:p/>
    <w:p/>
    <w:p/>
    <w:p/>
    <w:p>
      <w:pPr>
        <w:spacing w:after="80"/>
      </w:pPr>
      <w:r>
        <w:rPr>
          <w:rFonts w:ascii="Aptos" w:hAnsi="Aptos" w:cs="Aptos"/>
          <w:b w:val="0"/>
          <w:color w:val="5A697D"/>
          <w:sz w:val="17"/>
        </w:rPr>
        <w:t>Preparado por Parâmetro Global</w:t>
      </w:r>
    </w:p>
    <w:p>
      <w:pPr>
        <w:pBdr>
          <w:bottom w:val="single" w:sz="22" w:space="1" w:color="121A26"/>
        </w:pBdr>
      </w:pPr>
    </w:p>
    <w:p>
      <w:pPr>
        <w:sectPr>
          <w:pgSz w:w="12240" w:h="15840"/>
          <w:pgMar w:top="964" w:right="1134" w:bottom="850" w:left="1134" w:header="454" w:footer="397" w:gutter="0"/>
          <w:cols w:space="720"/>
          <w:docGrid w:linePitch="360"/>
        </w:sectPr>
      </w:pP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Dados da Proposta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Identificação do projeto, cliente, equipa responsável e calendário previsto para a Fase 2.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3231"/>
        <w:gridCol w:w="6407"/>
      </w:tblGrid>
      <w:tr>
        <w:trPr>
          <w:trHeight w:val="328" w:hRule="atLeast"/>
        </w:trPr>
        <w:tc>
          <w:tcPr>
            <w:tcW w:type="dxa" w:w="3231"/>
            <w:shd w:fill="EBF7FF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Projeto</w:t>
            </w:r>
          </w:p>
        </w:tc>
        <w:tc>
          <w:tcPr>
            <w:tcW w:type="dxa" w:w="6407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328" w:hRule="atLeast"/>
        </w:trPr>
        <w:tc>
          <w:tcPr>
            <w:tcW w:type="dxa" w:w="3231"/>
            <w:shd w:fill="EBF7FF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Cliente</w:t>
            </w:r>
          </w:p>
        </w:tc>
        <w:tc>
          <w:tcPr>
            <w:tcW w:type="dxa" w:w="6407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328" w:hRule="atLeast"/>
        </w:trPr>
        <w:tc>
          <w:tcPr>
            <w:tcW w:type="dxa" w:w="3231"/>
            <w:shd w:fill="EBF7FF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Project Leader</w:t>
            </w:r>
          </w:p>
        </w:tc>
        <w:tc>
          <w:tcPr>
            <w:tcW w:type="dxa" w:w="6407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328" w:hRule="atLeast"/>
        </w:trPr>
        <w:tc>
          <w:tcPr>
            <w:tcW w:type="dxa" w:w="3231"/>
            <w:shd w:fill="EBF7FF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Data de Preparação</w:t>
            </w:r>
          </w:p>
        </w:tc>
        <w:tc>
          <w:tcPr>
            <w:tcW w:type="dxa" w:w="6407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328" w:hRule="atLeast"/>
        </w:trPr>
        <w:tc>
          <w:tcPr>
            <w:tcW w:type="dxa" w:w="3231"/>
            <w:shd w:fill="EBF7FF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Data do Go-Live Fase 1</w:t>
            </w:r>
          </w:p>
        </w:tc>
        <w:tc>
          <w:tcPr>
            <w:tcW w:type="dxa" w:w="6407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328" w:hRule="atLeast"/>
        </w:trPr>
        <w:tc>
          <w:tcPr>
            <w:tcW w:type="dxa" w:w="3231"/>
            <w:shd w:fill="EBF7FF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Data prevista Go-Live Fase 2</w:t>
            </w:r>
          </w:p>
        </w:tc>
        <w:tc>
          <w:tcPr>
            <w:tcW w:type="dxa" w:w="6407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</w:tbl>
    <w:p>
      <w:pPr>
        <w:spacing w:before="0" w:after="40"/>
      </w:pP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1. Contexto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Enquadramento da oportunidade de expansão após a entrada em produção da Fase 1.</w:t>
      </w:r>
    </w:p>
    <w:p>
      <w:pPr>
        <w:spacing w:after="160"/>
        <w:pBdr>
          <w:bottom w:val="single" w:sz="6" w:space="1" w:color="D5E2EE"/>
        </w:pBdr>
      </w:pPr>
    </w:p>
    <w:p>
      <w:pPr>
        <w:spacing w:before="0" w:after="140"/>
      </w:pPr>
      <w:r>
        <w:rPr>
          <w:rFonts w:ascii="Aptos" w:hAnsi="Aptos" w:cs="Aptos"/>
          <w:b w:val="0"/>
          <w:color w:val="1F2937"/>
          <w:sz w:val="18"/>
        </w:rPr>
        <w:t>Com o sucesso do Go-Live da Fase 1, a empresa está agora pronta para expandir o âmbito da implementação Odoo. Este documento apresenta as oportunidades identificadas, o plano proposto e o investimento necessário para a Fase 2.</w:t>
      </w: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2. Revisão do Backlog — O que mudou?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Após 1 mês em produção, revisámos os pedidos pendentes da Fase 1 com o SPoC. Resultado: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3231"/>
        <w:gridCol w:w="3402"/>
        <w:gridCol w:w="3005"/>
      </w:tblGrid>
      <w:tr>
        <w:trPr>
          <w:trHeight w:val="306" w:hRule="atLeast"/>
          <w:tblHeader w:val="true"/>
        </w:trPr>
        <w:tc>
          <w:tcPr>
            <w:tcW w:type="dxa" w:w="3231"/>
            <w:shd w:fill="EBF7FF"/>
            <w:vAlign w:val="top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Item do Backlog</w:t>
            </w:r>
          </w:p>
        </w:tc>
        <w:tc>
          <w:tcPr>
            <w:tcW w:type="dxa" w:w="3402"/>
            <w:shd w:fill="EBF7FF"/>
            <w:vAlign w:val="center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Estado Atual</w:t>
            </w:r>
          </w:p>
        </w:tc>
        <w:tc>
          <w:tcPr>
            <w:tcW w:type="dxa" w:w="3005"/>
            <w:shd w:fill="EBF7FF"/>
            <w:vAlign w:val="center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Decisão</w:t>
            </w:r>
          </w:p>
        </w:tc>
      </w:tr>
      <w:tr>
        <w:trPr>
          <w:trHeight w:val="260" w:hRule="atLeast"/>
        </w:trPr>
        <w:tc>
          <w:tcPr>
            <w:tcW w:type="dxa" w:w="3231"/>
            <w:vAlign w:val="top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3"/>
              </w:rPr>
              <w:t>________________________</w:t>
            </w:r>
          </w:p>
        </w:tc>
        <w:tc>
          <w:tcPr>
            <w:tcW w:type="dxa" w:w="3402"/>
            <w:vAlign w:val="center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3"/>
              </w:rPr>
              <w:t>[ ] Necessário  [ ] Não necessário  [ ] Modificado</w:t>
            </w:r>
          </w:p>
        </w:tc>
        <w:tc>
          <w:tcPr>
            <w:tcW w:type="dxa" w:w="3005"/>
            <w:shd w:fill="F5F9FC"/>
            <w:vAlign w:val="center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3"/>
              </w:rPr>
              <w:t>[ ] Fase 2  [ ] Cancelar  [ ] Fase 3</w:t>
            </w:r>
          </w:p>
        </w:tc>
      </w:tr>
      <w:tr>
        <w:trPr>
          <w:trHeight w:val="260" w:hRule="atLeast"/>
        </w:trPr>
        <w:tc>
          <w:tcPr>
            <w:tcW w:type="dxa" w:w="3231"/>
            <w:shd w:fill="F7FBFE"/>
            <w:vAlign w:val="top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3"/>
              </w:rPr>
              <w:t>________________________</w:t>
            </w:r>
          </w:p>
        </w:tc>
        <w:tc>
          <w:tcPr>
            <w:tcW w:type="dxa" w:w="3402"/>
            <w:shd w:fill="F7FBFE"/>
            <w:vAlign w:val="center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3"/>
              </w:rPr>
              <w:t>[ ] Necessário  [ ] Não necessário  [ ] Modificado</w:t>
            </w:r>
          </w:p>
        </w:tc>
        <w:tc>
          <w:tcPr>
            <w:tcW w:type="dxa" w:w="3005"/>
            <w:shd w:fill="F5F9FC"/>
            <w:vAlign w:val="center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3"/>
              </w:rPr>
              <w:t>[ ] Fase 2  [ ] Cancelar  [ ] Fase 3</w:t>
            </w:r>
          </w:p>
        </w:tc>
      </w:tr>
      <w:tr>
        <w:trPr>
          <w:trHeight w:val="260" w:hRule="atLeast"/>
        </w:trPr>
        <w:tc>
          <w:tcPr>
            <w:tcW w:type="dxa" w:w="3231"/>
            <w:vAlign w:val="top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3"/>
              </w:rPr>
              <w:t>________________________</w:t>
            </w:r>
          </w:p>
        </w:tc>
        <w:tc>
          <w:tcPr>
            <w:tcW w:type="dxa" w:w="3402"/>
            <w:vAlign w:val="center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3"/>
              </w:rPr>
              <w:t>[ ] Necessário  [ ] Não necessário  [ ] Modificado</w:t>
            </w:r>
          </w:p>
        </w:tc>
        <w:tc>
          <w:tcPr>
            <w:tcW w:type="dxa" w:w="3005"/>
            <w:shd w:fill="F5F9FC"/>
            <w:vAlign w:val="center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3"/>
              </w:rPr>
              <w:t>[ ] Fase 2  [ ] Cancelar  [ ] Fase 3</w:t>
            </w:r>
          </w:p>
        </w:tc>
      </w:tr>
      <w:tr>
        <w:trPr>
          <w:trHeight w:val="260" w:hRule="atLeast"/>
        </w:trPr>
        <w:tc>
          <w:tcPr>
            <w:tcW w:type="dxa" w:w="3231"/>
            <w:shd w:fill="F7FBFE"/>
            <w:vAlign w:val="top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3"/>
              </w:rPr>
              <w:t>________________________</w:t>
            </w:r>
          </w:p>
        </w:tc>
        <w:tc>
          <w:tcPr>
            <w:tcW w:type="dxa" w:w="3402"/>
            <w:shd w:fill="F7FBFE"/>
            <w:vAlign w:val="center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3"/>
              </w:rPr>
              <w:t>[ ] Necessário  [ ] Não necessário  [ ] Modificado</w:t>
            </w:r>
          </w:p>
        </w:tc>
        <w:tc>
          <w:tcPr>
            <w:tcW w:type="dxa" w:w="3005"/>
            <w:shd w:fill="F5F9FC"/>
            <w:vAlign w:val="center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3"/>
              </w:rPr>
              <w:t>[ ] Fase 2  [ ] Cancelar  [ ] Fase 3</w:t>
            </w:r>
          </w:p>
        </w:tc>
      </w:tr>
      <w:tr>
        <w:trPr>
          <w:trHeight w:val="260" w:hRule="atLeast"/>
        </w:trPr>
        <w:tc>
          <w:tcPr>
            <w:tcW w:type="dxa" w:w="3231"/>
            <w:vAlign w:val="top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3"/>
              </w:rPr>
              <w:t>________________________</w:t>
            </w:r>
          </w:p>
        </w:tc>
        <w:tc>
          <w:tcPr>
            <w:tcW w:type="dxa" w:w="3402"/>
            <w:vAlign w:val="center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3"/>
              </w:rPr>
              <w:t>[ ] Necessário  [ ] Não necessário  [ ] Modificado</w:t>
            </w:r>
          </w:p>
        </w:tc>
        <w:tc>
          <w:tcPr>
            <w:tcW w:type="dxa" w:w="3005"/>
            <w:shd w:fill="F5F9FC"/>
            <w:vAlign w:val="center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3"/>
              </w:rPr>
              <w:t>[ ] Fase 2  [ ] Cancelar  [ ] Fase 3</w:t>
            </w:r>
          </w:p>
        </w:tc>
      </w:tr>
      <w:tr>
        <w:trPr>
          <w:trHeight w:val="260" w:hRule="atLeast"/>
        </w:trPr>
        <w:tc>
          <w:tcPr>
            <w:tcW w:type="dxa" w:w="3231"/>
            <w:shd w:fill="F7FBFE"/>
            <w:vAlign w:val="top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3"/>
              </w:rPr>
              <w:t>________________________</w:t>
            </w:r>
          </w:p>
        </w:tc>
        <w:tc>
          <w:tcPr>
            <w:tcW w:type="dxa" w:w="3402"/>
            <w:shd w:fill="F7FBFE"/>
            <w:vAlign w:val="center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3"/>
              </w:rPr>
              <w:t>[ ] Necessário  [ ] Não necessário  [ ] Modificado</w:t>
            </w:r>
          </w:p>
        </w:tc>
        <w:tc>
          <w:tcPr>
            <w:tcW w:type="dxa" w:w="3005"/>
            <w:shd w:fill="F5F9FC"/>
            <w:vAlign w:val="center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3"/>
              </w:rPr>
              <w:t>[ ] Fase 2  [ ] Cancelar  [ ] Fase 3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3. Novas Oportunidades Identificadas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Para além do backlog, identificámos as seguintes novas oportunidades de digitalização: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927"/>
        <w:gridCol w:w="1927"/>
        <w:gridCol w:w="2948"/>
      </w:tblGrid>
      <w:tr>
        <w:trPr>
          <w:trHeight w:val="385" w:hRule="atLeast"/>
          <w:tblHeader w:val="true"/>
        </w:trPr>
        <w:tc>
          <w:tcPr>
            <w:tcW w:type="dxa" w:w="2835"/>
            <w:shd w:fill="EBF7FF"/>
            <w:vAlign w:val="top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Oportunidade</w:t>
            </w:r>
          </w:p>
        </w:tc>
        <w:tc>
          <w:tcPr>
            <w:tcW w:type="dxa" w:w="1927"/>
            <w:shd w:fill="EBF7FF"/>
            <w:vAlign w:val="center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Impacto Estimado</w:t>
            </w:r>
          </w:p>
        </w:tc>
        <w:tc>
          <w:tcPr>
            <w:tcW w:type="dxa" w:w="1927"/>
            <w:shd w:fill="EBF7FF"/>
            <w:vAlign w:val="center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Facilidade</w:t>
            </w:r>
          </w:p>
        </w:tc>
        <w:tc>
          <w:tcPr>
            <w:tcW w:type="dxa" w:w="2948"/>
            <w:shd w:fill="EBF7FF"/>
            <w:vAlign w:val="center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Quadrante</w:t>
            </w:r>
          </w:p>
        </w:tc>
      </w:tr>
      <w:tr>
        <w:trPr>
          <w:trHeight w:val="589" w:hRule="atLeast"/>
        </w:trPr>
        <w:tc>
          <w:tcPr>
            <w:tcW w:type="dxa" w:w="2835"/>
            <w:vAlign w:val="top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  <w:t>________________________</w:t>
            </w:r>
          </w:p>
        </w:tc>
        <w:tc>
          <w:tcPr>
            <w:tcW w:type="dxa" w:w="1927"/>
            <w:vAlign w:val="center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  <w:t>[ ] Alto [ ] Médio [ ] Baixo</w:t>
            </w:r>
          </w:p>
        </w:tc>
        <w:tc>
          <w:tcPr>
            <w:tcW w:type="dxa" w:w="1927"/>
            <w:vAlign w:val="center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  <w:t>[ ] Alto [ ] Médio [ ] Baixo</w:t>
            </w:r>
          </w:p>
        </w:tc>
        <w:tc>
          <w:tcPr>
            <w:tcW w:type="dxa" w:w="2948"/>
            <w:shd w:fill="F5F9FC"/>
            <w:vAlign w:val="center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  <w:t>[ ] Quick Win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[ ] Game Changer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[ ] Fine Tuning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[ ] Avoid</w:t>
            </w:r>
          </w:p>
        </w:tc>
      </w:tr>
      <w:tr>
        <w:trPr>
          <w:trHeight w:val="589" w:hRule="atLeast"/>
        </w:trPr>
        <w:tc>
          <w:tcPr>
            <w:tcW w:type="dxa" w:w="2835"/>
            <w:shd w:fill="F7FBFE"/>
            <w:vAlign w:val="top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  <w:t>________________________</w:t>
            </w:r>
          </w:p>
        </w:tc>
        <w:tc>
          <w:tcPr>
            <w:tcW w:type="dxa" w:w="1927"/>
            <w:shd w:fill="F7FBFE"/>
            <w:vAlign w:val="center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  <w:t>[ ] Alto [ ] Médio [ ] Baixo</w:t>
            </w:r>
          </w:p>
        </w:tc>
        <w:tc>
          <w:tcPr>
            <w:tcW w:type="dxa" w:w="1927"/>
            <w:shd w:fill="F7FBFE"/>
            <w:vAlign w:val="center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  <w:t>[ ] Alto [ ] Médio [ ] Baixo</w:t>
            </w:r>
          </w:p>
        </w:tc>
        <w:tc>
          <w:tcPr>
            <w:tcW w:type="dxa" w:w="2948"/>
            <w:shd w:fill="F5F9FC"/>
            <w:vAlign w:val="center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  <w:t>[ ] Quick Win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[ ] Game Changer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[ ] Fine Tuning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[ ] Avoid</w:t>
            </w:r>
          </w:p>
        </w:tc>
      </w:tr>
      <w:tr>
        <w:trPr>
          <w:trHeight w:val="589" w:hRule="atLeast"/>
        </w:trPr>
        <w:tc>
          <w:tcPr>
            <w:tcW w:type="dxa" w:w="2835"/>
            <w:vAlign w:val="top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  <w:t>________________________</w:t>
            </w:r>
          </w:p>
        </w:tc>
        <w:tc>
          <w:tcPr>
            <w:tcW w:type="dxa" w:w="1927"/>
            <w:vAlign w:val="center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  <w:t>[ ] Alto [ ] Médio [ ] Baixo</w:t>
            </w:r>
          </w:p>
        </w:tc>
        <w:tc>
          <w:tcPr>
            <w:tcW w:type="dxa" w:w="1927"/>
            <w:vAlign w:val="center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  <w:t>[ ] Alto [ ] Médio [ ] Baixo</w:t>
            </w:r>
          </w:p>
        </w:tc>
        <w:tc>
          <w:tcPr>
            <w:tcW w:type="dxa" w:w="2948"/>
            <w:shd w:fill="F5F9FC"/>
            <w:vAlign w:val="center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  <w:t>[ ] Quick Win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[ ] Game Changer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[ ] Fine Tuning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[ ] Avoid</w:t>
            </w:r>
          </w:p>
        </w:tc>
      </w:tr>
      <w:tr>
        <w:trPr>
          <w:trHeight w:val="589" w:hRule="atLeast"/>
        </w:trPr>
        <w:tc>
          <w:tcPr>
            <w:tcW w:type="dxa" w:w="2835"/>
            <w:shd w:fill="F7FBFE"/>
            <w:vAlign w:val="top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  <w:t>________________________</w:t>
            </w:r>
          </w:p>
        </w:tc>
        <w:tc>
          <w:tcPr>
            <w:tcW w:type="dxa" w:w="1927"/>
            <w:shd w:fill="F7FBFE"/>
            <w:vAlign w:val="center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  <w:t>[ ] Alto [ ] Médio [ ] Baixo</w:t>
            </w:r>
          </w:p>
        </w:tc>
        <w:tc>
          <w:tcPr>
            <w:tcW w:type="dxa" w:w="1927"/>
            <w:shd w:fill="F7FBFE"/>
            <w:vAlign w:val="center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  <w:t>[ ] Alto [ ] Médio [ ] Baixo</w:t>
            </w:r>
          </w:p>
        </w:tc>
        <w:tc>
          <w:tcPr>
            <w:tcW w:type="dxa" w:w="2948"/>
            <w:shd w:fill="F5F9FC"/>
            <w:vAlign w:val="center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  <w:t>[ ] Quick Win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[ ] Game Changer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[ ] Fine Tuning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[ ] Avoid</w:t>
            </w:r>
          </w:p>
        </w:tc>
      </w:tr>
    </w:tbl>
    <w:p>
      <w:pPr>
        <w:spacing w:before="0" w:after="40"/>
      </w:pP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4. Âmbito Proposto para a Fase 2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Aplicações, módulos, desenvolvimentos e exclusões explícitas para delimitar a fase.</w:t>
      </w:r>
    </w:p>
    <w:p>
      <w:pPr>
        <w:spacing w:after="160"/>
        <w:pBdr>
          <w:bottom w:val="single" w:sz="6" w:space="1" w:color="D5E2EE"/>
        </w:pBdr>
      </w:pPr>
    </w:p>
    <w:p>
      <w:pPr>
        <w:spacing w:before="80" w:after="60"/>
        <w:keepNext/>
      </w:pPr>
      <w:r>
        <w:rPr>
          <w:rFonts w:ascii="Aptos Display" w:hAnsi="Aptos Display" w:cs="Aptos Display"/>
          <w:b/>
          <w:color w:val="0094E9"/>
          <w:sz w:val="23"/>
        </w:rPr>
        <w:t>4.1 Apps e módulos a implementar</w:t>
      </w: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_______________________________ (estimativa: ___ dias)</w:t>
      </w: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_______________________________ (estimativa: ___ dias)</w:t>
      </w: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_______________________________ (estimativa: ___ dias)</w:t>
      </w: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_______________________________ (estimativa: ___ dias)</w:t>
      </w:r>
    </w:p>
    <w:p>
      <w:pPr>
        <w:spacing w:before="140" w:after="60"/>
        <w:keepNext/>
      </w:pPr>
      <w:r>
        <w:rPr>
          <w:rFonts w:ascii="Aptos Display" w:hAnsi="Aptos Display" w:cs="Aptos Display"/>
          <w:b/>
          <w:color w:val="0094E9"/>
          <w:sz w:val="23"/>
        </w:rPr>
        <w:t>4.2 Desenvolvimentos custom aprovados</w:t>
      </w: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_______________________________ (estimativa: ___ dias)</w:t>
      </w: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_______________________________ (estimativa: ___ dias)</w:t>
      </w:r>
    </w:p>
    <w:p>
      <w:pPr>
        <w:spacing w:before="140" w:after="60"/>
        <w:keepNext/>
      </w:pPr>
      <w:r>
        <w:rPr>
          <w:rFonts w:ascii="Aptos Display" w:hAnsi="Aptos Display" w:cs="Aptos Display"/>
          <w:b/>
          <w:color w:val="0094E9"/>
          <w:sz w:val="23"/>
        </w:rPr>
        <w:t>4.3 Exclusões explícitas desta fase</w:t>
      </w: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_______________________________</w:t>
      </w: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_______________________________</w:t>
      </w:r>
    </w:p>
    <w:p>
      <w:r>
        <w:br w:type="page"/>
      </w: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5. Plano e Investimento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Estimativa de duração, datas propostas, orçamento e Project Leader responsável pela execução.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6123"/>
      </w:tblGrid>
      <w:tr>
        <w:trPr>
          <w:trHeight w:val="385" w:hRule="atLeast"/>
        </w:trPr>
        <w:tc>
          <w:tcPr>
            <w:tcW w:type="dxa" w:w="3515"/>
            <w:shd w:fill="EBF7FF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Duração estimada da Fase 2</w:t>
            </w:r>
          </w:p>
        </w:tc>
        <w:tc>
          <w:tcPr>
            <w:tcW w:type="dxa" w:w="612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___ semanas / meses</w:t>
            </w:r>
          </w:p>
        </w:tc>
      </w:tr>
      <w:tr>
        <w:trPr>
          <w:trHeight w:val="385" w:hRule="atLeast"/>
        </w:trPr>
        <w:tc>
          <w:tcPr>
            <w:tcW w:type="dxa" w:w="3515"/>
            <w:shd w:fill="EBF7FF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Data de início proposta</w:t>
            </w:r>
          </w:p>
        </w:tc>
        <w:tc>
          <w:tcPr>
            <w:tcW w:type="dxa" w:w="612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___________________________________</w:t>
            </w:r>
          </w:p>
        </w:tc>
      </w:tr>
      <w:tr>
        <w:trPr>
          <w:trHeight w:val="385" w:hRule="atLeast"/>
        </w:trPr>
        <w:tc>
          <w:tcPr>
            <w:tcW w:type="dxa" w:w="3515"/>
            <w:shd w:fill="EBF7FF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Data de Go-Live proposta</w:t>
            </w:r>
          </w:p>
        </w:tc>
        <w:tc>
          <w:tcPr>
            <w:tcW w:type="dxa" w:w="612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___________________________________</w:t>
            </w:r>
          </w:p>
        </w:tc>
      </w:tr>
      <w:tr>
        <w:trPr>
          <w:trHeight w:val="385" w:hRule="atLeast"/>
        </w:trPr>
        <w:tc>
          <w:tcPr>
            <w:tcW w:type="dxa" w:w="3515"/>
            <w:shd w:fill="EBF7FF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Budget total estimado (dias/horas)</w:t>
            </w:r>
          </w:p>
        </w:tc>
        <w:tc>
          <w:tcPr>
            <w:tcW w:type="dxa" w:w="612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___________________________________</w:t>
            </w:r>
          </w:p>
        </w:tc>
      </w:tr>
      <w:tr>
        <w:trPr>
          <w:trHeight w:val="385" w:hRule="atLeast"/>
        </w:trPr>
        <w:tc>
          <w:tcPr>
            <w:tcW w:type="dxa" w:w="3515"/>
            <w:shd w:fill="EBF7FF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Project Leader proposto</w:t>
            </w:r>
          </w:p>
        </w:tc>
        <w:tc>
          <w:tcPr>
            <w:tcW w:type="dxa" w:w="612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___________________________________</w:t>
            </w:r>
          </w:p>
        </w:tc>
      </w:tr>
    </w:tbl>
    <w:p>
      <w:pPr>
        <w:spacing w:before="0" w:after="40"/>
      </w:pP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6. Próximos Passos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Ações necessárias para aprovar e iniciar a Fase 2.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623"/>
        <w:gridCol w:w="9015"/>
      </w:tblGrid>
      <w:tr>
        <w:trPr>
          <w:trHeight w:val="340" w:hRule="atLeast"/>
          <w:tblHeader w:val="true"/>
        </w:trPr>
        <w:tc>
          <w:tcPr>
            <w:tcW w:type="dxa" w:w="623"/>
            <w:shd w:fill="EBF7FF"/>
            <w:vAlign w:val="center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#</w:t>
            </w:r>
          </w:p>
        </w:tc>
        <w:tc>
          <w:tcPr>
            <w:tcW w:type="dxa" w:w="9015"/>
            <w:shd w:fill="EBF7FF"/>
            <w:vAlign w:val="top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Próximo passo</w:t>
            </w:r>
          </w:p>
        </w:tc>
      </w:tr>
      <w:tr>
        <w:trPr>
          <w:trHeight w:val="351" w:hRule="atLeast"/>
        </w:trPr>
        <w:tc>
          <w:tcPr>
            <w:tcW w:type="dxa" w:w="623"/>
            <w:vAlign w:val="center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9015"/>
            <w:vAlign w:val="top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Validação desta proposta pelo CEO/CFO e SPoC.</w:t>
            </w:r>
          </w:p>
        </w:tc>
      </w:tr>
      <w:tr>
        <w:trPr>
          <w:trHeight w:val="351" w:hRule="atLeast"/>
        </w:trPr>
        <w:tc>
          <w:tcPr>
            <w:tcW w:type="dxa" w:w="623"/>
            <w:shd w:fill="F7FBFE"/>
            <w:vAlign w:val="center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9015"/>
            <w:shd w:fill="F7FBFE"/>
            <w:vAlign w:val="top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Assinatura do contrato / service pack de Fase 2.</w:t>
            </w:r>
          </w:p>
        </w:tc>
      </w:tr>
      <w:tr>
        <w:trPr>
          <w:trHeight w:val="351" w:hRule="atLeast"/>
        </w:trPr>
        <w:tc>
          <w:tcPr>
            <w:tcW w:type="dxa" w:w="623"/>
            <w:vAlign w:val="center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9015"/>
            <w:vAlign w:val="top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Agendamento do Kick-Off de Fase 2.</w:t>
            </w:r>
          </w:p>
        </w:tc>
      </w:tr>
      <w:tr>
        <w:trPr>
          <w:trHeight w:val="351" w:hRule="atLeast"/>
        </w:trPr>
        <w:tc>
          <w:tcPr>
            <w:tcW w:type="dxa" w:w="623"/>
            <w:shd w:fill="F7FBFE"/>
            <w:vAlign w:val="center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9015"/>
            <w:shd w:fill="F7FBFE"/>
            <w:vAlign w:val="top"/>
            <w:tcMar>
              <w:top w:w="78" w:type="dxa"/>
              <w:start w:w="95" w:type="dxa"/>
              <w:bottom w:w="78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Início da análise detalhada dos novos requisitos.</w:t>
            </w:r>
          </w:p>
        </w:tc>
      </w:tr>
    </w:tbl>
    <w:p>
      <w:pPr>
        <w:spacing w:before="0" w:after="40"/>
      </w:pPr>
    </w:p>
    <w:p>
      <w:pPr>
        <w:spacing w:before="160" w:after="60"/>
        <w:keepNext/>
      </w:pPr>
      <w:r>
        <w:rPr>
          <w:rFonts w:ascii="Aptos Display" w:hAnsi="Aptos Display" w:cs="Aptos Display"/>
          <w:b/>
          <w:color w:val="0094E9"/>
          <w:sz w:val="23"/>
        </w:rPr>
        <w:t>Validade e Aprovação</w:t>
      </w:r>
    </w:p>
    <w:p>
      <w:pPr>
        <w:spacing w:before="0" w:after="100"/>
        <w:keepNext/>
      </w:pPr>
      <w:r>
        <w:rPr>
          <w:rFonts w:ascii="Aptos" w:hAnsi="Aptos" w:cs="Aptos"/>
          <w:b w:val="0"/>
          <w:color w:val="5A697D"/>
          <w:sz w:val="17"/>
        </w:rPr>
        <w:t>Condições finais para confirmação da proposta pelo cliente.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6123"/>
      </w:tblGrid>
      <w:tr>
        <w:trPr>
          <w:trHeight w:val="328" w:hRule="atLeast"/>
        </w:trPr>
        <w:tc>
          <w:tcPr>
            <w:tcW w:type="dxa" w:w="3515"/>
            <w:shd w:fill="EBF7FF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Data de validade desta proposta</w:t>
            </w:r>
          </w:p>
        </w:tc>
        <w:tc>
          <w:tcPr>
            <w:tcW w:type="dxa" w:w="6123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___________________________________</w:t>
            </w:r>
          </w:p>
        </w:tc>
      </w:tr>
      <w:tr>
        <w:trPr>
          <w:trHeight w:val="328" w:hRule="atLeast"/>
        </w:trPr>
        <w:tc>
          <w:tcPr>
            <w:tcW w:type="dxa" w:w="3515"/>
            <w:shd w:fill="EBF7FF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Aprovação pelo cliente</w:t>
            </w:r>
          </w:p>
        </w:tc>
        <w:tc>
          <w:tcPr>
            <w:tcW w:type="dxa" w:w="6123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[ ] Aprovado Data: _____________</w:t>
            </w:r>
          </w:p>
        </w:tc>
      </w:tr>
    </w:tbl>
    <w:p>
      <w:pPr>
        <w:spacing w:before="0" w:after="40"/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9"/>
            <w:shd w:fill="F5F9FC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5A697D"/>
                <w:sz w:val="17"/>
              </w:rPr>
              <w:t>Nota: esta proposta deve ser validada pelo CEO/CFO e pelo SPoC antes do agendamento do Kick-Off da Fase 2.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2240" w:h="15840"/>
      <w:pgMar w:top="907" w:right="1134" w:bottom="850" w:left="1134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1" w:color="D5E2EE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6803"/>
          <w:vAlign w:val="top"/>
          <w:tcMar>
            <w:top w:w="90" w:type="dxa"/>
            <w:start w:w="120" w:type="dxa"/>
            <w:bottom w:w="90" w:type="dxa"/>
            <w:end w:w="120" w:type="dxa"/>
          </w:tcMar>
          <w:tcBorders>
            <w:top w:val="single" w:sz="0" w:space="0" w:color="FFFFFF"/>
            <w:bottom w:val="single" w:sz="0" w:space="0" w:color="FFFFFF"/>
            <w:left w:val="nil"/>
            <w:right w:val="nil"/>
          </w:tcBorders>
        </w:tcPr>
        <w:p>
          <w:pPr>
            <w:spacing w:after="0" w:before="0"/>
          </w:pPr>
          <w:r/>
          <w:r>
            <w:rPr>
              <w:rFonts w:ascii="Aptos" w:hAnsi="Aptos" w:cs="Aptos"/>
              <w:b w:val="0"/>
              <w:color w:val="5A697D"/>
              <w:sz w:val="16"/>
            </w:rPr>
            <w:t>Second Deployment | Proposta de Fase 2</w:t>
          </w:r>
        </w:p>
      </w:tc>
      <w:tc>
        <w:tcPr>
          <w:tcW w:type="dxa" w:w="2835"/>
          <w:tcBorders>
            <w:top w:val="single" w:sz="0" w:space="0" w:color="FFFFFF"/>
            <w:bottom w:val="single" w:sz="0" w:space="0" w:color="FFFFFF"/>
            <w:left w:val="nil"/>
            <w:right w:val="nil"/>
          </w:tcBorders>
        </w:tcPr>
        <w:p>
          <w:pPr>
            <w:jc w:val="right"/>
          </w:pPr>
          <w:r>
            <w:rPr>
              <w:rFonts w:ascii="Aptos" w:hAnsi="Aptos" w:cs="Aptos"/>
              <w:b w:val="0"/>
              <w:color w:val="5A697D"/>
              <w:sz w:val="16"/>
            </w:rPr>
            <w:t xml:space="preserve">Página </w:t>
          </w:r>
          <w:r>
            <w:rPr>
              <w:rFonts w:ascii="Aptos" w:hAnsi="Aptos" w:cs="Aptos"/>
              <w:b/>
              <w:color w:val="0094E9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296000" cy="26195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6000" cy="261957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sz="6" w:space="1" w:color="D5E2E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1A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1A2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1A2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 w:val="0"/>
      <w:bCs/>
      <w:color w:val="5A697D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GSectionKicker">
    <w:name w:val="PG Section Kicker"/>
    <w:basedOn w:val="Normal"/>
    <w:rPr>
      <w:rFonts w:ascii="Aptos" w:hAnsi="Aptos"/>
      <w:b/>
      <w:color w:val="0094E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DE FASE 2</dc:title>
  <dc:subject>Proposta de Fase 2 - Second Deployment</dc:subject>
  <dc:creator>Parâmetro Global</dc:creator>
  <cp:keywords/>
  <dc:description>Documento convertido para o layout Parâmetro Global.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