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Agenda — Reunião de Ponto de Situação | Projeto Odoo HMD</w:t>
      </w:r>
    </w:p>
    <w:p>
      <w:r>
        <w:rPr>
          <w:b/>
        </w:rPr>
        <w:t>Data:</w:t>
      </w:r>
      <w:r>
        <w:t xml:space="preserve"> 27 de julho de 2026, 10h00 · </w:t>
      </w:r>
      <w:r>
        <w:rPr>
          <w:b/>
        </w:rPr>
        <w:t>Formato:</w:t>
      </w:r>
      <w:r>
        <w:t xml:space="preserve"> Microsoft Teams</w:t>
      </w:r>
    </w:p>
    <w:p>
      <w:r>
        <w:rPr>
          <w:b/>
        </w:rPr>
        <w:t>Participantes:</w:t>
      </w:r>
      <w:r>
        <w:t xml:space="preserve"> Nina Hedderich (HMD Interiors) · Bruno Pinheiro (Parâmetro Global)</w:t>
      </w:r>
    </w:p>
    <w:p>
      <w:r>
        <w:rPr>
          <w:b/>
        </w:rPr>
        <w:t>Referência:</w:t>
      </w:r>
      <w:r>
        <w:t xml:space="preserve"> tarefa "Validar ponto de situação com o cliente" — projeto Odoo - HMD</w:t>
      </w:r>
    </w:p>
    <w:p>
      <w:r>
        <w:rPr>
          <w:b/>
        </w:rPr>
        <w:t>Duração prevista:</w:t>
      </w:r>
      <w:r>
        <w:t xml:space="preserve"> 45–60 minutos</w:t>
      </w:r>
    </w:p>
    <w:p/>
    <w:p>
      <w:r>
        <w:rPr>
          <w:b/>
          <w:color w:val="2F5496"/>
          <w:sz w:val="30"/>
        </w:rPr>
        <w:t>Objetivo da reunião</w:t>
      </w:r>
    </w:p>
    <w:p>
      <w:r>
        <w:t xml:space="preserve">Concluir a validação do ponto de situação de 22 de junho e acordar, em conjunto, o </w:t>
      </w:r>
      <w:r>
        <w:rPr>
          <w:b/>
        </w:rPr>
        <w:t>caminho para o fecho do âmbito protocolado do projeto</w:t>
      </w:r>
      <w:r>
        <w:t>, com responsáveis e datas para cada frente ainda em aberto.</w:t>
      </w:r>
    </w:p>
    <w:p>
      <w:r>
        <w:rPr>
          <w:b/>
          <w:color w:val="2F5496"/>
          <w:sz w:val="30"/>
        </w:rPr>
        <w:t>Enquadramento</w:t>
      </w:r>
    </w:p>
    <w:p>
      <w:r>
        <w:t xml:space="preserve">Acompanhamos a abordagem proposta pela HMD: </w:t>
      </w:r>
      <w:r>
        <w:rPr>
          <w:b/>
        </w:rPr>
        <w:t>fechar primeiro o âmbito protocolado</w:t>
      </w:r>
      <w:r>
        <w:t xml:space="preserve"> e só depois avançar, de forma dedicada, com as frentes adicionais. A agenda abaixo reflete essa prioridade — os pontos 1 a 5 destinam-se ao fecho do protocolado; o ponto 7 apenas registra as frentes adicionais para tratamento posterior.</w:t>
      </w:r>
    </w:p>
    <w:p/>
    <w:p>
      <w:r>
        <w:rPr>
          <w:b/>
          <w:color w:val="2F5496"/>
          <w:sz w:val="30"/>
        </w:rPr>
        <w:t>1. Fecho dos temas do ponto de situação (≈5 min)</w:t>
      </w:r>
    </w:p>
    <w:p>
      <w:r>
        <w:t xml:space="preserve">Revisão rápida do estado de cada tema levantado na vossa resposta de 26 de junho, para o classificarmos em conjunto como </w:t>
      </w:r>
      <w:r>
        <w:rPr>
          <w:b/>
        </w:rPr>
        <w:t>encerrado</w:t>
      </w:r>
      <w:r>
        <w:t xml:space="preserve">, </w:t>
      </w:r>
      <w:r>
        <w:rPr>
          <w:b/>
        </w:rPr>
        <w:t>a fechar com input da HMD</w:t>
      </w:r>
      <w:r>
        <w:t xml:space="preserve"> ou </w:t>
      </w:r>
      <w:r>
        <w:rPr>
          <w:b/>
        </w:rPr>
        <w:t>a reagendar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 que propomos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Decisão a tomar hoje</w:t>
            </w:r>
          </w:p>
        </w:tc>
      </w:tr>
      <w:tr>
        <w:tc>
          <w:tcPr>
            <w:tcW w:type="dxa" w:w="2880"/>
          </w:tcPr>
          <w:p>
            <w:r/>
            <w:r>
              <w:t>Intrastat / código HS</w:t>
            </w:r>
          </w:p>
        </w:tc>
        <w:tc>
          <w:tcPr>
            <w:tcW w:type="dxa" w:w="2880"/>
          </w:tcPr>
          <w:p>
            <w:r/>
            <w:r>
              <w:t>Encerrado — implementado e em funcionamento</w:t>
            </w:r>
          </w:p>
        </w:tc>
        <w:tc>
          <w:tcPr>
            <w:tcW w:type="dxa" w:w="2880"/>
          </w:tcPr>
          <w:p>
            <w:r/>
            <w:r>
              <w:t>Confirmar encerramento</w:t>
            </w:r>
          </w:p>
        </w:tc>
      </w:tr>
      <w:tr>
        <w:tc>
          <w:tcPr>
            <w:tcW w:type="dxa" w:w="2880"/>
          </w:tcPr>
          <w:p>
            <w:r/>
            <w:r>
              <w:t>Página de produto (alteração pedida em junho)</w:t>
            </w:r>
          </w:p>
        </w:tc>
        <w:tc>
          <w:tcPr>
            <w:tcW w:type="dxa" w:w="2880"/>
          </w:tcPr>
          <w:p>
            <w:r/>
            <w:r>
              <w:t>Encerrado — executado como pedido de suporte</w:t>
            </w:r>
          </w:p>
        </w:tc>
        <w:tc>
          <w:tcPr>
            <w:tcW w:type="dxa" w:w="2880"/>
          </w:tcPr>
          <w:p>
            <w:r/>
            <w:r>
              <w:t>Confirmar encerramento</w:t>
            </w:r>
          </w:p>
        </w:tc>
      </w:tr>
      <w:tr>
        <w:tc>
          <w:tcPr>
            <w:tcW w:type="dxa" w:w="2880"/>
          </w:tcPr>
          <w:p>
            <w:r/>
            <w:r>
              <w:t>Créditos e tesouraria (empréstimos/leasings, cartão de crédito)</w:t>
            </w:r>
          </w:p>
        </w:tc>
        <w:tc>
          <w:tcPr>
            <w:tcW w:type="dxa" w:w="2880"/>
          </w:tcPr>
          <w:p>
            <w:r/>
            <w:r>
              <w:t>A fechar com input da HMD</w:t>
            </w:r>
          </w:p>
        </w:tc>
        <w:tc>
          <w:tcPr>
            <w:tcW w:type="dxa" w:w="2880"/>
          </w:tcPr>
          <w:p>
            <w:r/>
            <w:r>
              <w:t>Data para envio da lista histórica</w:t>
            </w:r>
          </w:p>
        </w:tc>
      </w:tr>
      <w:tr>
        <w:tc>
          <w:tcPr>
            <w:tcW w:type="dxa" w:w="2880"/>
          </w:tcPr>
          <w:p>
            <w:r/>
            <w:r>
              <w:t>Limpeza e consolidação de contactos</w:t>
            </w:r>
          </w:p>
        </w:tc>
        <w:tc>
          <w:tcPr>
            <w:tcW w:type="dxa" w:w="2880"/>
          </w:tcPr>
          <w:p>
            <w:r/>
            <w:r>
              <w:t>A fechar com input da HMD</w:t>
            </w:r>
          </w:p>
        </w:tc>
        <w:tc>
          <w:tcPr>
            <w:tcW w:type="dxa" w:w="2880"/>
          </w:tcPr>
          <w:p>
            <w:r/>
            <w:r>
              <w:t>Data para envio do ficheiro (Sérgio Pinto)</w:t>
            </w:r>
          </w:p>
        </w:tc>
      </w:tr>
      <w:tr>
        <w:tc>
          <w:tcPr>
            <w:tcW w:type="dxa" w:w="2880"/>
          </w:tcPr>
          <w:p>
            <w:r/>
            <w:r>
              <w:t>Projetos: fases, templates e automações</w:t>
            </w:r>
          </w:p>
        </w:tc>
        <w:tc>
          <w:tcPr>
            <w:tcW w:type="dxa" w:w="2880"/>
          </w:tcPr>
          <w:p>
            <w:r/>
            <w:r>
              <w:t>Base configurada; a validar convosco</w:t>
            </w:r>
          </w:p>
        </w:tc>
        <w:tc>
          <w:tcPr>
            <w:tcW w:type="dxa" w:w="2880"/>
          </w:tcPr>
          <w:p>
            <w:r/>
            <w:r>
              <w:t>Confirmar tutoriais recebidos e agendar validação</w:t>
            </w:r>
          </w:p>
        </w:tc>
      </w:tr>
      <w:tr>
        <w:tc>
          <w:tcPr>
            <w:tcW w:type="dxa" w:w="2880"/>
          </w:tcPr>
          <w:p>
            <w:r/>
            <w:r>
              <w:t>Painéis e relatórios</w:t>
            </w:r>
          </w:p>
        </w:tc>
        <w:tc>
          <w:tcPr>
            <w:tcW w:type="dxa" w:w="2880"/>
          </w:tcPr>
          <w:p>
            <w:r/>
            <w:r>
              <w:t>Aplicação disponível; falta formação</w:t>
            </w:r>
          </w:p>
        </w:tc>
        <w:tc>
          <w:tcPr>
            <w:tcW w:type="dxa" w:w="2880"/>
          </w:tcPr>
          <w:p>
            <w:r/>
            <w:r>
              <w:t>Enquadrar na sessão de formação (ponto 5)</w:t>
            </w:r>
          </w:p>
        </w:tc>
      </w:tr>
      <w:tr>
        <w:tc>
          <w:tcPr>
            <w:tcW w:type="dxa" w:w="2880"/>
          </w:tcPr>
          <w:p>
            <w:r/>
            <w:r>
              <w:t>Website</w:t>
            </w:r>
          </w:p>
        </w:tc>
        <w:tc>
          <w:tcPr>
            <w:tcW w:type="dxa" w:w="2880"/>
          </w:tcPr>
          <w:p>
            <w:r/>
            <w:r>
              <w:t>Em aberto — ver ponto 3</w:t>
            </w:r>
          </w:p>
        </w:tc>
        <w:tc>
          <w:tcPr>
            <w:tcW w:type="dxa" w:w="2880"/>
          </w:tcPr>
          <w:p>
            <w:r/>
            <w:r>
              <w:t>Ver ponto 3</w:t>
            </w:r>
          </w:p>
        </w:tc>
      </w:tr>
    </w:tbl>
    <w:p/>
    <w:p>
      <w:r>
        <w:rPr>
          <w:b/>
          <w:color w:val="2F5496"/>
          <w:sz w:val="30"/>
        </w:rPr>
        <w:t>2. Inputs pendentes do lado da HMD (≈5 min)</w:t>
      </w:r>
    </w:p>
    <w:p>
      <w:r>
        <w:t xml:space="preserve">Duas entregas vossas continuam a condicionar o fecho de duas frentes. Objetivo do ponto: </w:t>
      </w:r>
      <w:r>
        <w:rPr>
          <w:b/>
        </w:rPr>
        <w:t>fixar uma data comprometida para cada</w:t>
      </w:r>
      <w:r>
        <w:t>.</w:t>
      </w:r>
    </w:p>
    <w:p>
      <w:pPr>
        <w:pStyle w:val="ListBullet"/>
      </w:pPr>
      <w:r>
        <w:rPr>
          <w:b/>
        </w:rPr>
        <w:t>Lista completa de empréstimos e leasings históricos</w:t>
      </w:r>
      <w:r>
        <w:t xml:space="preserve"> a migrar — necessária para concluir a frente de tesouraria e descontinuar o registo manual por despesas.</w:t>
      </w:r>
    </w:p>
    <w:p>
      <w:pPr>
        <w:pStyle w:val="ListBullet"/>
      </w:pPr>
      <w:r>
        <w:rPr>
          <w:b/>
        </w:rPr>
        <w:t>Extração de dados / ficheiro de contactos</w:t>
      </w:r>
      <w:r>
        <w:t xml:space="preserve"> (em preparação pelo Sérgio Pinto) — necessária para a deteção e correção de contactos em falta ou duplicados.</w:t>
      </w:r>
    </w:p>
    <w:p>
      <w:r>
        <w:rPr>
          <w:b/>
          <w:color w:val="2F5496"/>
          <w:sz w:val="30"/>
        </w:rPr>
        <w:t>3. Website (≈10 min)</w:t>
      </w:r>
    </w:p>
    <w:p>
      <w:pPr>
        <w:pStyle w:val="ListBullet"/>
      </w:pPr>
      <w:r>
        <w:rPr>
          <w:b/>
        </w:rPr>
        <w:t>Transição do domínio:</w:t>
      </w:r>
      <w:r>
        <w:t xml:space="preserve"> ponto de situação do bloqueio junto do alojamento atual. Do nosso lado, os dados de acesso ao domínio e ao painel de alojamento foram recebidos a 16 de julho e o pedido está em curso com o Hugo Ferreira. Definir quem faz o quê e até quando.</w:t>
      </w:r>
    </w:p>
    <w:p>
      <w:pPr>
        <w:pStyle w:val="ListBullet"/>
      </w:pPr>
      <w:r>
        <w:rPr>
          <w:b/>
        </w:rPr>
        <w:t>Ajustes que nos pediram a 23 de julho</w:t>
      </w:r>
      <w:r>
        <w:t xml:space="preserve"> — tratados no ponto 4, por serem quatro temas técnicos distintos.</w:t>
      </w:r>
    </w:p>
    <w:p>
      <w:pPr>
        <w:pStyle w:val="ListBullet"/>
      </w:pPr>
      <w:r>
        <w:rPr>
          <w:b/>
        </w:rPr>
        <w:t>Enquadramento:</w:t>
      </w:r>
      <w:r>
        <w:t xml:space="preserve"> o desenho gráfico do site está do vosso lado; os ajustes que excedam a formação transmitida são acompanhados por nós, com o enquadramento de âmbito indicado caso a caso.</w:t>
      </w:r>
    </w:p>
    <w:p>
      <w:r>
        <w:rPr>
          <w:b/>
          <w:color w:val="2F5496"/>
          <w:sz w:val="30"/>
        </w:rPr>
        <w:t>4. Questões técnicas colocadas a 23 de julho (≈15 min)</w:t>
      </w:r>
    </w:p>
    <w:p>
      <w:r>
        <w:t xml:space="preserve">Resposta ponto a ponto às quatro questões, distinguindo, em cada uma, o que é </w:t>
      </w:r>
      <w:r>
        <w:rPr>
          <w:b/>
        </w:rPr>
        <w:t>comportamento normal do Odoo</w:t>
      </w:r>
      <w:r>
        <w:t xml:space="preserve">, o que é </w:t>
      </w:r>
      <w:r>
        <w:rPr>
          <w:b/>
        </w:rPr>
        <w:t>configuração a afinar</w:t>
      </w:r>
      <w:r>
        <w:t xml:space="preserve"> e o que é </w:t>
      </w:r>
      <w:r>
        <w:rPr>
          <w:b/>
        </w:rPr>
        <w:t>correção da nossa parte</w:t>
      </w:r>
      <w:r>
        <w:t>:</w:t>
      </w:r>
    </w:p>
    <w:p>
      <w:pPr>
        <w:pStyle w:val="ListNumber"/>
      </w:pPr>
      <w:r>
        <w:rPr>
          <w:b/>
        </w:rPr>
        <w:t>Área de cliente B2B</w:t>
      </w:r>
      <w:r>
        <w:t xml:space="preserve"> — como funciona o controlo de acesso e que informação está visível a quem não tem conta.</w:t>
      </w:r>
    </w:p>
    <w:p>
      <w:pPr>
        <w:pStyle w:val="ListNumber"/>
      </w:pPr>
      <w:r>
        <w:rPr>
          <w:b/>
        </w:rPr>
        <w:t>Navegação do site</w:t>
      </w:r>
      <w:r>
        <w:t xml:space="preserve"> — identificar em conjunto o elemento "Todos os produtos" que pretendem retirar (é um elemento da loja e não um item de menu) e escolher a forma de o esconder.</w:t>
      </w:r>
    </w:p>
    <w:p>
      <w:pPr>
        <w:pStyle w:val="ListNumber"/>
      </w:pPr>
      <w:r>
        <w:rPr>
          <w:b/>
        </w:rPr>
        <w:t>Página de produto e carrinho</w:t>
      </w:r>
      <w:r>
        <w:t xml:space="preserve"> — porque é que as opções do produto não se apresentam como na aplicação de Vendas, e o que muda para ficarem consistentes nos dois lados; edição do bloco da página de produto e mensagem de erro do visualizador 3D.</w:t>
      </w:r>
    </w:p>
    <w:p>
      <w:pPr>
        <w:pStyle w:val="ListNumber"/>
      </w:pPr>
      <w:r>
        <w:rPr>
          <w:b/>
        </w:rPr>
        <w:t>Empréstimos e documentos do banco</w:t>
      </w:r>
      <w:r>
        <w:t xml:space="preserve"> — como ligar os lançamentos do empréstimo à fatura/nota de lançamento do banco (juros, comissões e amortização de capital), a partir do exemplo já criado (BCP).</w:t>
      </w:r>
    </w:p>
    <w:p>
      <w:r>
        <w:rPr>
          <w:i/>
        </w:rPr>
        <w:t>Nota: alguns destes pontos exigem validação no vosso ambiente; sinalizamos claramente quais fechamos hoje e quais confirmamos após verificação, para não assumirmos compromissos sem base.</w:t>
      </w:r>
    </w:p>
    <w:p>
      <w:r>
        <w:rPr>
          <w:b/>
          <w:color w:val="2F5496"/>
          <w:sz w:val="30"/>
        </w:rPr>
        <w:t>5. Formação (≈5 min)</w:t>
      </w:r>
    </w:p>
    <w:p>
      <w:pPr>
        <w:pStyle w:val="ListBullet"/>
      </w:pPr>
      <w:r>
        <w:t xml:space="preserve">Confirmar </w:t>
      </w:r>
      <w:r>
        <w:rPr>
          <w:b/>
        </w:rPr>
        <w:t>que materiais de apoio já receberam</w:t>
      </w:r>
      <w:r>
        <w:t xml:space="preserve"> — identificámos uma divergência entre o que enviámos e o que indicam ter recebido.</w:t>
      </w:r>
    </w:p>
    <w:p>
      <w:pPr>
        <w:pStyle w:val="ListBullet"/>
      </w:pPr>
      <w:r>
        <w:t xml:space="preserve">Proposta: </w:t>
      </w:r>
      <w:r>
        <w:rPr>
          <w:b/>
        </w:rPr>
        <w:t>uma sessão de formação conjunta</w:t>
      </w:r>
      <w:r>
        <w:t>, cobrindo a cadeia completa CRM → encomenda → projeto e a criação/utilização de painéis, a realizar após o fecho da fase inicial.</w:t>
      </w:r>
    </w:p>
    <w:p>
      <w:r>
        <w:rPr>
          <w:b/>
          <w:color w:val="2F5496"/>
          <w:sz w:val="30"/>
        </w:rPr>
        <w:t>6. Replaneamento de marcos (≈5 min)</w:t>
      </w:r>
    </w:p>
    <w:p>
      <w:pPr>
        <w:pStyle w:val="ListBullet"/>
      </w:pPr>
      <w:r>
        <w:t xml:space="preserve">Reposicionar em conjunto os marcos </w:t>
      </w:r>
      <w:r>
        <w:rPr>
          <w:b/>
        </w:rPr>
        <w:t>M1 (sprint imediato)</w:t>
      </w:r>
      <w:r>
        <w:t xml:space="preserve"> e </w:t>
      </w:r>
      <w:r>
        <w:rPr>
          <w:b/>
        </w:rPr>
        <w:t>M2 (estabilização comercial e QC)</w:t>
      </w:r>
      <w:r>
        <w:t>, cujas datas iniciais foram ultrapassadas.</w:t>
      </w:r>
    </w:p>
    <w:p>
      <w:pPr>
        <w:pStyle w:val="ListBullet"/>
      </w:pPr>
      <w:r>
        <w:t>Confirmar as datas dos marcos seguintes (M3 a M5) em função das prioridades que resultarem desta reunião.</w:t>
      </w:r>
    </w:p>
    <w:p>
      <w:r>
        <w:rPr>
          <w:b/>
          <w:color w:val="2F5496"/>
          <w:sz w:val="30"/>
        </w:rPr>
        <w:t>7. Frentes adicionais — registo, sem decisão hoje (≈5 min)</w:t>
      </w:r>
    </w:p>
    <w:p>
      <w:r>
        <w:t>Apenas para registo de estado, mantendo o princípio de as tratar após o fecho do âmbito protocolado:</w:t>
      </w:r>
    </w:p>
    <w:p>
      <w:pPr>
        <w:pStyle w:val="ListBullet"/>
      </w:pPr>
      <w:r>
        <w:rPr>
          <w:b/>
        </w:rPr>
        <w:t>Comunicação por WhatsApp Business</w:t>
      </w:r>
      <w:r>
        <w:t xml:space="preserve"> — a parte técnica no Odoo está preparada; falta a configuração junto da Meta (conta, número dedicado e aprovação de modelos), cujo prazo de aprovação é longo.</w:t>
      </w:r>
    </w:p>
    <w:p>
      <w:pPr>
        <w:pStyle w:val="ListBullet"/>
      </w:pPr>
      <w:r>
        <w:rPr>
          <w:b/>
        </w:rPr>
        <w:t>Upgrade para o Odoo 19</w:t>
      </w:r>
      <w:r>
        <w:t xml:space="preserve"> — decisão de avanço e janela de execução (dezembro/janeiro) a confirmar mais tarde.</w:t>
      </w:r>
    </w:p>
    <w:p>
      <w:r>
        <w:rPr>
          <w:b/>
          <w:color w:val="2F5496"/>
          <w:sz w:val="30"/>
        </w:rPr>
        <w:t>8. Fecho (≈5 min)</w:t>
      </w:r>
    </w:p>
    <w:p>
      <w:pPr>
        <w:pStyle w:val="ListBullet"/>
      </w:pPr>
      <w:r>
        <w:t>Registo das decisões tomadas, responsável e data para cada uma.</w:t>
      </w:r>
    </w:p>
    <w:p>
      <w:pPr>
        <w:pStyle w:val="ListBullet"/>
      </w:pPr>
      <w:r>
        <w:t>Confirmação do que fica formalizado na nossa plataforma de gestão de projeto.</w:t>
      </w:r>
    </w:p>
    <w:p>
      <w:pPr>
        <w:pStyle w:val="ListBullet"/>
      </w:pPr>
      <w:r>
        <w:t>Próximo contacto.</w:t>
      </w:r>
    </w:p>
    <w:p/>
    <w:p>
      <w:r>
        <w:rPr>
          <w:b/>
        </w:rPr>
        <w:t>Bruno Pinheiro</w:t>
      </w:r>
    </w:p>
    <w:p>
      <w:r>
        <w:t>Team Leader — Equipa Odoo</w:t>
      </w:r>
    </w:p>
    <w:p>
      <w:r>
        <w:t>Parâmetro Global — Consultoria Informática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