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Guião Interno — Resposta às 4 Questões Técnicas da HMD (23/07/2026)</w:t>
      </w:r>
    </w:p>
    <w:p>
      <w:r>
        <w:rPr>
          <w:b/>
        </w:rPr>
        <w:t>Uso:</w:t>
      </w:r>
      <w:r>
        <w:t xml:space="preserve"> interno Parâmetro Global — apoio à reunião de 27/07/2026, 10h00. </w:t>
      </w:r>
      <w:r>
        <w:rPr>
          <w:b/>
        </w:rPr>
        <w:t>Não enviar ao cliente.</w:t>
      </w:r>
    </w:p>
    <w:p>
      <w:r>
        <w:rPr>
          <w:b/>
        </w:rPr>
        <w:t>Autor:</w:t>
      </w:r>
      <w:r>
        <w:t xml:space="preserve"> Bruno Pinheiro · </w:t>
      </w:r>
      <w:r>
        <w:rPr>
          <w:b/>
        </w:rPr>
        <w:t>Data:</w:t>
      </w:r>
      <w:r>
        <w:t xml:space="preserve"> 27 de julho de 2026</w:t>
      </w:r>
    </w:p>
    <w:p>
      <w:r>
        <w:rPr>
          <w:b/>
        </w:rPr>
        <w:t>Origem das questões:</w:t>
      </w:r>
      <w:r>
        <w:t xml:space="preserve"> email da Nina Hedderich de 23/07/2026 (chatter da tarefa "Validar ponto de situação com o cliente")</w:t>
      </w:r>
    </w:p>
    <w:p>
      <w:r>
        <w:rPr>
          <w:b/>
        </w:rPr>
        <w:t>Método:</w:t>
      </w:r>
      <w:r>
        <w:t xml:space="preserve"> ordem obrigatória de decisão — standard já instalado → módulo standard adicional → Odoo Studio → custom.</w:t>
      </w:r>
    </w:p>
    <w:p>
      <w:pPr>
        <w:ind w:left="432"/>
      </w:pPr>
      <w:r>
        <w:rPr>
          <w:b/>
          <w:i/>
          <w:color w:val="44546A"/>
        </w:rPr>
        <w:t>Nível de validação.</w:t>
      </w:r>
      <w:r>
        <w:rPr>
          <w:i/>
          <w:color w:val="44546A"/>
        </w:rPr>
        <w:t xml:space="preserve"> B1 e B2 foram </w:t>
      </w:r>
      <w:r>
        <w:rPr>
          <w:b/>
          <w:i/>
          <w:color w:val="44546A"/>
        </w:rPr>
        <w:t>verificados no Odoo de produção da HMD</w:t>
      </w:r>
      <w:r>
        <w:rPr>
          <w:i/>
          <w:color w:val="44546A"/>
        </w:rPr>
        <w:t xml:space="preserve"> (</w:t>
      </w:r>
      <w:r>
        <w:rPr>
          <w:rFonts w:ascii="Consolas" w:hAnsi="Consolas"/>
          <w:i/>
          <w:color w:val="44546A"/>
          <w:sz w:val="19"/>
        </w:rPr>
        <w:t>https://intranet.hmdfurniture.com/</w:t>
      </w:r>
      <w:r>
        <w:rPr>
          <w:i/>
          <w:color w:val="44546A"/>
        </w:rPr>
        <w:t xml:space="preserve">, BD </w:t>
      </w:r>
      <w:r>
        <w:rPr>
          <w:rFonts w:ascii="Consolas" w:hAnsi="Consolas"/>
          <w:i/>
          <w:color w:val="44546A"/>
          <w:sz w:val="19"/>
        </w:rPr>
        <w:t>HMD</w:t>
      </w:r>
      <w:r>
        <w:rPr>
          <w:i/>
          <w:color w:val="44546A"/>
        </w:rPr>
        <w:t>) a 27/07/2026 às 09h40, pelo canal de cliente (</w:t>
      </w:r>
      <w:r>
        <w:rPr>
          <w:rFonts w:ascii="Consolas" w:hAnsi="Consolas"/>
          <w:i/>
          <w:color w:val="44546A"/>
          <w:sz w:val="19"/>
        </w:rPr>
        <w:t>read_mode=api</w:t>
      </w:r>
      <w:r>
        <w:rPr>
          <w:i/>
          <w:color w:val="44546A"/>
        </w:rPr>
        <w:t xml:space="preserve">, finalidade </w:t>
      </w:r>
      <w:r>
        <w:rPr>
          <w:i/>
          <w:color w:val="44546A"/>
        </w:rPr>
        <w:t>production</w:t>
      </w:r>
      <w:r>
        <w:rPr>
          <w:i/>
          <w:color w:val="44546A"/>
        </w:rPr>
        <w:t xml:space="preserve">), depois de a ligação ter sido registada em </w:t>
      </w:r>
      <w:r>
        <w:rPr>
          <w:i/>
          <w:color w:val="44546A"/>
        </w:rPr>
        <w:t>Brodoo &gt; Repositório &gt; Ligações Odoo do cliente</w:t>
      </w:r>
      <w:r>
        <w:rPr>
          <w:i/>
          <w:color w:val="44546A"/>
        </w:rPr>
        <w:t xml:space="preserve">. Os números e configurações abaixo marcados como </w:t>
      </w:r>
      <w:r>
        <w:rPr>
          <w:rFonts w:ascii="Consolas" w:hAnsi="Consolas"/>
          <w:i/>
          <w:color w:val="44546A"/>
          <w:sz w:val="19"/>
        </w:rPr>
        <w:t>FACTO OBSERVADO (produção)</w:t>
      </w:r>
      <w:r>
        <w:rPr>
          <w:i/>
          <w:color w:val="44546A"/>
        </w:rPr>
        <w:t xml:space="preserve"> são leitura direta do ambiente real. </w:t>
      </w:r>
      <w:r>
        <w:rPr>
          <w:b/>
          <w:i/>
          <w:color w:val="44546A"/>
        </w:rPr>
        <w:t>Limitação:</w:t>
      </w:r>
      <w:r>
        <w:rPr>
          <w:i/>
          <w:color w:val="44546A"/>
        </w:rPr>
        <w:t xml:space="preserve"> o utilizador de API não tem acesso ao modelo </w:t>
      </w:r>
      <w:r>
        <w:rPr>
          <w:rFonts w:ascii="Consolas" w:hAnsi="Consolas"/>
          <w:i/>
          <w:color w:val="44546A"/>
          <w:sz w:val="19"/>
        </w:rPr>
        <w:t>website.website</w:t>
      </w:r>
      <w:r>
        <w:rPr>
          <w:i/>
          <w:color w:val="44546A"/>
        </w:rPr>
        <w:t xml:space="preserve"> ("Object website.website doesn't exist"), pelo que as definições de </w:t>
      </w:r>
      <w:r>
        <w:rPr>
          <w:i/>
          <w:color w:val="44546A"/>
        </w:rPr>
        <w:t>checkout</w:t>
      </w:r>
      <w:r>
        <w:rPr>
          <w:i/>
          <w:color w:val="44546A"/>
        </w:rPr>
        <w:t xml:space="preserve"> e de acesso ao eCommerce por website ficam </w:t>
      </w:r>
      <w:r>
        <w:rPr>
          <w:rFonts w:ascii="Consolas" w:hAnsi="Consolas"/>
          <w:i/>
          <w:color w:val="44546A"/>
          <w:sz w:val="19"/>
        </w:rPr>
        <w:t>PONTO POR VALIDAR</w:t>
      </w:r>
      <w:r>
        <w:rPr>
          <w:i/>
          <w:color w:val="44546A"/>
        </w:rPr>
        <w:t xml:space="preserve"> — verificar em ecrã. B4 mantém-se fundamentado em source e requer demonstração no ambiente.</w:t>
      </w:r>
    </w:p>
    <w:p/>
    <w:p>
      <w:r>
        <w:rPr>
          <w:b/>
          <w:color w:val="2F5496"/>
          <w:sz w:val="30"/>
        </w:rPr>
        <w:t>B1 — Área de cliente B2B: controlo de acesso e informação visível a quem não tem conta</w:t>
      </w:r>
    </w:p>
    <w:p>
      <w:r>
        <w:rPr>
          <w:b/>
          <w:color w:val="44546A"/>
          <w:sz w:val="25"/>
        </w:rPr>
        <w:t>Dor de negócio</w:t>
      </w:r>
    </w:p>
    <w:p>
      <w:r>
        <w:t xml:space="preserve">A HMD quer saber exatamente </w:t>
      </w:r>
      <w:r>
        <w:rPr>
          <w:b/>
        </w:rPr>
        <w:t>o que um visitante não registado vê</w:t>
      </w:r>
      <w:r>
        <w:t xml:space="preserve"> e como se controla o acesso à área de cliente B2B — é a base para poderem publicar o site com confiança, sem exporem preços ou catálogo a quem não deve.</w:t>
      </w:r>
    </w:p>
    <w:p>
      <w:r>
        <w:rPr>
          <w:b/>
          <w:color w:val="44546A"/>
          <w:sz w:val="25"/>
        </w:rPr>
        <w:t>FACTO OBSERVADO</w:t>
      </w:r>
    </w:p>
    <w:p>
      <w:pPr>
        <w:pStyle w:val="ListBullet"/>
      </w:pPr>
      <w:r>
        <w:t xml:space="preserve">Estão instalados no ambiente da HMD os módulos que suportam integralmente este controlo: </w:t>
      </w:r>
      <w:r>
        <w:rPr>
          <w:rFonts w:ascii="Consolas" w:hAnsi="Consolas"/>
          <w:color w:val="B5360A"/>
          <w:sz w:val="19"/>
        </w:rPr>
        <w:t>website_sale</w:t>
      </w:r>
      <w:r>
        <w:t xml:space="preserve">, </w:t>
      </w:r>
      <w:r>
        <w:rPr>
          <w:rFonts w:ascii="Consolas" w:hAnsi="Consolas"/>
          <w:color w:val="B5360A"/>
          <w:sz w:val="19"/>
        </w:rPr>
        <w:t>portal</w:t>
      </w:r>
      <w:r>
        <w:t xml:space="preserve">, </w:t>
      </w:r>
      <w:r>
        <w:rPr>
          <w:rFonts w:ascii="Consolas" w:hAnsi="Consolas"/>
          <w:color w:val="B5360A"/>
          <w:sz w:val="19"/>
        </w:rPr>
        <w:t>auth_totp_portal</w:t>
      </w:r>
      <w:r>
        <w:t xml:space="preserve">, </w:t>
      </w:r>
      <w:r>
        <w:rPr>
          <w:rFonts w:ascii="Consolas" w:hAnsi="Consolas"/>
          <w:color w:val="B5360A"/>
          <w:sz w:val="19"/>
        </w:rPr>
        <w:t>website_sale_stock</w:t>
      </w:r>
      <w:r>
        <w:t xml:space="preserve">, </w:t>
      </w:r>
      <w:r>
        <w:rPr>
          <w:rFonts w:ascii="Consolas" w:hAnsi="Consolas"/>
          <w:color w:val="B5360A"/>
          <w:sz w:val="19"/>
        </w:rPr>
        <w:t>website_sale_comparison</w:t>
      </w:r>
      <w:r>
        <w:t xml:space="preserve">, </w:t>
      </w:r>
      <w:r>
        <w:rPr>
          <w:rFonts w:ascii="Consolas" w:hAnsi="Consolas"/>
          <w:color w:val="B5360A"/>
          <w:sz w:val="19"/>
        </w:rPr>
        <w:t>website_sale_wishlist</w:t>
      </w:r>
      <w:r>
        <w:t>.</w:t>
      </w:r>
    </w:p>
    <w:p>
      <w:pPr>
        <w:pStyle w:val="ListBullet"/>
      </w:pPr>
      <w:r>
        <w:t>Não existe, na lista de módulos instalados, qualquer módulo custom de controlo de acesso ao portal — o mecanismo em uso é o standard.</w:t>
      </w:r>
    </w:p>
    <w:p>
      <w:r>
        <w:rPr>
          <w:b/>
          <w:color w:val="44546A"/>
          <w:sz w:val="25"/>
        </w:rPr>
        <w:t>FACTO OBSERVADO (produção, 27/07 09h40) — a constatação central deste ponto</w:t>
      </w:r>
    </w:p>
    <w:p>
      <w:pPr>
        <w:pStyle w:val="ListBullet"/>
      </w:pPr>
      <w:r>
        <w:rPr>
          <w:b/>
        </w:rPr>
        <w:t>O registo de novos utilizadores está aberto a qualquer visitante:</w:t>
      </w:r>
      <w:r>
        <w:t xml:space="preserve"> </w:t>
      </w:r>
      <w:r>
        <w:rPr>
          <w:rFonts w:ascii="Consolas" w:hAnsi="Consolas"/>
          <w:color w:val="B5360A"/>
          <w:sz w:val="19"/>
        </w:rPr>
        <w:t>auth_signup.invitation_scope = "b2c"</w:t>
      </w:r>
      <w:r>
        <w:t xml:space="preserve">. Ou seja, hoje o site permite </w:t>
      </w:r>
      <w:r>
        <w:rPr>
          <w:b/>
        </w:rPr>
        <w:t>auto-registo livre</w:t>
      </w:r>
      <w:r>
        <w:t xml:space="preserve"> — não é um comportamento B2B. Para o modelo que a HMD descreve, o valor deve ser </w:t>
      </w:r>
      <w:r>
        <w:rPr>
          <w:b/>
        </w:rPr>
        <w:t>`b2b` ("Apenas por convite")</w:t>
      </w:r>
      <w:r>
        <w:t>, passando as contas de cliente a ser criadas por convite.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auth_signup.reset_password = True</w:t>
      </w:r>
      <w:r>
        <w:t xml:space="preserve"> (recuperação de palavra-passe ativa) — coerente, manter.</w:t>
      </w:r>
    </w:p>
    <w:p>
      <w:pPr>
        <w:pStyle w:val="ListBullet"/>
      </w:pPr>
      <w:r>
        <w:t xml:space="preserve">Existem </w:t>
      </w:r>
      <w:r>
        <w:rPr>
          <w:b/>
        </w:rPr>
        <w:t>2 websites</w:t>
      </w:r>
      <w:r>
        <w:t xml:space="preserve"> no ambiente: </w:t>
      </w:r>
      <w:r>
        <w:rPr>
          <w:i/>
        </w:rPr>
        <w:t>HMD Furniture</w:t>
      </w:r>
      <w:r>
        <w:t xml:space="preserve"> (website 1) e </w:t>
      </w:r>
      <w:r>
        <w:rPr>
          <w:i/>
        </w:rPr>
        <w:t>Fria</w:t>
      </w:r>
      <w:r>
        <w:t xml:space="preserve"> (website 2) — relevante porque qualquer definição de acesso tem de ser aplicada </w:t>
      </w:r>
      <w:r>
        <w:rPr>
          <w:b/>
        </w:rPr>
        <w:t>ao website correto</w:t>
      </w:r>
      <w:r>
        <w:t>.</w:t>
      </w:r>
    </w:p>
    <w:p>
      <w:pPr>
        <w:pStyle w:val="ListBullet"/>
      </w:pPr>
      <w:r>
        <w:rPr>
          <w:b/>
        </w:rPr>
        <w:t>276 modelos de produto publicados</w:t>
      </w:r>
      <w:r>
        <w:t xml:space="preserve"> no site.</w:t>
      </w:r>
    </w:p>
    <w:p>
      <w:r>
        <w:rPr>
          <w:b/>
        </w:rPr>
        <w:t>Como dizer isto na reunião:</w:t>
      </w:r>
      <w:r>
        <w:t xml:space="preserve"> não é um defeito nem um pedido novo — é uma </w:t>
      </w:r>
      <w:r>
        <w:rPr>
          <w:b/>
        </w:rPr>
        <w:t>definição que está no valor errado para o modelo de negócio pretendido</w:t>
      </w:r>
      <w:r>
        <w:t>. É alteração de configuração, imediata, mas tem consequência operacional: a partir daí, os clientes B2B passam a precisar de convite/conta criada.</w:t>
      </w:r>
    </w:p>
    <w:p>
      <w:r>
        <w:rPr>
          <w:b/>
          <w:color w:val="44546A"/>
          <w:sz w:val="25"/>
        </w:rPr>
        <w:t>Alavancas standard a explicar (Odoo 18)</w:t>
      </w:r>
    </w:p>
    <w:p>
      <w:pPr>
        <w:pStyle w:val="ListNumber"/>
      </w:pPr>
      <w:r>
        <w:rPr>
          <w:b/>
        </w:rPr>
        <w:t>Registo de novos utilizadores</w:t>
      </w:r>
      <w:r>
        <w:t xml:space="preserve"> — o site define se o registo é livre ou apenas por convite. Em modelo B2B, o normal é </w:t>
      </w:r>
      <w:r>
        <w:rPr>
          <w:b/>
        </w:rPr>
        <w:t>apenas por convite</w:t>
      </w:r>
      <w:r>
        <w:t>: o cliente só tem conta depois de nós/HMD a criarmos.</w:t>
      </w:r>
    </w:p>
    <w:p>
      <w:pPr>
        <w:pStyle w:val="ListNumber"/>
      </w:pPr>
      <w:r>
        <w:rPr>
          <w:b/>
        </w:rPr>
        <w:t>Visibilidade do catálogo e dos preços</w:t>
      </w:r>
      <w:r>
        <w:t xml:space="preserve"> — controlada por artigo/website (publicado vs. não publicado) e pelas listas de preços associadas ao cliente; existe também a opção de exigir sessão iniciada para ver preços e para finalizar a compra.</w:t>
      </w:r>
    </w:p>
    <w:p>
      <w:pPr>
        <w:pStyle w:val="ListNumber"/>
      </w:pPr>
      <w:r>
        <w:rPr>
          <w:b/>
        </w:rPr>
        <w:t>Checkout</w:t>
      </w:r>
      <w:r>
        <w:t xml:space="preserve"> — pode exigir conta obrigatória, o que é o comportamento habitual em B2B.</w:t>
      </w:r>
    </w:p>
    <w:p>
      <w:pPr>
        <w:pStyle w:val="ListNumber"/>
      </w:pPr>
      <w:r>
        <w:rPr>
          <w:b/>
        </w:rPr>
        <w:t>Grupos de utilizador do portal</w:t>
      </w:r>
      <w:r>
        <w:t xml:space="preserve"> — o que cada cliente vê dos seus próprios documentos (encomendas, faturas, projetos) é standard do portal, sem desenvolvimento.</w:t>
      </w:r>
    </w:p>
    <w:p>
      <w:r>
        <w:rPr>
          <w:b/>
          <w:color w:val="44546A"/>
          <w:sz w:val="25"/>
        </w:rPr>
        <w:t>INFERÊNCIA</w:t>
      </w:r>
    </w:p>
    <w:p>
      <w:r>
        <w:t xml:space="preserve">A necessidade da HMD é coberta por </w:t>
      </w:r>
      <w:r>
        <w:rPr>
          <w:b/>
        </w:rPr>
        <w:t>configuração</w:t>
      </w:r>
      <w:r>
        <w:t>, sem desenvolvimento. O que falta não é funcionalidade, é a decisão de política: catálogo visível a todos com preços só para autenticados, ou catálogo integralmente fechado.</w:t>
      </w:r>
    </w:p>
    <w:p>
      <w:r>
        <w:rPr>
          <w:b/>
          <w:color w:val="44546A"/>
          <w:sz w:val="25"/>
        </w:rPr>
        <w:t>PONTO POR VALIDAR</w:t>
      </w:r>
    </w:p>
    <w:p>
      <w:pPr>
        <w:pStyle w:val="ListBullet"/>
      </w:pPr>
      <w:r>
        <w:t>Qual a política pretendida pela HMD: (a) catálogo visível, preços só autenticados; (b) tudo fechado a quem não tem conta; (c) misto por categoria de produto.</w:t>
      </w:r>
    </w:p>
    <w:p>
      <w:pPr>
        <w:pStyle w:val="ListBullet"/>
      </w:pPr>
      <w:r>
        <w:t xml:space="preserve">Definição de </w:t>
      </w:r>
      <w:r>
        <w:rPr>
          <w:b/>
        </w:rPr>
        <w:t>conta no checkout</w:t>
      </w:r>
      <w:r>
        <w:t xml:space="preserve"> e de </w:t>
      </w:r>
      <w:r>
        <w:rPr>
          <w:b/>
        </w:rPr>
        <w:t>acesso ao eCommerce</w:t>
      </w:r>
      <w:r>
        <w:t xml:space="preserve"> por website — não legível pelo utilizador de API (sem acesso a </w:t>
      </w:r>
      <w:r>
        <w:rPr>
          <w:rFonts w:ascii="Consolas" w:hAnsi="Consolas"/>
          <w:color w:val="B5360A"/>
          <w:sz w:val="19"/>
        </w:rPr>
        <w:t>website.website</w:t>
      </w:r>
      <w:r>
        <w:t>); confirmar em ecrã.</w:t>
      </w:r>
    </w:p>
    <w:p>
      <w:pPr>
        <w:pStyle w:val="ListBullet"/>
      </w:pPr>
      <w:r>
        <w:t>Em que website (HMD Furniture vs. Fria) aplicar cada definição.</w:t>
      </w:r>
    </w:p>
    <w:p>
      <w:r>
        <w:rPr>
          <w:b/>
          <w:color w:val="44546A"/>
          <w:sz w:val="25"/>
        </w:rPr>
        <w:t>Verificação em partilha de ecrã (≈2 min, para os pontos que faltam)</w:t>
      </w:r>
    </w:p>
    <w:p>
      <w:r>
        <w:rPr>
          <w:rFonts w:ascii="Consolas" w:hAnsi="Consolas"/>
          <w:color w:val="B5360A"/>
          <w:sz w:val="19"/>
        </w:rPr>
        <w:t>Website &gt; Configuração &gt; Definições</w:t>
      </w:r>
      <w:r>
        <w:t xml:space="preserve"> — selecionar o website </w:t>
      </w:r>
      <w:r>
        <w:rPr>
          <w:b/>
        </w:rPr>
        <w:t>HMD Furniture</w:t>
      </w:r>
      <w:r>
        <w:t xml:space="preserve"> → secção </w:t>
      </w:r>
      <w:r>
        <w:rPr>
          <w:b/>
        </w:rPr>
        <w:t>Privacidade / Clientes</w:t>
      </w:r>
      <w:r>
        <w:t xml:space="preserve"> (modo de registo: mostrar que está em livre e passar a "Apenas por convite") e secção </w:t>
      </w:r>
      <w:r>
        <w:rPr>
          <w:b/>
        </w:rPr>
        <w:t>Loja</w:t>
      </w:r>
      <w:r>
        <w:t xml:space="preserve"> (conta no checkout, exibição de preços).</w:t>
      </w:r>
    </w:p>
    <w:p>
      <w:r>
        <w:rPr>
          <w:b/>
          <w:color w:val="44546A"/>
          <w:sz w:val="25"/>
        </w:rPr>
        <w:t>Opções pela ordem obrigatória</w:t>
      </w:r>
    </w:p>
    <w:p>
      <w:pPr>
        <w:pStyle w:val="ListNumber"/>
      </w:pPr>
      <w:r>
        <w:rPr>
          <w:b/>
        </w:rPr>
        <w:t>Standard já instalado</w:t>
      </w:r>
      <w:r>
        <w:t xml:space="preserve"> — resolve. Configuração de registo, publicação e checkout.</w:t>
      </w:r>
    </w:p>
    <w:p>
      <w:pPr>
        <w:pStyle w:val="ListNumber"/>
      </w:pPr>
      <w:r>
        <w:t>Módulo standard adicional — não necessário.</w:t>
      </w:r>
    </w:p>
    <w:p>
      <w:pPr>
        <w:pStyle w:val="ListNumber"/>
      </w:pPr>
      <w:r>
        <w:t>Studio — não necessário.</w:t>
      </w:r>
    </w:p>
    <w:p>
      <w:pPr>
        <w:pStyle w:val="ListNumber"/>
      </w:pPr>
      <w:r>
        <w:t>Custom — não justificável.</w:t>
      </w:r>
    </w:p>
    <w:p>
      <w:r>
        <w:rPr>
          <w:b/>
          <w:color w:val="44546A"/>
          <w:sz w:val="25"/>
        </w:rPr>
        <w:t>Recomendação: Configuracao standard — cobertura TOTAL</w:t>
      </w:r>
    </w:p>
    <w:p>
      <w:r>
        <w:rPr>
          <w:b/>
        </w:rPr>
        <w:t>Implicações:</w:t>
      </w:r>
      <w:r>
        <w:t xml:space="preserve"> definir a política em conjunto e aplicá-la; a mudança de registo livre para "por convite" implica que a HMD (ou nós) passe a criar os acessos dos clientes B2B.</w:t>
      </w:r>
    </w:p>
    <w:p/>
    <w:p>
      <w:r>
        <w:rPr>
          <w:b/>
          <w:color w:val="2F5496"/>
          <w:sz w:val="30"/>
        </w:rPr>
        <w:t>B2 — "Todos os produtos" no menu e opções do produto que não se comportam como na app Vendas</w:t>
      </w:r>
    </w:p>
    <w:p>
      <w:r>
        <w:t xml:space="preserve">Esta é, na prática, </w:t>
      </w:r>
      <w:r>
        <w:rPr>
          <w:b/>
        </w:rPr>
        <w:t>a questão mais importante das quatro</w:t>
      </w:r>
      <w:r>
        <w:t xml:space="preserve"> — é onde a HMD sente uma inconsistência entre o site e o Odoo interno, e é onde há maior risco de a interpretarmos como defeito quando é configuração.</w:t>
      </w:r>
    </w:p>
    <w:p>
      <w:r>
        <w:rPr>
          <w:b/>
          <w:color w:val="44546A"/>
          <w:sz w:val="25"/>
        </w:rPr>
        <w:t>B2.1 — Retirar o "Todos os produtos" da navegação</w:t>
      </w:r>
    </w:p>
    <w:p>
      <w:r>
        <w:rPr>
          <w:b/>
        </w:rPr>
        <w:t>`FACTO OBSERVADO (produção, 27/07 09h40)`:</w:t>
      </w:r>
      <w:r>
        <w:t xml:space="preserve"> o menu principal do website </w:t>
      </w:r>
      <w:r>
        <w:rPr>
          <w:i/>
        </w:rPr>
        <w:t>HMD Furniture</w:t>
      </w:r>
      <w:r>
        <w:t xml:space="preserve"> tem apenas — </w:t>
      </w:r>
      <w:r>
        <w:rPr>
          <w:b/>
        </w:rPr>
        <w:t>INICIO, COLLECTION</w:t>
      </w:r>
      <w:r>
        <w:t xml:space="preserve"> (</w:t>
      </w:r>
      <w:r>
        <w:rPr>
          <w:rFonts w:ascii="Consolas" w:hAnsi="Consolas"/>
          <w:color w:val="B5360A"/>
          <w:sz w:val="19"/>
        </w:rPr>
        <w:t>/shop/category/colecao-60</w:t>
      </w:r>
      <w:r>
        <w:t>)</w:t>
      </w:r>
      <w:r>
        <w:rPr>
          <w:b/>
        </w:rPr>
        <w:t>, PORTFOLIO, TECIDOS, MATERIAIS, CONTACTE-NOS, ABOUT US</w:t>
      </w:r>
      <w:r>
        <w:t xml:space="preserve">. </w:t>
      </w:r>
      <w:r>
        <w:rPr>
          <w:b/>
        </w:rPr>
        <w:t>Não existe qualquer item de menu "Todos os produtos" nem "Shop"</w:t>
      </w:r>
      <w:r>
        <w:t xml:space="preserve"> neste website (os itens </w:t>
      </w:r>
      <w:r>
        <w:rPr>
          <w:rFonts w:ascii="Consolas" w:hAnsi="Consolas"/>
          <w:color w:val="B5360A"/>
          <w:sz w:val="19"/>
        </w:rPr>
        <w:t>/shop</w:t>
      </w:r>
      <w:r>
        <w:t xml:space="preserve"> que existem pertencem ao menu-modelo por defeito e ao segundo website, </w:t>
      </w:r>
      <w:r>
        <w:rPr>
          <w:i/>
        </w:rPr>
        <w:t>Fria</w:t>
      </w:r>
      <w:r>
        <w:t>).</w:t>
      </w:r>
    </w:p>
    <w:p>
      <w:r>
        <w:rPr>
          <w:b/>
        </w:rPr>
        <w:t>`FACTO OBSERVADO` (source):</w:t>
      </w:r>
      <w:r>
        <w:t xml:space="preserve"> o "Todos os produtos" que a HMD vê é, quase certamente, a </w:t>
      </w:r>
      <w:r>
        <w:rPr>
          <w:b/>
        </w:rPr>
        <w:t>primeira entrada da barra lateral de Categorias da loja</w:t>
      </w:r>
      <w:r>
        <w:t xml:space="preserve"> — </w:t>
      </w:r>
      <w:r>
        <w:rPr>
          <w:rFonts w:ascii="Consolas" w:hAnsi="Consolas"/>
          <w:color w:val="B5360A"/>
          <w:sz w:val="19"/>
        </w:rPr>
        <w:t>vendor/odoo_src/community/addons/website_sale/views/templates.xml:932-939</w:t>
      </w:r>
      <w:r>
        <w:t xml:space="preserve">, onde a lista de categorias começa com a linha </w:t>
      </w:r>
      <w:r>
        <w:rPr>
          <w:i/>
        </w:rPr>
        <w:t>All Products</w:t>
      </w:r>
      <w:r>
        <w:t xml:space="preserve"> a apontar para </w:t>
      </w:r>
      <w:r>
        <w:rPr>
          <w:rFonts w:ascii="Consolas" w:hAnsi="Consolas"/>
          <w:color w:val="B5360A"/>
          <w:sz w:val="19"/>
        </w:rPr>
        <w:t>/shop</w:t>
      </w:r>
      <w:r>
        <w:t xml:space="preserve"> sem categoria (e repetida na navegação móvel, linhas ~1271 e ~1291). É parte integrante do bloco de categorias, não um item de menu.</w:t>
      </w:r>
    </w:p>
    <w:p>
      <w:r>
        <w:rPr>
          <w:b/>
        </w:rPr>
        <w:t>Consequência prática:</w:t>
      </w:r>
      <w:r>
        <w:t xml:space="preserve"> não se resolve "removendo um menu" — resolve-se </w:t>
      </w:r>
      <w:r>
        <w:rPr>
          <w:b/>
        </w:rPr>
        <w:t>desligando a barra lateral de categorias da loja</w:t>
      </w:r>
      <w:r>
        <w:t xml:space="preserve"> (</w:t>
      </w:r>
      <w:r>
        <w:rPr>
          <w:rFonts w:ascii="Consolas" w:hAnsi="Consolas"/>
          <w:color w:val="B5360A"/>
          <w:sz w:val="19"/>
        </w:rPr>
        <w:t>Website &gt; Configuração &gt; Definições &gt; Loja - Produtos</w:t>
      </w:r>
      <w:r>
        <w:t xml:space="preserve">, opção de categorias), o que retira a lista inteira. Retirar </w:t>
      </w:r>
      <w:r>
        <w:rPr>
          <w:b/>
        </w:rPr>
        <w:t>apenas</w:t>
      </w:r>
      <w:r>
        <w:t xml:space="preserve"> a linha "Todos os produtos" mantendo as restantes categorias implica personalizar o template — </w:t>
      </w:r>
      <w:r>
        <w:rPr>
          <w:rFonts w:ascii="Consolas" w:hAnsi="Consolas"/>
          <w:color w:val="B5360A"/>
          <w:sz w:val="19"/>
        </w:rPr>
        <w:t>Customizacao leve</w:t>
      </w:r>
      <w:r>
        <w:t>, a evitar se a HMD aceitar uma das duas alternativas standard.</w:t>
      </w:r>
    </w:p>
    <w:p>
      <w:r>
        <w:rPr>
          <w:b/>
        </w:rPr>
        <w:t>Recomendação:</w:t>
      </w:r>
      <w:r>
        <w:t xml:space="preserve"> </w:t>
      </w:r>
      <w:r>
        <w:rPr>
          <w:rFonts w:ascii="Consolas" w:hAnsi="Consolas"/>
          <w:color w:val="B5360A"/>
          <w:sz w:val="19"/>
        </w:rPr>
        <w:t>Configuracao standard</w:t>
      </w:r>
      <w:r>
        <w:t xml:space="preserve"> — cobertura </w:t>
      </w:r>
      <w:r>
        <w:rPr>
          <w:b/>
        </w:rPr>
        <w:t>PARCIAL</w:t>
      </w:r>
      <w:r>
        <w:t>. Confirmar primeiro, em ecrã, se é isto que a Nina quer dizer, e decidir entre: (a) desligar a barra de categorias; (b) manter a barra e aceitar a linha; (c) personalização leve do template.</w:t>
      </w:r>
    </w:p>
    <w:p>
      <w:r>
        <w:rPr>
          <w:b/>
        </w:rPr>
        <w:t>`PONTO POR VALIDAR`:</w:t>
      </w:r>
      <w:r>
        <w:t xml:space="preserve"> pedir à Nina que aponte no ecrã o elemento exato — é a diferença entre configuração imediata e uma pequena personalização.</w:t>
      </w:r>
    </w:p>
    <w:p>
      <w:r>
        <w:rPr>
          <w:b/>
          <w:color w:val="44546A"/>
          <w:sz w:val="25"/>
        </w:rPr>
        <w:t>B2.2 — Opções do produto no carrinho ≠ aplicação de Vendas</w:t>
      </w:r>
    </w:p>
    <w:p>
      <w:r>
        <w:rPr>
          <w:b/>
          <w:color w:val="44546A"/>
          <w:sz w:val="23"/>
        </w:rPr>
        <w:t>O que a HMD descreve</w:t>
      </w:r>
    </w:p>
    <w:p>
      <w:r>
        <w:t>Ao colocar um produto no carrinho, "os produtos alternativos não aparecem como na app Vendas": o produto que está a ser selecionado deixa de mostrar as opções disponíveis, e depois aparecem opções nos produtos abaixo. Na construção de uma proposta interna com o mesmo produto, o comportamento é o esperado.</w:t>
      </w:r>
    </w:p>
    <w:p>
      <w:r>
        <w:rPr>
          <w:b/>
          <w:color w:val="44546A"/>
          <w:sz w:val="23"/>
        </w:rPr>
        <w:t>FACTO OBSERVADO — o Odoo tem dois conceitos distintos, e não são intercambiáveis</w:t>
      </w:r>
    </w:p>
    <w:p>
      <w:pPr>
        <w:pStyle w:val="ListNumber"/>
      </w:pPr>
      <w:r>
        <w:rPr>
          <w:b/>
        </w:rPr>
        <w:t>Produtos alternativos</w:t>
      </w:r>
      <w:r>
        <w:t xml:space="preserve"> (</w:t>
      </w:r>
      <w:r>
        <w:rPr>
          <w:rFonts w:ascii="Consolas" w:hAnsi="Consolas"/>
          <w:color w:val="B5360A"/>
          <w:sz w:val="19"/>
        </w:rPr>
        <w:t>alternative_product_ids</w:t>
      </w:r>
      <w:r>
        <w:t xml:space="preserve">) — renderizados na </w:t>
      </w:r>
      <w:r>
        <w:rPr>
          <w:b/>
        </w:rPr>
        <w:t>página do produto, depois da descrição</w:t>
      </w:r>
      <w:r>
        <w:t xml:space="preserve">, como bloco/carrossel de sugestões. Evidência: </w:t>
      </w:r>
      <w:r>
        <w:rPr>
          <w:rFonts w:ascii="Consolas" w:hAnsi="Consolas"/>
          <w:color w:val="B5360A"/>
          <w:sz w:val="19"/>
        </w:rPr>
        <w:t>vendor/odoo_src/community/addons/website_sale/views/templates.xml</w:t>
      </w:r>
      <w:r>
        <w:t xml:space="preserve"> (template </w:t>
      </w:r>
      <w:r>
        <w:rPr>
          <w:rFonts w:ascii="Consolas" w:hAnsi="Consolas"/>
          <w:color w:val="B5360A"/>
          <w:sz w:val="19"/>
        </w:rPr>
        <w:t>alternative_products</w:t>
      </w:r>
      <w:r>
        <w:t xml:space="preserve">, linhas ~1527-1535), onde o bloco é declarado com </w:t>
      </w:r>
      <w:r>
        <w:rPr>
          <w:rFonts w:ascii="Consolas" w:hAnsi="Consolas"/>
          <w:color w:val="B5360A"/>
          <w:sz w:val="19"/>
        </w:rPr>
        <w:t>oe_unmovable oe_unremovable</w:t>
      </w:r>
      <w:r>
        <w:t xml:space="preserve"> e contentor </w:t>
      </w:r>
      <w:r>
        <w:rPr>
          <w:rFonts w:ascii="Consolas" w:hAnsi="Consolas"/>
          <w:color w:val="B5360A"/>
          <w:sz w:val="19"/>
        </w:rPr>
        <w:t>o_not_editable</w:t>
      </w:r>
      <w:r>
        <w:t>.</w:t>
      </w:r>
    </w:p>
    <w:p>
      <w:pPr>
        <w:pStyle w:val="ListNumber"/>
      </w:pPr>
      <w:r>
        <w:rPr>
          <w:b/>
        </w:rPr>
        <w:t>Produtos opcionais</w:t>
      </w:r>
      <w:r>
        <w:t xml:space="preserve"> (</w:t>
      </w:r>
      <w:r>
        <w:rPr>
          <w:rFonts w:ascii="Consolas" w:hAnsi="Consolas"/>
          <w:color w:val="B5360A"/>
          <w:sz w:val="19"/>
        </w:rPr>
        <w:t>optional_product_ids</w:t>
      </w:r>
      <w:r>
        <w:t xml:space="preserve">) — apresentados no </w:t>
      </w:r>
      <w:r>
        <w:rPr>
          <w:b/>
        </w:rPr>
        <w:t>configurador de produto</w:t>
      </w:r>
      <w:r>
        <w:t xml:space="preserve">, no momento de adicionar ao carrinho, exatamente como as opções aparecem numa proposta de venda. Evidência: </w:t>
      </w:r>
      <w:r>
        <w:rPr>
          <w:rFonts w:ascii="Consolas" w:hAnsi="Consolas"/>
          <w:color w:val="B5360A"/>
          <w:sz w:val="19"/>
        </w:rPr>
        <w:t>vendor/odoo_src/community/addons/website_sale/controllers/main.py</w:t>
      </w:r>
      <w:r>
        <w:t xml:space="preserve"> (~linha 677, passagem de </w:t>
      </w:r>
      <w:r>
        <w:rPr>
          <w:rFonts w:ascii="Consolas" w:hAnsi="Consolas"/>
          <w:color w:val="B5360A"/>
          <w:sz w:val="19"/>
        </w:rPr>
        <w:t>optional_product_ids</w:t>
      </w:r>
      <w:r>
        <w:t xml:space="preserve">) e </w:t>
      </w:r>
      <w:r>
        <w:rPr>
          <w:rFonts w:ascii="Consolas" w:hAnsi="Consolas"/>
          <w:color w:val="B5360A"/>
          <w:sz w:val="19"/>
        </w:rPr>
        <w:t>vendor/odoo_src/community/addons/website_sale/controllers/product_configurator.py</w:t>
      </w:r>
      <w:r>
        <w:t xml:space="preserve"> (~linha 35, </w:t>
      </w:r>
      <w:r>
        <w:rPr>
          <w:rFonts w:ascii="Consolas" w:hAnsi="Consolas"/>
          <w:color w:val="B5360A"/>
          <w:sz w:val="19"/>
        </w:rPr>
        <w:t>has_optional_products</w:t>
      </w:r>
      <w:r>
        <w:t xml:space="preserve"> a decidir a abertura do configurador).</w:t>
      </w:r>
    </w:p>
    <w:p>
      <w:r>
        <w:rPr>
          <w:b/>
          <w:color w:val="44546A"/>
          <w:sz w:val="23"/>
        </w:rPr>
        <w:t>FACTO OBSERVADO (produção, 27/07 09h40) — a inferência confirma-se nos dados</w:t>
      </w:r>
    </w:p>
    <w:p>
      <w:r>
        <w:t>No Odoo da HMD, dos artigos configurados:</w:t>
      </w:r>
    </w:p>
    <w:p>
      <w:pPr>
        <w:pStyle w:val="ListBullet"/>
      </w:pPr>
      <w:r>
        <w:rPr>
          <w:b/>
        </w:rPr>
        <w:t>205 modelos de produto</w:t>
      </w:r>
      <w:r>
        <w:t xml:space="preserve"> têm </w:t>
      </w:r>
      <w:r>
        <w:rPr>
          <w:b/>
        </w:rPr>
        <w:t>produtos alternativos</w:t>
      </w:r>
      <w:r>
        <w:t xml:space="preserve"> preenchidos;</w:t>
      </w:r>
    </w:p>
    <w:p>
      <w:pPr>
        <w:pStyle w:val="ListBullet"/>
      </w:pPr>
      <w:r>
        <w:rPr>
          <w:b/>
        </w:rPr>
        <w:t>80 modelos de produto</w:t>
      </w:r>
      <w:r>
        <w:t xml:space="preserve"> têm </w:t>
      </w:r>
      <w:r>
        <w:rPr>
          <w:b/>
        </w:rPr>
        <w:t>produtos opcionais</w:t>
      </w:r>
      <w:r>
        <w:t xml:space="preserve"> preenchidos;</w:t>
      </w:r>
    </w:p>
    <w:p>
      <w:pPr>
        <w:pStyle w:val="ListBullet"/>
      </w:pPr>
      <w:r>
        <w:rPr>
          <w:b/>
        </w:rPr>
        <w:t>276 modelos de produto</w:t>
      </w:r>
      <w:r>
        <w:t xml:space="preserve"> estão publicados no site.</w:t>
      </w:r>
    </w:p>
    <w:p>
      <w:r>
        <w:t xml:space="preserve">Ou seja, a configuração do catálogo está </w:t>
      </w:r>
      <w:r>
        <w:rPr>
          <w:b/>
        </w:rPr>
        <w:t>dominada pelos alternativos</w:t>
      </w:r>
      <w:r>
        <w:t xml:space="preserve"> (205 contra 80). É exatamente isso que produz o efeito descrito pela Nina: na página do produto aparece o carrossel de sugestões (alternativos), e não as opções no momento de adicionar ao carrinho.</w:t>
      </w:r>
    </w:p>
    <w:p>
      <w:r>
        <w:rPr>
          <w:b/>
          <w:color w:val="44546A"/>
          <w:sz w:val="23"/>
        </w:rPr>
        <w:t>INFERÊNCIA (agora com base factual)</w:t>
      </w:r>
    </w:p>
    <w:p>
      <w:r>
        <w:t xml:space="preserve">O comportamento que a HMD quer no site é o dos </w:t>
      </w:r>
      <w:r>
        <w:rPr>
          <w:b/>
        </w:rPr>
        <w:t>produtos opcionais</w:t>
      </w:r>
      <w:r>
        <w:t xml:space="preserve">; a maioria dos artigos está configurada com </w:t>
      </w:r>
      <w:r>
        <w:rPr>
          <w:b/>
        </w:rPr>
        <w:t>produtos alternativos</w:t>
      </w:r>
      <w:r>
        <w:t>. Não é defeito do site nem do nosso desenvolvimento: são dois campos diferentes, com dois comportamentos diferentes, ambos standard.</w:t>
      </w:r>
    </w:p>
    <w:p>
      <w:r>
        <w:rPr>
          <w:b/>
          <w:color w:val="44546A"/>
          <w:sz w:val="23"/>
        </w:rPr>
        <w:t>PONTO POR VALIDAR</w:t>
      </w:r>
    </w:p>
    <w:p>
      <w:pPr>
        <w:pStyle w:val="ListBullet"/>
      </w:pPr>
      <w:r>
        <w:t>No artigo concreto que a Nina apontar: tem alternativos, opcionais, ou ambos? (Há 80 artigos com opcionais — pode ser que o exemplo dela esteja entre os que não têm.)</w:t>
      </w:r>
    </w:p>
    <w:p>
      <w:pPr>
        <w:pStyle w:val="ListBullet"/>
      </w:pPr>
      <w:r>
        <w:t xml:space="preserve">Se a intenção for opções configuráveis do mesmo artigo (e não produtos adicionais), a via correta pode ser </w:t>
      </w:r>
      <w:r>
        <w:rPr>
          <w:b/>
        </w:rPr>
        <w:t>variantes/atributos</w:t>
      </w:r>
      <w:r>
        <w:t xml:space="preserve"> e não produtos opcionais — a distinguir com o caso concreto.</w:t>
      </w:r>
    </w:p>
    <w:p>
      <w:pPr>
        <w:pStyle w:val="ListBullet"/>
      </w:pPr>
      <w:r>
        <w:rPr>
          <w:b/>
        </w:rPr>
        <w:t>Dimensão do trabalho de correção:</w:t>
      </w:r>
      <w:r>
        <w:t xml:space="preserve"> se for para uniformizar, falamos de rever até ~205 artigos — não é um clique. Quantificar antes de assumir prazo.</w:t>
      </w:r>
    </w:p>
    <w:p>
      <w:r>
        <w:rPr>
          <w:b/>
          <w:color w:val="44546A"/>
          <w:sz w:val="23"/>
        </w:rPr>
        <w:t>Verificação em partilha de ecrã (≈3 min)</w:t>
      </w:r>
    </w:p>
    <w:p>
      <w:r>
        <w:t xml:space="preserve">Pedir um artigo concreto que exemplifique o problema → </w:t>
      </w:r>
      <w:r>
        <w:rPr>
          <w:rFonts w:ascii="Consolas" w:hAnsi="Consolas"/>
          <w:color w:val="B5360A"/>
          <w:sz w:val="19"/>
        </w:rPr>
        <w:t>Vendas &gt; Produtos &gt; Produtos</w:t>
      </w:r>
      <w:r>
        <w:t xml:space="preserve"> → separador </w:t>
      </w:r>
      <w:r>
        <w:rPr>
          <w:b/>
        </w:rPr>
        <w:t>Vendas</w:t>
      </w:r>
      <w:r>
        <w:t xml:space="preserve">: comparar os campos </w:t>
      </w:r>
      <w:r>
        <w:rPr>
          <w:b/>
        </w:rPr>
        <w:t>Produtos opcionais</w:t>
      </w:r>
      <w:r>
        <w:t xml:space="preserve"> e </w:t>
      </w:r>
      <w:r>
        <w:rPr>
          <w:b/>
        </w:rPr>
        <w:t>Produtos alternativos</w:t>
      </w:r>
      <w:r>
        <w:t>. Depois abrir a página pública do mesmo artigo e adicionar ao carrinho, para mostrar lado a lado a diferença.</w:t>
      </w:r>
    </w:p>
    <w:p>
      <w:r>
        <w:rPr>
          <w:b/>
          <w:color w:val="44546A"/>
          <w:sz w:val="23"/>
        </w:rPr>
        <w:t>Opções pela ordem obrigatória</w:t>
      </w:r>
    </w:p>
    <w:p>
      <w:pPr>
        <w:pStyle w:val="ListNumber"/>
      </w:pPr>
      <w:r>
        <w:rPr>
          <w:b/>
        </w:rPr>
        <w:t>Standard já instalado</w:t>
      </w:r>
      <w:r>
        <w:t xml:space="preserve"> — resolve, se a necessidade for opções no momento da compra: preencher produtos opcionais nos artigos (ou modelar como variantes, se aplicável).</w:t>
      </w:r>
    </w:p>
    <w:p>
      <w:pPr>
        <w:pStyle w:val="ListNumber"/>
      </w:pPr>
      <w:r>
        <w:t>Módulo standard adicional — não necessário.</w:t>
      </w:r>
    </w:p>
    <w:p>
      <w:pPr>
        <w:pStyle w:val="ListNumber"/>
      </w:pPr>
      <w:r>
        <w:t>Studio — não necessário para o comportamento; apenas se quiserem alterar campos/vistas internas.</w:t>
      </w:r>
    </w:p>
    <w:p>
      <w:pPr>
        <w:pStyle w:val="ListNumber"/>
      </w:pPr>
      <w:r>
        <w:t>Custom — apenas se a HMD exigir um comportamento visual que o standard não oferece (ex.: apresentar alternativos dentro do configurador). Nesse caso, avaliação e orçamento próprios, com impacto em upgrade.</w:t>
      </w:r>
    </w:p>
    <w:p>
      <w:r>
        <w:rPr>
          <w:b/>
          <w:color w:val="44546A"/>
          <w:sz w:val="23"/>
        </w:rPr>
        <w:t>Recomendação: Configuracao standard — cobertura PARCIAL COM ADAPTACAO DE PROCESSO</w:t>
      </w:r>
    </w:p>
    <w:p>
      <w:r>
        <w:rPr>
          <w:b/>
        </w:rPr>
        <w:t>Implicações:</w:t>
      </w:r>
      <w:r>
        <w:t xml:space="preserve"> a HMD passa a distinguir, na gestão de artigos, "opções" de "alternativos"; isso implica revisitar os artigos já configurados. Se, após ver o caso concreto, se confirmar que querem os alternativos dentro do configurador, isso é </w:t>
      </w:r>
      <w:r>
        <w:rPr>
          <w:b/>
        </w:rPr>
        <w:t>desenvolvimento adicional</w:t>
      </w:r>
      <w:r>
        <w:t xml:space="preserve"> e deve ser dito na reunião como tal — sem prometer prazo.</w:t>
      </w:r>
    </w:p>
    <w:p>
      <w:r>
        <w:rPr>
          <w:b/>
          <w:color w:val="44546A"/>
          <w:sz w:val="25"/>
        </w:rPr>
        <w:t>B2.3 — Bloco da página de produto não editável (tag e bloco amarelo do 3D)</w:t>
      </w:r>
    </w:p>
    <w:p>
      <w:r>
        <w:rPr>
          <w:b/>
        </w:rPr>
        <w:t>`FACTO OBSERVADO`:</w:t>
      </w:r>
      <w:r>
        <w:t xml:space="preserve"> a não-editabilidade </w:t>
      </w:r>
      <w:r>
        <w:rPr>
          <w:b/>
        </w:rPr>
        <w:t>é intencional no standard</w:t>
      </w:r>
      <w:r>
        <w:t xml:space="preserve"> — o bloco de produtos alternativos é declarado como não movível e não removível, com o contentor marcado como não editável (mesma evidência de B2.2, ponto 1). Não é limitação da formação nem defeito de configuração.</w:t>
      </w:r>
    </w:p>
    <w:p>
      <w:r>
        <w:rPr>
          <w:b/>
        </w:rPr>
        <w:t>`FACTO OBSERVADO`:</w:t>
      </w:r>
      <w:r>
        <w:t xml:space="preserve"> o </w:t>
      </w:r>
      <w:r>
        <w:rPr>
          <w:b/>
        </w:rPr>
        <w:t>bloco amarelo com erro do 3D</w:t>
      </w:r>
      <w:r>
        <w:t xml:space="preserve"> decorre do visualizador 3D, que é uma capacidade </w:t>
      </w:r>
      <w:r>
        <w:rPr>
          <w:b/>
        </w:rPr>
        <w:t>implementada por nós</w:t>
      </w:r>
      <w:r>
        <w:t xml:space="preserve"> e que extravasou o âmbito protocolado.</w:t>
      </w:r>
    </w:p>
    <w:p>
      <w:r>
        <w:rPr>
          <w:b/>
        </w:rPr>
        <w:t>Recomendação:</w:t>
      </w:r>
      <w:r>
        <w:t xml:space="preserve"> para o bloco não editável, </w:t>
      </w:r>
      <w:r>
        <w:rPr>
          <w:rFonts w:ascii="Consolas" w:hAnsi="Consolas"/>
          <w:color w:val="B5360A"/>
          <w:sz w:val="19"/>
        </w:rPr>
        <w:t>Configuracao standard</w:t>
      </w:r>
      <w:r>
        <w:t xml:space="preserve"> (explicar o comportamento e, se necessário, alternativas de colocação de conteúdo próprio fora do bloco). Para o erro do 3D, </w:t>
      </w:r>
      <w:r>
        <w:rPr>
          <w:b/>
        </w:rPr>
        <w:t>correção nossa</w:t>
      </w:r>
      <w:r>
        <w:t xml:space="preserve"> — abrir tarefa e tratar como defeito, com pedido do artigo/URL onde ocorre.</w:t>
      </w:r>
    </w:p>
    <w:p>
      <w:r>
        <w:rPr>
          <w:b/>
        </w:rPr>
        <w:t>`PONTO POR VALIDAR`:</w:t>
      </w:r>
      <w:r>
        <w:t xml:space="preserve"> em que artigos surge o erro do 3D e se é dependência do ficheiro do modelo ou do módulo.</w:t>
      </w:r>
    </w:p>
    <w:p/>
    <w:p>
      <w:r>
        <w:rPr>
          <w:b/>
          <w:color w:val="2F5496"/>
          <w:sz w:val="30"/>
        </w:rPr>
        <w:t>B3 — Tutoriais de Projetos: o que foi enviado vs. o que a HMD recebeu</w:t>
      </w:r>
    </w:p>
    <w:p>
      <w:r>
        <w:rPr>
          <w:b/>
          <w:color w:val="44546A"/>
          <w:sz w:val="25"/>
        </w:rPr>
        <w:t>Contexto</w:t>
      </w:r>
    </w:p>
    <w:p>
      <w:r>
        <w:t xml:space="preserve">A 22/07 informámos que "foram já enviados tutoriais formativos" para fases, templates e automações de projeto, desde o CRM até ao fecho de encomendas. A 23/07 a Nina responde que </w:t>
      </w:r>
      <w:r>
        <w:rPr>
          <w:b/>
        </w:rPr>
        <w:t>pensa ter recebido apenas o tutorial de criação de template</w:t>
      </w:r>
      <w:r>
        <w:t xml:space="preserve"> e pede confirmação.</w:t>
      </w:r>
    </w:p>
    <w:p>
      <w:r>
        <w:rPr>
          <w:b/>
          <w:color w:val="44546A"/>
          <w:sz w:val="25"/>
        </w:rPr>
        <w:t>FACTO OBSERVADO</w:t>
      </w:r>
    </w:p>
    <w:p>
      <w:r>
        <w:t>Existem, produzidos no repositório do projeto (</w:t>
      </w:r>
      <w:r>
        <w:rPr>
          <w:rFonts w:ascii="Consolas" w:hAnsi="Consolas"/>
          <w:color w:val="B5360A"/>
          <w:sz w:val="19"/>
        </w:rPr>
        <w:t>docs/</w:t>
      </w:r>
      <w:r>
        <w:t xml:space="preserve">), entre outros: tutorial de </w:t>
      </w:r>
      <w:r>
        <w:rPr>
          <w:b/>
        </w:rPr>
        <w:t>template de projeto</w:t>
      </w:r>
      <w:r>
        <w:t xml:space="preserve">, </w:t>
      </w:r>
      <w:r>
        <w:rPr>
          <w:b/>
        </w:rPr>
        <w:t>adiantamentos de cliente</w:t>
      </w:r>
      <w:r>
        <w:t xml:space="preserve">, </w:t>
      </w:r>
      <w:r>
        <w:rPr>
          <w:b/>
        </w:rPr>
        <w:t>cash-flow e aging</w:t>
      </w:r>
      <w:r>
        <w:t xml:space="preserve">, </w:t>
      </w:r>
      <w:r>
        <w:rPr>
          <w:b/>
        </w:rPr>
        <w:t>categorias de despesa</w:t>
      </w:r>
      <w:r>
        <w:t xml:space="preserve">, </w:t>
      </w:r>
      <w:r>
        <w:rPr>
          <w:b/>
        </w:rPr>
        <w:t>custo/hora por colaborador</w:t>
      </w:r>
      <w:r>
        <w:t xml:space="preserve">, </w:t>
      </w:r>
      <w:r>
        <w:rPr>
          <w:b/>
        </w:rPr>
        <w:t>confirming</w:t>
      </w:r>
      <w:r>
        <w:t xml:space="preserve">, </w:t>
      </w:r>
      <w:r>
        <w:rPr>
          <w:b/>
        </w:rPr>
        <w:t>gastos de pessoal</w:t>
      </w:r>
      <w:r>
        <w:t xml:space="preserve">, </w:t>
      </w:r>
      <w:r>
        <w:rPr>
          <w:b/>
        </w:rPr>
        <w:t>modelos de orçamento</w:t>
      </w:r>
      <w:r>
        <w:t xml:space="preserve">, </w:t>
      </w:r>
      <w:r>
        <w:rPr>
          <w:b/>
        </w:rPr>
        <w:t>email marketing</w:t>
      </w:r>
      <w:r>
        <w:t xml:space="preserve">, </w:t>
      </w:r>
      <w:r>
        <w:rPr>
          <w:b/>
        </w:rPr>
        <w:t>verificação de qualidade (QC)</w:t>
      </w:r>
      <w:r>
        <w:t xml:space="preserve"> e </w:t>
      </w:r>
      <w:r>
        <w:rPr>
          <w:b/>
        </w:rPr>
        <w:t>WhatsApp Business</w:t>
      </w:r>
      <w:r>
        <w:t>. Vários têm versão em PDF e DOCX.</w:t>
      </w:r>
    </w:p>
    <w:p>
      <w:r>
        <w:rPr>
          <w:b/>
          <w:color w:val="44546A"/>
          <w:sz w:val="25"/>
        </w:rPr>
        <w:t>PONTO POR VALIDAR — a resolver antes ou durante a reunião</w:t>
      </w:r>
    </w:p>
    <w:p>
      <w:r>
        <w:t xml:space="preserve">Quais destes documentos foram </w:t>
      </w:r>
      <w:r>
        <w:rPr>
          <w:b/>
        </w:rPr>
        <w:t>efetivamente enviados</w:t>
      </w:r>
      <w:r>
        <w:t xml:space="preserve"> à HMD, por que via e em que data. Não afirmar na reunião que "foi tudo enviado" sem esta confirmação: a divergência é factual e assumir o contrário custa credibilidade.</w:t>
      </w:r>
    </w:p>
    <w:p>
      <w:r>
        <w:rPr>
          <w:b/>
          <w:color w:val="44546A"/>
          <w:sz w:val="25"/>
        </w:rPr>
        <w:t>Recomendação</w:t>
      </w:r>
    </w:p>
    <w:p>
      <w:r>
        <w:t xml:space="preserve">Assumir o ponto sem defensiva: </w:t>
      </w:r>
      <w:r>
        <w:rPr>
          <w:b/>
        </w:rPr>
        <w:t>reenviar o conjunto completo e pertinente numa única mensagem</w:t>
      </w:r>
      <w:r>
        <w:t>, com índice, logo após a reunião — e enquadrar a sessão de formação (cadeia CRM → encomenda + painéis) como o complemento natural desses materiais.</w:t>
      </w:r>
    </w:p>
    <w:p/>
    <w:p>
      <w:r>
        <w:rPr>
          <w:b/>
          <w:color w:val="2F5496"/>
          <w:sz w:val="30"/>
        </w:rPr>
        <w:t>B4 — Ligar os lançamentos do empréstimo à fatura/nota de lançamento do banco</w:t>
      </w:r>
    </w:p>
    <w:p>
      <w:r>
        <w:rPr>
          <w:b/>
          <w:color w:val="44546A"/>
          <w:sz w:val="25"/>
        </w:rPr>
        <w:t>Dor de negócio</w:t>
      </w:r>
    </w:p>
    <w:p>
      <w:r>
        <w:t xml:space="preserve">No empréstimo já registado (BCP 0000000400490701), o pagamento ocorre ao dia 5 e a saída bancária vem acompanhada dos </w:t>
      </w:r>
      <w:r>
        <w:rPr>
          <w:b/>
        </w:rPr>
        <w:t>documentos do banco (juros e comissões)</w:t>
      </w:r>
      <w:r>
        <w:t xml:space="preserve"> e do </w:t>
      </w:r>
      <w:r>
        <w:rPr>
          <w:b/>
        </w:rPr>
        <w:t>lançamento de amortização de capital</w:t>
      </w:r>
      <w:r>
        <w:t xml:space="preserve">. A Nina quer que o lançamento do empréstimo seja </w:t>
      </w:r>
      <w:r>
        <w:rPr>
          <w:b/>
        </w:rPr>
        <w:t>ajustado automaticamente</w:t>
      </w:r>
      <w:r>
        <w:t xml:space="preserve"> por esse documento.</w:t>
      </w:r>
    </w:p>
    <w:p>
      <w:r>
        <w:rPr>
          <w:b/>
          <w:color w:val="44546A"/>
          <w:sz w:val="25"/>
        </w:rPr>
        <w:t>FACTO OBSERVADO — como funciona o módulo instalado (account_loans, Odoo 18 Enterprise)</w:t>
      </w:r>
    </w:p>
    <w:p>
      <w:pPr>
        <w:pStyle w:val="ListBullet"/>
      </w:pPr>
      <w:r>
        <w:t xml:space="preserve">O módulo </w:t>
      </w:r>
      <w:r>
        <w:rPr>
          <w:b/>
        </w:rPr>
        <w:t>gera os seus próprios lançamentos</w:t>
      </w:r>
      <w:r>
        <w:t xml:space="preserve"> a partir do plano do empréstimo: cada linha do plano (</w:t>
      </w:r>
      <w:r>
        <w:rPr>
          <w:rFonts w:ascii="Consolas" w:hAnsi="Consolas"/>
          <w:color w:val="B5360A"/>
          <w:sz w:val="19"/>
        </w:rPr>
        <w:t>account.loan.line</w:t>
      </w:r>
      <w:r>
        <w:t xml:space="preserve">) tem </w:t>
      </w:r>
      <w:r>
        <w:rPr>
          <w:rFonts w:ascii="Consolas" w:hAnsi="Consolas"/>
          <w:color w:val="B5360A"/>
          <w:sz w:val="19"/>
        </w:rPr>
        <w:t>principal</w:t>
      </w:r>
      <w:r>
        <w:t xml:space="preserve"> e </w:t>
      </w:r>
      <w:r>
        <w:rPr>
          <w:rFonts w:ascii="Consolas" w:hAnsi="Consolas"/>
          <w:color w:val="B5360A"/>
          <w:sz w:val="19"/>
        </w:rPr>
        <w:t>interest</w:t>
      </w:r>
      <w:r>
        <w:t xml:space="preserve"> e mantém </w:t>
      </w:r>
      <w:r>
        <w:rPr>
          <w:rFonts w:ascii="Consolas" w:hAnsi="Consolas"/>
          <w:color w:val="B5360A"/>
          <w:sz w:val="19"/>
        </w:rPr>
        <w:t>generated_move_ids</w:t>
      </w:r>
      <w:r>
        <w:t xml:space="preserve">; o lançamento gerado guarda a origem em </w:t>
      </w:r>
      <w:r>
        <w:rPr>
          <w:rFonts w:ascii="Consolas" w:hAnsi="Consolas"/>
          <w:color w:val="B5360A"/>
          <w:sz w:val="19"/>
        </w:rPr>
        <w:t>generating_loan_line_id</w:t>
      </w:r>
      <w:r>
        <w:t xml:space="preserve"> e é marcado com </w:t>
      </w:r>
      <w:r>
        <w:rPr>
          <w:rFonts w:ascii="Consolas" w:hAnsi="Consolas"/>
          <w:color w:val="B5360A"/>
          <w:sz w:val="19"/>
        </w:rPr>
        <w:t>is_loan_payment_move</w:t>
      </w:r>
      <w:r>
        <w:t xml:space="preserve">. Evidência: </w:t>
      </w:r>
      <w:r>
        <w:rPr>
          <w:rFonts w:ascii="Consolas" w:hAnsi="Consolas"/>
          <w:color w:val="B5360A"/>
          <w:sz w:val="19"/>
        </w:rPr>
        <w:t>vendor/odoo_src/enterprise/account_loans/models/account_move.py</w:t>
      </w:r>
      <w:r>
        <w:t xml:space="preserve"> e </w:t>
      </w:r>
      <w:r>
        <w:rPr>
          <w:rFonts w:ascii="Consolas" w:hAnsi="Consolas"/>
          <w:color w:val="B5360A"/>
          <w:sz w:val="19"/>
        </w:rPr>
        <w:t>.../account_loan_line.py</w:t>
      </w:r>
      <w:r>
        <w:t>.</w:t>
      </w:r>
    </w:p>
    <w:p>
      <w:pPr>
        <w:pStyle w:val="ListBullet"/>
      </w:pPr>
      <w:r>
        <w:t xml:space="preserve">O empréstimo </w:t>
      </w:r>
      <w:r>
        <w:rPr>
          <w:b/>
        </w:rPr>
        <w:t>fecha automaticamente</w:t>
      </w:r>
      <w:r>
        <w:t xml:space="preserve"> quando todas as linhas do plano têm o respetivo lançamento de pagamento publicado (lógica em </w:t>
      </w:r>
      <w:r>
        <w:rPr>
          <w:rFonts w:ascii="Consolas" w:hAnsi="Consolas"/>
          <w:color w:val="B5360A"/>
          <w:sz w:val="19"/>
        </w:rPr>
        <w:t>_post</w:t>
      </w:r>
      <w:r>
        <w:t xml:space="preserve">, </w:t>
      </w:r>
      <w:r>
        <w:rPr>
          <w:rFonts w:ascii="Consolas" w:hAnsi="Consolas"/>
          <w:color w:val="B5360A"/>
          <w:sz w:val="19"/>
        </w:rPr>
        <w:t>vendor/odoo_src/enterprise/account_loans/models/account_move.py</w:t>
      </w:r>
      <w:r>
        <w:t>).</w:t>
      </w:r>
    </w:p>
    <w:p>
      <w:pPr>
        <w:pStyle w:val="ListBullet"/>
      </w:pPr>
      <w:r>
        <w:t xml:space="preserve">Existe navegação direta do lançamento para o empréstimo de origem (ação </w:t>
      </w:r>
      <w:r>
        <w:rPr>
          <w:rFonts w:ascii="Consolas" w:hAnsi="Consolas"/>
          <w:color w:val="B5360A"/>
          <w:sz w:val="19"/>
        </w:rPr>
        <w:t>open_loan</w:t>
      </w:r>
      <w:r>
        <w:t>).</w:t>
      </w:r>
    </w:p>
    <w:p>
      <w:r>
        <w:rPr>
          <w:b/>
          <w:color w:val="44546A"/>
          <w:sz w:val="25"/>
        </w:rPr>
        <w:t>INFERÊNCIA</w:t>
      </w:r>
    </w:p>
    <w:p>
      <w:r>
        <w:t xml:space="preserve">Não existe, no standard, um mecanismo que </w:t>
      </w:r>
      <w:r>
        <w:rPr>
          <w:b/>
        </w:rPr>
        <w:t>ajuste o plano do empréstimo a partir de uma fatura do banco</w:t>
      </w:r>
      <w:r>
        <w:t xml:space="preserve">. A lógica standard é a inversa e correta contabilisticamente: o plano é a fonte do lançamento de juros e amortização, e o </w:t>
      </w:r>
      <w:r>
        <w:rPr>
          <w:b/>
        </w:rPr>
        <w:t>extrato bancário é reconciliado contra esse lançamento</w:t>
      </w:r>
      <w:r>
        <w:t>. Registar em paralelo a fatura do banco como documento de compra cria duplicação de custo financeiro — é provavelmente aí que está a dificuldade sentida pela HMD.</w:t>
      </w:r>
    </w:p>
    <w:p>
      <w:r>
        <w:rPr>
          <w:b/>
          <w:color w:val="44546A"/>
          <w:sz w:val="25"/>
        </w:rPr>
        <w:t>Consequência prática a propor</w:t>
      </w:r>
    </w:p>
    <w:p>
      <w:pPr>
        <w:pStyle w:val="ListNumber"/>
      </w:pPr>
      <w:r>
        <w:t xml:space="preserve">O lançamento mensal do empréstimo (juros + amortização) passa a ser o </w:t>
      </w:r>
      <w:r>
        <w:rPr>
          <w:b/>
        </w:rPr>
        <w:t>documento contabilístico de referência</w:t>
      </w:r>
      <w:r>
        <w:t>, gerado pelo plano.</w:t>
      </w:r>
    </w:p>
    <w:p>
      <w:pPr>
        <w:pStyle w:val="ListNumber"/>
      </w:pPr>
      <w:r>
        <w:t xml:space="preserve">A linha do </w:t>
      </w:r>
      <w:r>
        <w:rPr>
          <w:b/>
        </w:rPr>
        <w:t>extrato bancário</w:t>
      </w:r>
      <w:r>
        <w:t xml:space="preserve"> do dia 5 é reconciliada contra esse lançamento.</w:t>
      </w:r>
    </w:p>
    <w:p>
      <w:pPr>
        <w:pStyle w:val="ListNumber"/>
      </w:pPr>
      <w:r>
        <w:rPr>
          <w:b/>
        </w:rPr>
        <w:t>Comissões e encargos que não estejam no plano</w:t>
      </w:r>
      <w:r>
        <w:t xml:space="preserve"> são tratados à parte, no seu próprio documento/conta de gastos — não devem "ajustar" o plano.</w:t>
      </w:r>
    </w:p>
    <w:p>
      <w:pPr>
        <w:pStyle w:val="ListNumber"/>
      </w:pPr>
      <w:r>
        <w:t xml:space="preserve">Se houver alteração real das condições (taxa, prazo, capital), o caminho é </w:t>
      </w:r>
      <w:r>
        <w:rPr>
          <w:b/>
        </w:rPr>
        <w:t>revisão do plano</w:t>
      </w:r>
      <w:r>
        <w:t xml:space="preserve"> do empréstimo, não a correção manual dos lançamentos.</w:t>
      </w:r>
    </w:p>
    <w:p>
      <w:r>
        <w:rPr>
          <w:b/>
          <w:color w:val="44546A"/>
          <w:sz w:val="25"/>
        </w:rPr>
        <w:t>PONTO POR VALIDAR (a validar em ambiente antes de fechar)</w:t>
      </w:r>
    </w:p>
    <w:p>
      <w:pPr>
        <w:pStyle w:val="ListBullet"/>
      </w:pPr>
      <w:r>
        <w:t>Se os documentos do banco (juros/comissões) estão hoje a ser registados como faturas de compra em paralelo aos lançamentos do empréstimo — se sim, há duplicação a corrigir.</w:t>
      </w:r>
    </w:p>
    <w:p>
      <w:pPr>
        <w:pStyle w:val="ListBullet"/>
      </w:pPr>
      <w:r>
        <w:t>Se as comissões e encargos foram incluídos no plano do empréstimo ou ficam fora.</w:t>
      </w:r>
    </w:p>
    <w:p>
      <w:pPr>
        <w:pStyle w:val="ListBullet"/>
      </w:pPr>
      <w:r>
        <w:t>Comportamento concreto da reconciliação bancária contra o lançamento gerado, no ambiente da HMD, com o caso BCP.</w:t>
      </w:r>
    </w:p>
    <w:p>
      <w:r>
        <w:rPr>
          <w:b/>
          <w:color w:val="44546A"/>
          <w:sz w:val="25"/>
        </w:rPr>
        <w:t>Verificação/demonstração (a fazer no ambiente da HMD)</w:t>
      </w:r>
    </w:p>
    <w:p>
      <w:r>
        <w:rPr>
          <w:rFonts w:ascii="Consolas" w:hAnsi="Consolas"/>
          <w:color w:val="B5360A"/>
          <w:sz w:val="19"/>
        </w:rPr>
        <w:t>Contabilidade &gt; Empréstimos</w:t>
      </w:r>
      <w:r>
        <w:t xml:space="preserve"> → abrir o contrato BCP → ver o plano e os lançamentos gerados → abrir um lançamento e mostrar a ligação ao empréstimo → mostrar a reconciliação da linha de extrato do dia 5 contra esse lançamento.</w:t>
      </w:r>
    </w:p>
    <w:p>
      <w:r>
        <w:rPr>
          <w:b/>
          <w:color w:val="44546A"/>
          <w:sz w:val="25"/>
        </w:rPr>
        <w:t>Opções pela ordem obrigatória</w:t>
      </w:r>
    </w:p>
    <w:p>
      <w:pPr>
        <w:pStyle w:val="ListNumber"/>
      </w:pPr>
      <w:r>
        <w:rPr>
          <w:b/>
        </w:rPr>
        <w:t>Standard já instalado</w:t>
      </w:r>
      <w:r>
        <w:t xml:space="preserve"> (</w:t>
      </w:r>
      <w:r>
        <w:rPr>
          <w:rFonts w:ascii="Consolas" w:hAnsi="Consolas"/>
          <w:color w:val="B5360A"/>
          <w:sz w:val="19"/>
        </w:rPr>
        <w:t>account_loans</w:t>
      </w:r>
      <w:r>
        <w:t xml:space="preserve"> + reconciliação bancária) — resolve o registo e a ligação ao banco, mediante </w:t>
      </w:r>
      <w:r>
        <w:rPr>
          <w:b/>
        </w:rPr>
        <w:t>adaptação do processo atual</w:t>
      </w:r>
      <w:r>
        <w:t xml:space="preserve"> da HMD.</w:t>
      </w:r>
    </w:p>
    <w:p>
      <w:pPr>
        <w:pStyle w:val="ListNumber"/>
      </w:pPr>
      <w:r>
        <w:t>Módulo standard adicional — não necessário.</w:t>
      </w:r>
    </w:p>
    <w:p>
      <w:pPr>
        <w:pStyle w:val="ListNumber"/>
      </w:pPr>
      <w:r>
        <w:t>Studio — não necessário.</w:t>
      </w:r>
    </w:p>
    <w:p>
      <w:pPr>
        <w:pStyle w:val="ListNumber"/>
      </w:pPr>
      <w:r>
        <w:t>Custom — apenas se exigirem ajuste automático do plano a partir do documento do banco. Não recomendado: mexe em fluxo contabilístico core, com risco em upgrade e sem ganho real face à reconciliação standard.</w:t>
      </w:r>
    </w:p>
    <w:p>
      <w:r>
        <w:rPr>
          <w:b/>
          <w:color w:val="44546A"/>
          <w:sz w:val="25"/>
        </w:rPr>
        <w:t>Recomendação: Configuracao standard — cobertura PARCIAL COM ADAPTACAO DE PROCESSO</w:t>
      </w:r>
    </w:p>
    <w:p>
      <w:r>
        <w:rPr>
          <w:b/>
        </w:rPr>
        <w:t>Implicações:</w:t>
      </w:r>
      <w:r>
        <w:t xml:space="preserve"> a HMD altera o hábito de lançar o documento do banco como origem do custo financeiro; ganha o plano do empréstimo como fonte única, com fecho automático do contrato. Como ainda não está validado no ambiente, </w:t>
      </w:r>
      <w:r>
        <w:rPr>
          <w:b/>
        </w:rPr>
        <w:t>apresentar na reunião como caminho recomendado a demonstrar</w:t>
      </w:r>
      <w:r>
        <w:t>, agendando uma sessão curta de validação com o caso BCP — não como ponto fechado.</w:t>
      </w:r>
    </w:p>
    <w:p/>
    <w:p>
      <w:r>
        <w:rPr>
          <w:b/>
          <w:color w:val="2F5496"/>
          <w:sz w:val="30"/>
        </w:rPr>
        <w:t>Resumo para a reunião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Questão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Classificação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 que dizer hoje</w:t>
            </w:r>
          </w:p>
        </w:tc>
      </w:tr>
      <w:tr>
        <w:tc>
          <w:tcPr>
            <w:tcW w:type="dxa" w:w="2160"/>
          </w:tcPr>
          <w:p>
            <w:r/>
            <w:r>
              <w:t>B1 — Acesso B2B / visitantes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Configuracao standard</w:t>
            </w:r>
          </w:p>
        </w:tc>
        <w:tc>
          <w:tcPr>
            <w:tcW w:type="dxa" w:w="2160"/>
          </w:tcPr>
          <w:p>
            <w:r/>
            <w: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Verificado:</w:t>
            </w:r>
            <w:r>
              <w:t xml:space="preserve"> o registo está aberto a qualquer visitante (</w:t>
            </w:r>
            <w:r>
              <w:rPr>
                <w:rFonts w:ascii="Consolas" w:hAnsi="Consolas"/>
                <w:color w:val="B5360A"/>
                <w:sz w:val="19"/>
              </w:rPr>
              <w:t>b2c</w:t>
            </w:r>
            <w:r>
              <w:t>); passar a "Apenas por convite" resolve, com a consequência de as contas passarem a ser criadas por convite</w:t>
            </w:r>
          </w:p>
        </w:tc>
      </w:tr>
      <w:tr>
        <w:tc>
          <w:tcPr>
            <w:tcW w:type="dxa" w:w="2160"/>
          </w:tcPr>
          <w:p>
            <w:r/>
            <w:r>
              <w:t>B2.1 — "Todos os produtos"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Configuracao standard</w:t>
            </w:r>
          </w:p>
        </w:tc>
        <w:tc>
          <w:tcPr>
            <w:tcW w:type="dxa" w:w="2160"/>
          </w:tcPr>
          <w:p>
            <w:r/>
            <w:r>
              <w:t>PARCIAL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Verificado:</w:t>
            </w:r>
            <w:r>
              <w:t xml:space="preserve"> não é um menu (não existe no site HMD) — é a 1.ª linha da barra de categorias da loja; pedir para apontar no ecrã e escolher entre desligar a barra ou personalizar</w:t>
            </w:r>
          </w:p>
        </w:tc>
      </w:tr>
      <w:tr>
        <w:tc>
          <w:tcPr>
            <w:tcW w:type="dxa" w:w="2160"/>
          </w:tcPr>
          <w:p>
            <w:r/>
            <w:r>
              <w:t>B2.2 — Opções vs. alternativos no carrinho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Configuracao standard</w:t>
            </w:r>
          </w:p>
        </w:tc>
        <w:tc>
          <w:tcPr>
            <w:tcW w:type="dxa" w:w="2160"/>
          </w:tcPr>
          <w:p>
            <w:r/>
            <w:r>
              <w:t>PARCIAL COM ADAPTACAO DE PROCESSO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Verificado:</w:t>
            </w:r>
            <w:r>
              <w:t xml:space="preserve"> 205 artigos com alternativos vs. 80 com opcionais; explicar a distinção e não prometer prazo antes de dimensionar</w:t>
            </w:r>
          </w:p>
        </w:tc>
      </w:tr>
      <w:tr>
        <w:tc>
          <w:tcPr>
            <w:tcW w:type="dxa" w:w="2160"/>
          </w:tcPr>
          <w:p>
            <w:r/>
            <w:r>
              <w:t>B2.3 — Bloco não editável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Configuracao standard</w:t>
            </w:r>
          </w:p>
        </w:tc>
        <w:tc>
          <w:tcPr>
            <w:tcW w:type="dxa" w:w="2160"/>
          </w:tcPr>
          <w:p>
            <w:r/>
            <w:r>
              <w:t>TOTAL</w:t>
            </w:r>
          </w:p>
        </w:tc>
        <w:tc>
          <w:tcPr>
            <w:tcW w:type="dxa" w:w="2160"/>
          </w:tcPr>
          <w:p>
            <w:r/>
            <w:r>
              <w:t>Comportamento intencional do Odoo, não é limitação nossa</w:t>
            </w:r>
          </w:p>
        </w:tc>
      </w:tr>
      <w:tr>
        <w:tc>
          <w:tcPr>
            <w:tcW w:type="dxa" w:w="2160"/>
          </w:tcPr>
          <w:p>
            <w:r/>
            <w:r>
              <w:t>B2.3 — Erro do bloco 3D</w:t>
            </w:r>
          </w:p>
        </w:tc>
        <w:tc>
          <w:tcPr>
            <w:tcW w:type="dxa" w:w="2160"/>
          </w:tcPr>
          <w:p>
            <w:r/>
            <w:r>
              <w:t>Correção nossa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Assumimos como defeito; pedir artigo/URL</w:t>
            </w:r>
          </w:p>
        </w:tc>
      </w:tr>
      <w:tr>
        <w:tc>
          <w:tcPr>
            <w:tcW w:type="dxa" w:w="2160"/>
          </w:tcPr>
          <w:p>
            <w:r/>
            <w:r>
              <w:t>B3 — Tutoriais</w:t>
            </w:r>
          </w:p>
        </w:tc>
        <w:tc>
          <w:tcPr>
            <w:tcW w:type="dxa" w:w="2160"/>
          </w:tcPr>
          <w:p>
            <w:r/>
            <w:r>
              <w:t>Serviço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Não afirmar que foi tudo enviado; reenviar conjunto com índice</w:t>
            </w:r>
          </w:p>
        </w:tc>
      </w:tr>
      <w:tr>
        <w:tc>
          <w:tcPr>
            <w:tcW w:type="dxa" w:w="2160"/>
          </w:tcPr>
          <w:p>
            <w:r/>
            <w:r>
              <w:t>B4 — Empréstimo ↔ banco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5360A"/>
                <w:sz w:val="19"/>
              </w:rPr>
              <w:t>Configuracao standard</w:t>
            </w:r>
          </w:p>
        </w:tc>
        <w:tc>
          <w:tcPr>
            <w:tcW w:type="dxa" w:w="2160"/>
          </w:tcPr>
          <w:p>
            <w:r/>
            <w:r>
              <w:t>PARCIAL COM ADAPTACAO DE PROCESSO</w:t>
            </w:r>
          </w:p>
        </w:tc>
        <w:tc>
          <w:tcPr>
            <w:tcW w:type="dxa" w:w="2160"/>
          </w:tcPr>
          <w:p>
            <w:r/>
            <w:r>
              <w:t>Caminho recomendado, a demonstrar com o caso BCP</w:t>
            </w:r>
          </w:p>
        </w:tc>
      </w:tr>
    </w:tbl>
    <w:p/>
    <w:p>
      <w:r>
        <w:rPr>
          <w:b/>
          <w:color w:val="2F5496"/>
          <w:sz w:val="30"/>
        </w:rPr>
        <w:t>Regras de conduta na reunião</w:t>
      </w:r>
    </w:p>
    <w:p>
      <w:pPr>
        <w:pStyle w:val="ListBullet"/>
      </w:pPr>
      <w:r>
        <w:rPr>
          <w:b/>
        </w:rPr>
        <w:t>Não prometer</w:t>
      </w:r>
      <w:r>
        <w:t xml:space="preserve"> o que depende de verificação: B1, B2.2 e B4 fecham-se com ecrã aberto, não por afirmação.</w:t>
      </w:r>
    </w:p>
    <w:p>
      <w:pPr>
        <w:pStyle w:val="ListBullet"/>
      </w:pPr>
      <w:r>
        <w:rPr>
          <w:b/>
        </w:rPr>
        <w:t>Não abordar</w:t>
      </w:r>
      <w:r>
        <w:t xml:space="preserve"> o modelo de acompanhamento continuado nem valores; se a Nina o levantar, remeter para depois do fecho do âmbito protocolado (ver nota interna do mesmo dia).</w:t>
      </w:r>
    </w:p>
    <w:p>
      <w:pPr>
        <w:pStyle w:val="ListBullet"/>
      </w:pPr>
      <w:r>
        <w:rPr>
          <w:b/>
        </w:rPr>
        <w:t>Não expor</w:t>
      </w:r>
      <w:r>
        <w:t xml:space="preserve"> qualquer número de horas.</w:t>
      </w:r>
    </w:p>
    <w:p>
      <w:pPr>
        <w:pStyle w:val="ListBullet"/>
      </w:pPr>
      <w:r>
        <w:t xml:space="preserve">Separar sempre, em voz alta, </w:t>
      </w:r>
      <w:r>
        <w:rPr>
          <w:b/>
        </w:rPr>
        <w:t>standard / configuração / defeito nosso / âmbito adicional</w:t>
      </w:r>
      <w:r>
        <w:t xml:space="preserve"> — é isso que evita que tudo caia no mesmo saco.</w:t>
      </w:r>
    </w:p>
    <w:p>
      <w:r>
        <w:rPr>
          <w:b/>
          <w:color w:val="2F5496"/>
          <w:sz w:val="30"/>
        </w:rPr>
        <w:t>Referências consultadas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.pg/projects/odoo-hmd/project/odoo_env.json</w:t>
      </w:r>
      <w:r>
        <w:t xml:space="preserve"> (Odoo 18.0 Enterprise on-premise, 487 módulos instalados)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.pg/projects/odoo-hmd/chatter/chatter.json</w:t>
      </w:r>
      <w:r>
        <w:t xml:space="preserve"> (email da HMD de 23/07/2026)</w:t>
      </w:r>
    </w:p>
    <w:p>
      <w:pPr>
        <w:pStyle w:val="ListBullet"/>
      </w:pPr>
      <w:r>
        <w:rPr>
          <w:b/>
        </w:rPr>
        <w:t>Odoo de produção da HMD</w:t>
      </w:r>
      <w:r>
        <w:t xml:space="preserve"> (</w:t>
      </w:r>
      <w:r>
        <w:rPr>
          <w:rFonts w:ascii="Consolas" w:hAnsi="Consolas"/>
          <w:color w:val="B5360A"/>
          <w:sz w:val="19"/>
        </w:rPr>
        <w:t>https://intranet.hmdfurniture.com/</w:t>
      </w:r>
      <w:r>
        <w:t xml:space="preserve">, BD </w:t>
      </w:r>
      <w:r>
        <w:rPr>
          <w:rFonts w:ascii="Consolas" w:hAnsi="Consolas"/>
          <w:color w:val="B5360A"/>
          <w:sz w:val="19"/>
        </w:rPr>
        <w:t>HMD</w:t>
      </w:r>
      <w:r>
        <w:t xml:space="preserve">), canal de cliente </w:t>
      </w:r>
      <w:r>
        <w:rPr>
          <w:rFonts w:ascii="Consolas" w:hAnsi="Consolas"/>
          <w:color w:val="B5360A"/>
          <w:sz w:val="19"/>
        </w:rPr>
        <w:t>production</w:t>
      </w:r>
      <w:r>
        <w:t xml:space="preserve">, </w:t>
      </w:r>
      <w:r>
        <w:rPr>
          <w:rFonts w:ascii="Consolas" w:hAnsi="Consolas"/>
          <w:color w:val="B5360A"/>
          <w:sz w:val="19"/>
        </w:rPr>
        <w:t>read_mode=api</w:t>
      </w:r>
      <w:r>
        <w:t xml:space="preserve">, 27/07/2026 09h40: </w:t>
      </w:r>
      <w:r>
        <w:rPr>
          <w:rFonts w:ascii="Consolas" w:hAnsi="Consolas"/>
          <w:color w:val="B5360A"/>
          <w:sz w:val="19"/>
        </w:rPr>
        <w:t>ir.config_parameter</w:t>
      </w:r>
      <w:r>
        <w:t xml:space="preserve"> (</w:t>
      </w:r>
      <w:r>
        <w:rPr>
          <w:rFonts w:ascii="Consolas" w:hAnsi="Consolas"/>
          <w:color w:val="B5360A"/>
          <w:sz w:val="19"/>
        </w:rPr>
        <w:t>auth_signup.invitation_scope</w:t>
      </w:r>
      <w:r>
        <w:t xml:space="preserve">, </w:t>
      </w:r>
      <w:r>
        <w:rPr>
          <w:rFonts w:ascii="Consolas" w:hAnsi="Consolas"/>
          <w:color w:val="B5360A"/>
          <w:sz w:val="19"/>
        </w:rPr>
        <w:t>auth_signup.reset_password</w:t>
      </w:r>
      <w:r>
        <w:t xml:space="preserve">), </w:t>
      </w:r>
      <w:r>
        <w:rPr>
          <w:rFonts w:ascii="Consolas" w:hAnsi="Consolas"/>
          <w:color w:val="B5360A"/>
          <w:sz w:val="19"/>
        </w:rPr>
        <w:t>website.menu</w:t>
      </w:r>
      <w:r>
        <w:t xml:space="preserve"> (menus dos 2 websites), </w:t>
      </w:r>
      <w:r>
        <w:rPr>
          <w:rFonts w:ascii="Consolas" w:hAnsi="Consolas"/>
          <w:color w:val="B5360A"/>
          <w:sz w:val="19"/>
        </w:rPr>
        <w:t>product.template</w:t>
      </w:r>
      <w:r>
        <w:t xml:space="preserve"> (contagens de alternativos, opcionais e publicados). Sem acesso a </w:t>
      </w:r>
      <w:r>
        <w:rPr>
          <w:rFonts w:ascii="Consolas" w:hAnsi="Consolas"/>
          <w:color w:val="B5360A"/>
          <w:sz w:val="19"/>
        </w:rPr>
        <w:t>website.website</w:t>
      </w:r>
      <w:r>
        <w:t xml:space="preserve"> (ACL do utilizador de API).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vendor/odoo_src/community/addons/website_sale/views/templates.xml</w:t>
      </w:r>
      <w:r>
        <w:t xml:space="preserve"> (template </w:t>
      </w:r>
      <w:r>
        <w:rPr>
          <w:rFonts w:ascii="Consolas" w:hAnsi="Consolas"/>
          <w:color w:val="B5360A"/>
          <w:sz w:val="19"/>
        </w:rPr>
        <w:t>alternative_products</w:t>
      </w:r>
      <w:r>
        <w:t>)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vendor/odoo_src/community/addons/website_sale/controllers/main.py</w:t>
      </w:r>
      <w:r>
        <w:t xml:space="preserve">, </w:t>
      </w:r>
      <w:r>
        <w:rPr>
          <w:rFonts w:ascii="Consolas" w:hAnsi="Consolas"/>
          <w:color w:val="B5360A"/>
          <w:sz w:val="19"/>
        </w:rPr>
        <w:t>.../controllers/product_configurator.py</w:t>
      </w:r>
      <w:r>
        <w:t xml:space="preserve"> (produtos opcionais / configurador)</w:t>
      </w:r>
    </w:p>
    <w:p>
      <w:pPr>
        <w:pStyle w:val="ListBullet"/>
      </w:pPr>
      <w:r>
        <w:rPr>
          <w:rFonts w:ascii="Consolas" w:hAnsi="Consolas"/>
          <w:color w:val="B5360A"/>
          <w:sz w:val="19"/>
        </w:rPr>
        <w:t>vendor/odoo_src/enterprise/account_loans/models/account_move.py</w:t>
      </w:r>
      <w:r>
        <w:t xml:space="preserve">, </w:t>
      </w:r>
      <w:r>
        <w:rPr>
          <w:rFonts w:ascii="Consolas" w:hAnsi="Consolas"/>
          <w:color w:val="B5360A"/>
          <w:sz w:val="19"/>
        </w:rPr>
        <w:t>.../models/account_loan_line.py</w:t>
      </w:r>
    </w:p>
    <w:p>
      <w:pPr>
        <w:pStyle w:val="ListBullet"/>
      </w:pPr>
      <w:r>
        <w:t>Documentação oficial Odoo 18.0: https://www.odoo.com/documentation/18.0/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