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Aptos" w:hAnsi="Aptos"/>
          <w:b w:val="0"/>
          <w:i w:val="0"/>
          <w:color w:val="009FE3"/>
          <w:sz w:val="48"/>
        </w:rPr>
        <w:t>DEWA: puxador que segue para o subcontratado</w:t>
      </w:r>
    </w:p>
    <w:p/>
    <w:p/>
    <w:p/>
    <w:p/>
    <w:p/>
    <w:p/>
    <w:p/>
    <w:p/>
    <w:p/>
    <w:p/>
    <w:p/>
    <w:p/>
    <w:p>
      <w:r>
        <w:rPr>
          <w:rFonts w:ascii="Aptos" w:hAnsi="Aptos"/>
          <w:b w:val="0"/>
          <w:i w:val="0"/>
          <w:color w:val="1F2937"/>
          <w:sz w:val="18"/>
        </w:rPr>
        <w:t>Preparado por Parâmetro Global</w:t>
      </w:r>
    </w:p>
    <w:p>
      <w:pPr>
        <w:pBdr>
          <w:bottom w:val="single" w:sz="24" w:space="1" w:color="111E2D"/>
        </w:pBdr>
      </w:pPr>
    </w:p>
    <w:p>
      <w:pPr>
        <w:sectPr>
          <w:pgSz w:w="12240" w:h="15840"/>
          <w:pgMar w:top="907" w:right="1134" w:bottom="850" w:left="1134" w:header="454" w:footer="397" w:gutter="0"/>
          <w:cols w:space="720"/>
          <w:docGrid w:linePitch="360"/>
        </w:sectPr>
      </w:pP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Tarefa:</w:t>
      </w:r>
      <w:r>
        <w:rPr>
          <w:rFonts w:ascii="Aptos" w:hAnsi="Aptos"/>
          <w:b w:val="0"/>
          <w:i w:val="0"/>
          <w:color w:val="1F2937"/>
          <w:sz w:val="21"/>
        </w:rPr>
        <w:t xml:space="preserve"> #7782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Para:</w:t>
      </w:r>
      <w:r>
        <w:rPr>
          <w:rFonts w:ascii="Aptos" w:hAnsi="Aptos"/>
          <w:b w:val="0"/>
          <w:i w:val="0"/>
          <w:color w:val="1F2937"/>
          <w:sz w:val="21"/>
        </w:rPr>
        <w:t xml:space="preserve"> reunião geral de 15/10/2026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Data:</w:t>
      </w:r>
      <w:r>
        <w:rPr>
          <w:rFonts w:ascii="Aptos" w:hAnsi="Aptos"/>
          <w:b w:val="0"/>
          <w:i w:val="0"/>
          <w:color w:val="1F2937"/>
          <w:sz w:val="21"/>
        </w:rPr>
        <w:t xml:space="preserve"> 09/10/2026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Versão:</w:t>
      </w:r>
      <w:r>
        <w:rPr>
          <w:rFonts w:ascii="Aptos" w:hAnsi="Aptos"/>
          <w:b w:val="0"/>
          <w:i w:val="0"/>
          <w:color w:val="1F2937"/>
          <w:sz w:val="21"/>
        </w:rPr>
        <w:t xml:space="preserve"> 1.0 (nota de apoio)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Base:</w:t>
      </w:r>
      <w:r>
        <w:rPr>
          <w:rFonts w:ascii="Aptos" w:hAnsi="Aptos"/>
          <w:b w:val="0"/>
          <w:i w:val="0"/>
          <w:color w:val="1F2937"/>
          <w:sz w:val="21"/>
        </w:rPr>
        <w:t xml:space="preserve"> ensaios na base de teste da HMD (HMD_TESTE) e leitura da produção, a 09/10/2026. Nada foi alterado em produção.</w:t>
      </w:r>
    </w:p>
    <w:p>
      <w:r>
        <w:rPr>
          <w:rFonts w:ascii="Aptos" w:hAnsi="Aptos"/>
          <w:b/>
          <w:i w:val="0"/>
          <w:color w:val="111E2D"/>
          <w:sz w:val="36"/>
        </w:rPr>
        <w:t>1. Em duas linhas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 xml:space="preserve">O DEWA com puxador para o subcontratado </w:t>
      </w:r>
      <w:r>
        <w:rPr>
          <w:rFonts w:ascii="Aptos" w:hAnsi="Aptos"/>
          <w:b/>
          <w:i w:val="0"/>
          <w:color w:val="1F2937"/>
          <w:sz w:val="21"/>
        </w:rPr>
        <w:t>faz-se com configuração standard</w:t>
      </w:r>
      <w:r>
        <w:rPr>
          <w:rFonts w:ascii="Aptos" w:hAnsi="Aptos"/>
          <w:b w:val="0"/>
          <w:i w:val="0"/>
          <w:color w:val="1F2937"/>
          <w:sz w:val="21"/>
        </w:rPr>
        <w:t xml:space="preserve">, sem desenvolvimento. O que o impedia não era a lista de materiais: era uma configuração de </w:t>
      </w:r>
      <w:r>
        <w:rPr>
          <w:rFonts w:ascii="Aptos" w:hAnsi="Aptos"/>
          <w:b/>
          <w:i w:val="0"/>
          <w:color w:val="1F2937"/>
          <w:sz w:val="21"/>
        </w:rPr>
        <w:t>11 fornecedores subcontratados</w:t>
      </w:r>
      <w:r>
        <w:rPr>
          <w:rFonts w:ascii="Aptos" w:hAnsi="Aptos"/>
          <w:b w:val="0"/>
          <w:i w:val="0"/>
          <w:color w:val="1F2937"/>
          <w:sz w:val="21"/>
        </w:rPr>
        <w:t xml:space="preserve"> (entre eles o Julião e o José Américo), que faz com que o Odoo nunca crie a ordem de subcontratação para eles.</w:t>
      </w:r>
    </w:p>
    <w:p>
      <w:r>
        <w:rPr>
          <w:rFonts w:ascii="Aptos" w:hAnsi="Aptos"/>
          <w:b/>
          <w:i w:val="0"/>
          <w:color w:val="111E2D"/>
          <w:sz w:val="36"/>
        </w:rPr>
        <w:t>2. O que a Nina pediu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Criar o DEWA: o artigo leva um puxador, e o puxador segue, junto com uma parte do artigo, para um fornecedor que a HMD subcontrata.</w:t>
      </w:r>
    </w:p>
    <w:p>
      <w:r>
        <w:rPr>
          <w:rFonts w:ascii="Aptos" w:hAnsi="Aptos"/>
          <w:b/>
          <w:i w:val="0"/>
          <w:color w:val="111E2D"/>
          <w:sz w:val="36"/>
        </w:rPr>
        <w:t>3. Como o DEWA está hoje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O DEWA DESK e a DEWA CONSOLE são </w:t>
      </w:r>
      <w:r>
        <w:rPr>
          <w:rFonts w:ascii="Aptos" w:hAnsi="Aptos"/>
          <w:b/>
          <w:i w:val="0"/>
          <w:color w:val="1F2937"/>
          <w:sz w:val="21"/>
        </w:rPr>
        <w:t>kits</w:t>
      </w:r>
      <w:r>
        <w:rPr>
          <w:rFonts w:ascii="Aptos" w:hAnsi="Aptos"/>
          <w:b w:val="0"/>
          <w:i w:val="0"/>
          <w:color w:val="1F2937"/>
          <w:sz w:val="21"/>
        </w:rPr>
        <w:t>: juntam o corpo da peça (comprado ao Julião) e o puxador (comprado ao José Américo).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As listas de subcontratação do corpo só levam as caixas. O puxador nunca vai para o Julião pelo Odoo.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O puxador é escolhido na venda (atributo «Puxador», com 4 acabamentos).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 base de teste não é igual à produção para este artigo: lá o atributo do puxador é de outro tipo, e a Nina deixou lá listas experimentais que não podem funcionar. Por isso os ensaios foram feitos em artigos novos, com a estrutura da produção.</w:t>
      </w:r>
    </w:p>
    <w:p>
      <w:r>
        <w:rPr>
          <w:rFonts w:ascii="Aptos" w:hAnsi="Aptos"/>
          <w:b/>
          <w:i w:val="0"/>
          <w:color w:val="111E2D"/>
          <w:sz w:val="36"/>
        </w:rPr>
        <w:t>4. O que ensaiámos</w:t>
      </w:r>
    </w:p>
    <w:p>
      <w:pPr>
        <w:pBdr>
          <w:bottom w:val="single" w:sz="6" w:space="1" w:color="D5E2E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Ensaio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 que fizemos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Resultado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Desenho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Pôr a subcontratação no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artigo acabado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, com o puxador como componente que depende do acabamento escolhido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A ordem de subcontratação leva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só o puxador escolhido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e as caixas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Puxador por reposição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 puxador é comprado ao José Américo, entra no stock da HMD e a HMD envia-o ao Julião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Funciona: o Odoo cria o movimento «Reposição para subcontratação»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Puxador por envio direto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 José Américo entrega o puxador diretamente ao Julião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Funciona: a compra é de tipo «Dropship Subcontractor», com entrega ao Julião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Com a configuração atual dos fornecedores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Os mesmos ensaios, sem alterar nada nos fornecedores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Não nasce ordem de subcontratação</w:t>
            </w:r>
          </w:p>
        </w:tc>
      </w:tr>
    </w:tbl>
    <w:p/>
    <w:p>
      <w:r>
        <w:rPr>
          <w:rFonts w:ascii="Aptos" w:hAnsi="Aptos"/>
          <w:b/>
          <w:i w:val="0"/>
          <w:color w:val="111E2D"/>
          <w:sz w:val="36"/>
        </w:rPr>
        <w:t>5. O ponto central: a configuração dos fornecedores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Em 11 dos 15 fornecedores afetados, a </w:t>
      </w:r>
      <w:r>
        <w:rPr>
          <w:rFonts w:ascii="Aptos" w:hAnsi="Aptos"/>
          <w:b/>
          <w:i w:val="0"/>
          <w:color w:val="1F2937"/>
          <w:sz w:val="21"/>
        </w:rPr>
        <w:t>localização de fornecedor</w:t>
      </w:r>
      <w:r>
        <w:rPr>
          <w:rFonts w:ascii="Aptos" w:hAnsi="Aptos"/>
          <w:b w:val="0"/>
          <w:i w:val="0"/>
          <w:color w:val="1F2937"/>
          <w:sz w:val="21"/>
        </w:rPr>
        <w:t xml:space="preserve"> está em «Inter-warehouse transit» (trânsito) em vez de «Partners/Vendors». São eles: Julião Vasques Brandão, José Américo Babo Nogueira, PVM, Serafim Dias Carneiro, Tábula, White Stone, Relaxvanguard, Fábrica Móveis Fontes, Décimas d'Emoções, Seratu's e M.G. Fernandes.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O Odoo só cria a ordem de subcontratação quando o recibo vem de uma localização de fornecedor. Por isso, para estes fornecedores, nunca nasce.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Isto vem da </w:t>
      </w:r>
      <w:r>
        <w:rPr>
          <w:rFonts w:ascii="Aptos" w:hAnsi="Aptos"/>
          <w:b/>
          <w:i w:val="0"/>
          <w:color w:val="1F2937"/>
          <w:sz w:val="21"/>
        </w:rPr>
        <w:t>importação inicial de fornecedores</w:t>
      </w:r>
      <w:r>
        <w:rPr>
          <w:rFonts w:ascii="Aptos" w:hAnsi="Aptos"/>
          <w:b w:val="0"/>
          <w:i w:val="0"/>
          <w:color w:val="1F2937"/>
          <w:sz w:val="21"/>
        </w:rPr>
        <w:t xml:space="preserve"> (13/03/2025). Não foi nenhuma decisão recente.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As únicas ordens de subcontratação que existem hoje em produção vêm de Ilogue, Industof e Paluma, que têm a localização certa.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Quando pusemos o Julião e o José Américo em «Partners/Vendors», </w:t>
      </w:r>
      <w:r>
        <w:rPr>
          <w:rFonts w:ascii="Aptos" w:hAnsi="Aptos"/>
          <w:b/>
          <w:i w:val="0"/>
          <w:color w:val="1F2937"/>
          <w:sz w:val="21"/>
        </w:rPr>
        <w:t>na base de teste</w:t>
      </w:r>
      <w:r>
        <w:rPr>
          <w:rFonts w:ascii="Aptos" w:hAnsi="Aptos"/>
          <w:b w:val="0"/>
          <w:i w:val="0"/>
          <w:color w:val="1F2937"/>
          <w:sz w:val="21"/>
        </w:rPr>
        <w:t>, os ensaios funcionaram.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Consequência para a #7428:</w:t>
      </w:r>
      <w:r>
        <w:rPr>
          <w:rFonts w:ascii="Aptos" w:hAnsi="Aptos"/>
          <w:b w:val="0"/>
          <w:i w:val="0"/>
          <w:color w:val="1F2937"/>
          <w:sz w:val="21"/>
        </w:rPr>
        <w:t xml:space="preserve"> as rotas de reposição e de envio direto aplicadas a 08/10 só produzem efeito nos fornecedores com a localização certa. Os outros 11 não geram subcontratação.</w:t>
      </w:r>
    </w:p>
    <w:p>
      <w:r>
        <w:rPr>
          <w:rFonts w:ascii="Aptos" w:hAnsi="Aptos"/>
          <w:b/>
          <w:i w:val="0"/>
          <w:color w:val="111E2D"/>
          <w:sz w:val="36"/>
        </w:rPr>
        <w:t>6. O que a HMD precisa de saber antes de corrigirmos em produção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 xml:space="preserve">Numa amostra dos 25 recibos concluídos mais recentes de cada grupo, </w:t>
      </w:r>
      <w:r>
        <w:rPr>
          <w:rFonts w:ascii="Aptos" w:hAnsi="Aptos"/>
          <w:b/>
          <w:i w:val="0"/>
          <w:color w:val="1F2937"/>
          <w:sz w:val="21"/>
        </w:rPr>
        <w:t>nenhum dos recibos de fornecedores em trânsito tem valorização de stock</w:t>
      </w:r>
      <w:r>
        <w:rPr>
          <w:rFonts w:ascii="Aptos" w:hAnsi="Aptos"/>
          <w:b w:val="0"/>
          <w:i w:val="0"/>
          <w:color w:val="1F2937"/>
          <w:sz w:val="21"/>
        </w:rPr>
        <w:t>, enquanto nos restantes fornecedores têm todos. Ou seja, as compras aos subcontratados afetados podem não estar a contar na valorização do stock.</w:t>
      </w:r>
    </w:p>
    <w:p>
      <w:r>
        <w:rPr>
          <w:rFonts w:ascii="Aptos" w:hAnsi="Aptos"/>
          <w:b w:val="0"/>
          <w:i w:val="0"/>
          <w:color w:val="1F2937"/>
          <w:sz w:val="21"/>
        </w:rPr>
        <w:t>Corrigir a localização, portanto, tem efeitos para lá da subcontratação: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Passam a entrar na valorização de stock as compras futuras a esses fornecedores.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Os recibos que estão em aberto agora continuam com a localização antiga.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O histórico anterior não muda.</w:t>
      </w:r>
    </w:p>
    <w:p>
      <w:r>
        <w:rPr>
          <w:rFonts w:ascii="Aptos" w:hAnsi="Aptos"/>
          <w:b/>
          <w:i w:val="0"/>
          <w:color w:val="1F2937"/>
          <w:sz w:val="21"/>
        </w:rPr>
        <w:t>Não propomos corrigir em produção sem a HMD (quem acompanha a contabilidade e o stock) validar.</w:t>
      </w:r>
      <w:r>
        <w:rPr>
          <w:rFonts w:ascii="Aptos" w:hAnsi="Aptos"/>
          <w:b w:val="0"/>
          <w:i w:val="0"/>
          <w:color w:val="1F2937"/>
          <w:sz w:val="21"/>
        </w:rPr>
        <w:t xml:space="preserve"> Propomos mostrar o efeito na base de teste primeiro.</w:t>
      </w:r>
    </w:p>
    <w:p>
      <w:r>
        <w:rPr>
          <w:rFonts w:ascii="Aptos" w:hAnsi="Aptos"/>
          <w:b/>
          <w:i w:val="0"/>
          <w:color w:val="111E2D"/>
          <w:sz w:val="36"/>
        </w:rPr>
        <w:t>7. A solução para o DEWA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Corrigir a localização de fornecedor do Julião e do José Américo (e dos restantes subcontratados, depois de validado).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Passar a subcontratação para o </w:t>
      </w:r>
      <w:r>
        <w:rPr>
          <w:rFonts w:ascii="Aptos" w:hAnsi="Aptos"/>
          <w:b/>
          <w:i w:val="0"/>
          <w:color w:val="1F2937"/>
          <w:sz w:val="21"/>
        </w:rPr>
        <w:t>DEWA DESK e a DEWA CONSOLE</w:t>
      </w:r>
      <w:r>
        <w:rPr>
          <w:rFonts w:ascii="Aptos" w:hAnsi="Aptos"/>
          <w:b w:val="0"/>
          <w:i w:val="0"/>
          <w:color w:val="1F2937"/>
          <w:sz w:val="21"/>
        </w:rPr>
        <w:t xml:space="preserve"> (artigo acabado), com o Julião como subcontratado.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 lista de subcontratação leva as caixas e o puxador, e o puxador só entra quando é o escolhido na venda.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Escolher como o puxador chega ao Julião: reposição (passa pela HMD) ou envio direto (o José Américo entrega).</w:t>
      </w:r>
    </w:p>
    <w:p>
      <w:r>
        <w:rPr>
          <w:rFonts w:ascii="Aptos" w:hAnsi="Aptos"/>
          <w:b w:val="0"/>
          <w:i w:val="0"/>
          <w:color w:val="1F2937"/>
          <w:sz w:val="21"/>
        </w:rPr>
        <w:t xml:space="preserve">Classificação: </w:t>
      </w:r>
      <w:r>
        <w:rPr>
          <w:rFonts w:ascii="Consolas" w:hAnsi="Consolas"/>
          <w:b w:val="0"/>
          <w:i w:val="0"/>
          <w:color w:val="111E2D"/>
          <w:sz w:val="21"/>
        </w:rPr>
        <w:t>Configuracao standard</w:t>
      </w:r>
      <w:r>
        <w:rPr>
          <w:rFonts w:ascii="Aptos" w:hAnsi="Aptos"/>
          <w:b w:val="0"/>
          <w:i w:val="0"/>
          <w:color w:val="1F2937"/>
          <w:sz w:val="21"/>
        </w:rPr>
        <w:t xml:space="preserve">, cobertura </w:t>
      </w:r>
      <w:r>
        <w:rPr>
          <w:rFonts w:ascii="Consolas" w:hAnsi="Consolas"/>
          <w:b w:val="0"/>
          <w:i w:val="0"/>
          <w:color w:val="111E2D"/>
          <w:sz w:val="21"/>
        </w:rPr>
        <w:t>TOTAL</w:t>
      </w:r>
      <w:r>
        <w:rPr>
          <w:rFonts w:ascii="Aptos" w:hAnsi="Aptos"/>
          <w:b w:val="0"/>
          <w:i w:val="0"/>
          <w:color w:val="1F2937"/>
          <w:sz w:val="21"/>
        </w:rPr>
        <w:t>, sujeita ao que a Nina confirmar abaixo.</w:t>
      </w:r>
    </w:p>
    <w:p>
      <w:r>
        <w:rPr>
          <w:rFonts w:ascii="Aptos" w:hAnsi="Aptos"/>
          <w:b/>
          <w:i w:val="0"/>
          <w:color w:val="111E2D"/>
          <w:sz w:val="36"/>
        </w:rPr>
        <w:t>8. Perguntas para a Nina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Quem monta o puxador? É o Julião, ou a HMD?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O puxador deve ir para o Julião antes de a peça seguir para o cliente? Se sim, passa pela HMD ou vai direto do José Américo?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O Julião faz a peça completa sozinho, ou a peça segue para outro fornecedor? (Se segue, é o caso da cadeia de subcontratação da tarefa #7783.)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O corpo do DEWA tem preço de compra 0 num fornecedor e 110 noutro. Qual vale?</w:t>
      </w:r>
    </w:p>
    <w:p>
      <w:r>
        <w:rPr>
          <w:rFonts w:ascii="Aptos" w:hAnsi="Aptos"/>
          <w:b/>
          <w:i w:val="0"/>
          <w:color w:val="111E2D"/>
          <w:sz w:val="36"/>
        </w:rPr>
        <w:t>9. Decisões esperadas na reunião</w:t>
      </w:r>
    </w:p>
    <w:p>
      <w:pPr>
        <w:pBdr>
          <w:bottom w:val="single" w:sz="6" w:space="1" w:color="D5E2EE"/>
        </w:pBdr>
      </w:pP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A HMD concorda em corrigir a localização dos fornecedores, depois de ver o efeito na base de teste.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Quem, na HMD, valida o efeito na valorização de stock.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Reposição ou envio direto para o puxador.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Autorização para migrar o DEWA DESK e a CONSOLE de kit para subcontratação.</w:t>
      </w:r>
    </w:p>
    <w:p>
      <w:r>
        <w:rPr>
          <w:rFonts w:ascii="Aptos" w:hAnsi="Aptos"/>
          <w:b/>
          <w:i w:val="0"/>
          <w:color w:val="111E2D"/>
          <w:sz w:val="36"/>
        </w:rPr>
        <w:t>10. O que ainda não está ensaiado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 cadeia em que uma peça segue de um fornecedor para outro, com o transporte da HMD (tarefa #7783).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 migração do DESK e da CONSOLE de kit para subcontratação, e o efeito nas encomendas em curso.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 venda de uma variante sem puxador.</w:t>
      </w:r>
    </w:p>
    <w:p>
      <w:r>
        <w:rPr>
          <w:rFonts w:ascii="Aptos" w:hAnsi="Aptos"/>
          <w:b/>
          <w:i w:val="0"/>
          <w:color w:val="111E2D"/>
          <w:sz w:val="36"/>
        </w:rPr>
        <w:t>11. Para mostrar na reunião, se quiserem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Na base de teste ficaram os artigos «ZZ 7782 DEWA DESK» e componentes, as compras P00936 a P00939 e as ordens de subcontratação HMD/SBC1/00019 e HMD/SBC1/00020. Na base de teste, o Julião e o José Américo estão com a localização corrigida (o valor original era o trânsito), e vamos repô-los quando terminarmos.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Bdr>
        <w:top w:val="single" w:sz="4" w:space="1" w:color="D0E0EE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937"/>
      <w:gridCol w:w="170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5A697D"/>
              <w:sz w:val="16"/>
            </w:rPr>
            <w:t>[Documento] | [Ano]</w:t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b/>
              <w:color w:val="0098DF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</w:tcPr>
        <w:p>
          <w:r>
            <w:rPr>
              <w:rFonts w:ascii="Aptos" w:hAnsi="Aptos"/>
              <w:b w:val="0"/>
              <w:i w:val="0"/>
              <w:color w:val="64748B"/>
              <w:sz w:val="16"/>
            </w:rPr>
            <w:t>HMD · Tarefa 7782 · 09/10/2026</w:t>
          </w:r>
        </w:p>
      </w:tc>
      <w:tc>
        <w:tcPr>
          <w:tcW w:type="dxa" w:w="2835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4748B"/>
              <w:sz w:val="16"/>
            </w:rPr>
            <w:t xml:space="preserve">Página </w:t>
          </w:r>
          <w:r>
            <w:rPr>
              <w:color w:val="009FE3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87"/>
      <w:gridCol w:w="255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121A26"/>
              <w:sz w:val="16"/>
            </w:rPr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1891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to_for_wor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1891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bottom w:val="single" w:sz="4" w:space="1" w:color="D0E0EE"/>
      </w:pBd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152000" cy="23285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32851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21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