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i w:val="0"/>
          <w:color w:val="151D2B"/>
          <w:sz w:val="44"/>
        </w:rPr>
        <w:t>Nota Interna — Pontos por Validar | Projeto Odoo HMD</w:t>
      </w:r>
    </w:p>
    <w:p>
      <w:pPr>
        <w:pBdr>
          <w:bottom w:val="single" w:sz="18" w:space="1" w:color="151D2B"/>
        </w:pBdr>
      </w:pPr>
    </w:p>
    <w:p>
      <w:pPr>
        <w:jc w:val="both"/>
      </w:pPr>
      <w:r>
        <w:rPr>
          <w:rFonts w:ascii="Aptos" w:hAnsi="Aptos"/>
          <w:b/>
          <w:i w:val="0"/>
          <w:color w:val="1F2937"/>
          <w:sz w:val="21"/>
        </w:rPr>
        <w:t>Uso:</w:t>
      </w:r>
      <w:r>
        <w:rPr>
          <w:rFonts w:ascii="Aptos" w:hAnsi="Aptos"/>
          <w:b w:val="0"/>
          <w:i w:val="0"/>
          <w:color w:val="1F2937"/>
          <w:sz w:val="21"/>
        </w:rPr>
        <w:t xml:space="preserve"> interno Parâmetro Global (não enviar ao cliente)</w:t>
      </w:r>
    </w:p>
    <w:p>
      <w:pPr>
        <w:jc w:val="both"/>
      </w:pPr>
      <w:r>
        <w:rPr>
          <w:rFonts w:ascii="Aptos" w:hAnsi="Aptos"/>
          <w:b/>
          <w:i w:val="0"/>
          <w:color w:val="1F2937"/>
          <w:sz w:val="21"/>
        </w:rPr>
        <w:t>Data:</w:t>
      </w:r>
      <w:r>
        <w:rPr>
          <w:rFonts w:ascii="Aptos" w:hAnsi="Aptos"/>
          <w:b w:val="0"/>
          <w:i w:val="0"/>
          <w:color w:val="1F2937"/>
          <w:sz w:val="21"/>
        </w:rPr>
        <w:t xml:space="preserve"> 22 de junho de 2026</w:t>
      </w:r>
    </w:p>
    <w:p>
      <w:pPr>
        <w:jc w:val="both"/>
      </w:pPr>
      <w:r>
        <w:rPr>
          <w:rFonts w:ascii="Aptos" w:hAnsi="Aptos"/>
          <w:b/>
          <w:i w:val="0"/>
          <w:color w:val="1F2937"/>
          <w:sz w:val="21"/>
        </w:rPr>
        <w:t>Autor:</w:t>
      </w:r>
      <w:r>
        <w:rPr>
          <w:rFonts w:ascii="Aptos" w:hAnsi="Aptos"/>
          <w:b w:val="0"/>
          <w:i w:val="0"/>
          <w:color w:val="1F2937"/>
          <w:sz w:val="21"/>
        </w:rPr>
        <w:t xml:space="preserve"> Bruno Pinheiro</w:t>
      </w:r>
    </w:p>
    <w:p>
      <w:pPr>
        <w:jc w:val="both"/>
      </w:pPr>
      <w:r>
        <w:rPr>
          <w:rFonts w:ascii="Aptos" w:hAnsi="Aptos"/>
          <w:b/>
          <w:i w:val="0"/>
          <w:color w:val="1F2937"/>
          <w:sz w:val="21"/>
        </w:rPr>
        <w:t>Contexto:</w:t>
      </w:r>
      <w:r>
        <w:rPr>
          <w:rFonts w:ascii="Aptos" w:hAnsi="Aptos"/>
          <w:b w:val="0"/>
          <w:i w:val="0"/>
          <w:color w:val="1F2937"/>
          <w:sz w:val="21"/>
        </w:rPr>
        <w:t xml:space="preserve"> preparação do ponto de situação a enviar à HMD e do enquadramento face ao âmbito protocolado (Ordem S00465, 16/12/2024).</w:t>
      </w:r>
    </w:p>
    <w:p/>
    <w:p>
      <w:r>
        <w:rPr>
          <w:rFonts w:ascii="Aptos" w:hAnsi="Aptos"/>
          <w:b/>
          <w:i w:val="0"/>
          <w:color w:val="151D2B"/>
          <w:sz w:val="30"/>
        </w:rPr>
        <w:t>1. Ponto por validar — interno</w:t>
      </w:r>
    </w:p>
    <w:p>
      <w:pPr>
        <w:pBdr>
          <w:bottom w:val="single" w:sz="6" w:space="1" w:color="D5E2EE"/>
        </w:pBdr>
      </w:pP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(Por validar) Balanço de horas de serviço</w:t>
      </w:r>
      <w:r>
        <w:rPr>
          <w:rFonts w:ascii="Aptos" w:hAnsi="Aptos"/>
          <w:b w:val="0"/>
          <w:i w:val="0"/>
          <w:color w:val="1F2937"/>
          <w:sz w:val="21"/>
        </w:rPr>
        <w:t xml:space="preserve"> — a Ordem S00465 protocola </w:t>
      </w:r>
      <w:r>
        <w:rPr>
          <w:rFonts w:ascii="Aptos" w:hAnsi="Aptos"/>
          <w:b/>
          <w:i w:val="0"/>
          <w:color w:val="1F2937"/>
          <w:sz w:val="21"/>
        </w:rPr>
        <w:t>400 horas</w:t>
      </w:r>
      <w:r>
        <w:rPr>
          <w:rFonts w:ascii="Aptos" w:hAnsi="Aptos"/>
          <w:b w:val="0"/>
          <w:i w:val="0"/>
          <w:color w:val="1F2937"/>
          <w:sz w:val="21"/>
        </w:rPr>
        <w:t xml:space="preserve"> de serviços de apoio (50 dias). O Odoo de gestão de projeto (`parametroglobal.odoo.com`, projeto id 93) regista `allocated_hours = 338`. Importa </w:t>
      </w:r>
      <w:r>
        <w:rPr>
          <w:rFonts w:ascii="Aptos" w:hAnsi="Aptos"/>
          <w:b/>
          <w:i w:val="0"/>
          <w:color w:val="1F2937"/>
          <w:sz w:val="21"/>
        </w:rPr>
        <w:t>reconciliar internamente</w:t>
      </w:r>
      <w:r>
        <w:rPr>
          <w:rFonts w:ascii="Aptos" w:hAnsi="Aptos"/>
          <w:b w:val="0"/>
          <w:i w:val="0"/>
          <w:color w:val="1F2937"/>
          <w:sz w:val="21"/>
        </w:rPr>
        <w:t xml:space="preserve"> qual é a referência correta antes de formalizar o planeamento e antes de comunicar qualquer balanço de esforço ao cliente. Não foi exposto qualquer número de horas no documento do cliente.</w:t>
      </w:r>
    </w:p>
    <w:p/>
    <w:p>
      <w:r>
        <w:rPr>
          <w:rFonts w:ascii="Aptos" w:hAnsi="Aptos"/>
          <w:b/>
          <w:i w:val="0"/>
          <w:color w:val="151D2B"/>
          <w:sz w:val="30"/>
        </w:rPr>
        <w:t>2. Pontos por validar — enquadramento de âmbito (também no documento do cliente)</w:t>
      </w:r>
    </w:p>
    <w:p>
      <w:pPr>
        <w:pBdr>
          <w:bottom w:val="single" w:sz="6" w:space="1" w:color="D5E2EE"/>
        </w:pBdr>
      </w:pPr>
    </w:p>
    <w:p>
      <w:pPr>
        <w:jc w:val="both"/>
      </w:pPr>
      <w:r>
        <w:rPr>
          <w:rFonts w:ascii="Aptos" w:hAnsi="Aptos"/>
          <w:b w:val="0"/>
          <w:i w:val="0"/>
          <w:color w:val="1F2937"/>
          <w:sz w:val="21"/>
        </w:rPr>
        <w:t>Estes pontos estão assinalados como "por validar" no ponto de situação enviado ao cliente, para validação conjunta: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(Por validar) Acompanhamento semanal contínuo</w:t>
      </w:r>
      <w:r>
        <w:rPr>
          <w:rFonts w:ascii="Aptos" w:hAnsi="Aptos"/>
          <w:b w:val="0"/>
          <w:i w:val="0"/>
          <w:color w:val="1F2937"/>
          <w:sz w:val="21"/>
        </w:rPr>
        <w:t xml:space="preserve"> — o âmbito protocolado prevê apenas </w:t>
      </w:r>
      <w:r>
        <w:rPr>
          <w:rFonts w:ascii="Aptos" w:hAnsi="Aptos"/>
          <w:b/>
          <w:i w:val="0"/>
          <w:color w:val="1F2937"/>
          <w:sz w:val="21"/>
        </w:rPr>
        <w:t>6 dias de suporte após venda</w:t>
      </w:r>
      <w:r>
        <w:rPr>
          <w:rFonts w:ascii="Aptos" w:hAnsi="Aptos"/>
          <w:b w:val="0"/>
          <w:i w:val="0"/>
          <w:color w:val="1F2937"/>
          <w:sz w:val="21"/>
        </w:rPr>
        <w:t xml:space="preserve">. O acompanhamento semanal continuado excede esse suporte protocolado → forte candidato a </w:t>
      </w:r>
      <w:r>
        <w:rPr>
          <w:rFonts w:ascii="Aptos" w:hAnsi="Aptos"/>
          <w:b/>
          <w:i w:val="0"/>
          <w:color w:val="1F2937"/>
          <w:sz w:val="21"/>
        </w:rPr>
        <w:t>frente adicional / contrato de suporte recorrente</w:t>
      </w:r>
      <w:r>
        <w:rPr>
          <w:rFonts w:ascii="Aptos" w:hAnsi="Aptos"/>
          <w:b w:val="0"/>
          <w:i w:val="0"/>
          <w:color w:val="1F2937"/>
          <w:sz w:val="21"/>
        </w:rPr>
        <w:t>. É, comercialmente, o ponto mais relevante a fechar.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(Por validar) Empréstimos/leasings e cartão de crédito</w:t>
      </w:r>
      <w:r>
        <w:rPr>
          <w:rFonts w:ascii="Aptos" w:hAnsi="Aptos"/>
          <w:b w:val="0"/>
          <w:i w:val="0"/>
          <w:color w:val="1F2937"/>
          <w:sz w:val="21"/>
        </w:rPr>
        <w:t xml:space="preserve"> — enquadrados, por agora, na frente de gestão de tesouraria do âmbito protocolado. Classificação discutível; confirmar.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(Por validar) Automação de criação de projeto ao qualificar oportunidade (CRM)</w:t>
      </w:r>
      <w:r>
        <w:rPr>
          <w:rFonts w:ascii="Aptos" w:hAnsi="Aptos"/>
          <w:b w:val="0"/>
          <w:i w:val="0"/>
          <w:color w:val="1F2937"/>
          <w:sz w:val="21"/>
        </w:rPr>
        <w:t xml:space="preserve"> — enquadrada, por agora, na frente de CRM do âmbito protocolado. Automatismo custom específico; confirmar.</w:t>
      </w:r>
    </w:p>
    <w:p/>
    <w:p>
      <w:r>
        <w:rPr>
          <w:rFonts w:ascii="Aptos" w:hAnsi="Aptos"/>
          <w:b/>
          <w:i w:val="0"/>
          <w:color w:val="151D2B"/>
          <w:sz w:val="30"/>
        </w:rPr>
        <w:t>3. Frentes já classificadas como adicionais (no documento do cliente)</w:t>
      </w:r>
    </w:p>
    <w:p>
      <w:pPr>
        <w:pBdr>
          <w:bottom w:val="single" w:sz="6" w:space="1" w:color="D5E2EE"/>
        </w:pBdr>
      </w:pP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Comunicação por WhatsApp Business</w:t>
      </w:r>
      <w:r>
        <w:rPr>
          <w:rFonts w:ascii="Aptos" w:hAnsi="Aptos"/>
          <w:b w:val="0"/>
          <w:i w:val="0"/>
          <w:color w:val="1F2937"/>
          <w:sz w:val="21"/>
        </w:rPr>
        <w:t xml:space="preserve"> — fora do âmbito protocolado.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Upgrade para Odoo 19</w:t>
      </w:r>
      <w:r>
        <w:rPr>
          <w:rFonts w:ascii="Aptos" w:hAnsi="Aptos"/>
          <w:b w:val="0"/>
          <w:i w:val="0"/>
          <w:color w:val="1F2937"/>
          <w:sz w:val="21"/>
        </w:rPr>
        <w:t xml:space="preserve"> — fora do âmbito protocolado.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Nota: capacidades já entregues (</w:t>
      </w:r>
      <w:r>
        <w:rPr>
          <w:rFonts w:ascii="Aptos" w:hAnsi="Aptos"/>
          <w:b/>
          <w:i w:val="0"/>
          <w:color w:val="1F2937"/>
          <w:sz w:val="21"/>
        </w:rPr>
        <w:t>modelos 3D no website</w:t>
      </w:r>
      <w:r>
        <w:rPr>
          <w:rFonts w:ascii="Aptos" w:hAnsi="Aptos"/>
          <w:b w:val="0"/>
          <w:i w:val="0"/>
          <w:color w:val="1F2937"/>
          <w:sz w:val="21"/>
        </w:rPr>
        <w:t xml:space="preserve">, </w:t>
      </w:r>
      <w:r>
        <w:rPr>
          <w:rFonts w:ascii="Aptos" w:hAnsi="Aptos"/>
          <w:b/>
          <w:i w:val="0"/>
          <w:color w:val="1F2937"/>
          <w:sz w:val="21"/>
        </w:rPr>
        <w:t>Intrastat / código HS</w:t>
      </w:r>
      <w:r>
        <w:rPr>
          <w:rFonts w:ascii="Aptos" w:hAnsi="Aptos"/>
          <w:b w:val="0"/>
          <w:i w:val="0"/>
          <w:color w:val="1F2937"/>
          <w:sz w:val="21"/>
        </w:rPr>
        <w:t>) também extravasaram o âmbito protocolado.</w:t>
      </w:r>
    </w:p>
    <w:p/>
    <w:p>
      <w:r>
        <w:rPr>
          <w:rFonts w:ascii="Aptos" w:hAnsi="Aptos"/>
          <w:b/>
          <w:i w:val="0"/>
          <w:color w:val="151D2B"/>
          <w:sz w:val="30"/>
        </w:rPr>
        <w:t>4. Base factual</w:t>
      </w:r>
    </w:p>
    <w:p>
      <w:pPr>
        <w:pBdr>
          <w:bottom w:val="single" w:sz="6" w:space="1" w:color="D5E2EE"/>
        </w:pBdr>
      </w:pP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Âmbito protocolado: Ordem S00465 (16/12/2024) — bolsa de 400h de serviços + licenciamento, faturação certificada, alojamento e 6 dias de suporte após venda.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Estado verificado em produção (leitura, 22/06/2026): `intranet.hmdfurniture.com`, DB `HMD`, Odoo 18.0+e — WhatsApp instalado, diário de cartão de crédito criado, 1 empréstimo em `account.loan`, site com 292 produtos publicados.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247" w:bottom="850" w:left="124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7370"/>
        </w:tcPr>
        <w:p>
          <w:r>
            <w:rPr>
              <w:rFonts w:ascii="Aptos" w:hAnsi="Aptos"/>
              <w:b w:val="0"/>
              <w:i w:val="0"/>
              <w:color w:val="64748B"/>
              <w:sz w:val="16"/>
            </w:rPr>
            <w:t>Nota interna | Projeto Odoo HMD | 2026</w:t>
          </w:r>
        </w:p>
      </w:tc>
      <w:tc>
        <w:tcPr>
          <w:tcW w:type="dxa" w:w="2268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4748B"/>
              <w:sz w:val="16"/>
            </w:rPr>
            <w:t xml:space="preserve">Pagina </w:t>
          </w:r>
          <w:r>
            <w:rPr>
              <w:color w:val="0094E9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96000" cy="2619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g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261957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1D2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94E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51D2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