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5496"/>
          <w:sz w:val="44"/>
        </w:rPr>
        <w:t>Tutorial — Adiantamentos de cliente na encomenda (HMD)</w:t>
      </w:r>
    </w:p>
    <w:p>
      <w:pPr>
        <w:ind w:left="432"/>
      </w:pPr>
      <w:r>
        <w:rPr>
          <w:i/>
          <w:color w:val="44546A"/>
        </w:rPr>
        <w:t xml:space="preserve">Como registar um </w:t>
      </w:r>
      <w:r>
        <w:rPr>
          <w:b/>
          <w:i/>
          <w:color w:val="44546A"/>
        </w:rPr>
        <w:t>adiantamento</w:t>
      </w:r>
      <w:r>
        <w:rPr>
          <w:i/>
          <w:color w:val="44546A"/>
        </w:rPr>
        <w:t xml:space="preserve"> pago pelo cliente diretamente na encomenda de</w:t>
      </w:r>
    </w:p>
    <w:p>
      <w:pPr>
        <w:ind w:left="432"/>
      </w:pPr>
      <w:r>
        <w:rPr>
          <w:i/>
          <w:color w:val="44546A"/>
        </w:rPr>
        <w:t xml:space="preserve">venda e tê-lo </w:t>
      </w:r>
      <w:r>
        <w:rPr>
          <w:b/>
          <w:i/>
          <w:color w:val="44546A"/>
        </w:rPr>
        <w:t>automaticamente abatido na fatura</w:t>
      </w:r>
      <w:r>
        <w:rPr>
          <w:i/>
          <w:color w:val="44546A"/>
        </w:rPr>
        <w:t>. Usa o módulo de</w:t>
      </w:r>
    </w:p>
    <w:p>
      <w:pPr>
        <w:ind w:left="432"/>
      </w:pPr>
      <w:r>
        <w:rPr>
          <w:i/>
          <w:color w:val="44546A"/>
        </w:rPr>
        <w:t>adiantamentos já instalado (</w:t>
      </w:r>
      <w:r>
        <w:rPr>
          <w:rFonts w:ascii="Consolas" w:hAnsi="Consolas"/>
          <w:i/>
          <w:color w:val="44546A"/>
          <w:sz w:val="19"/>
        </w:rPr>
        <w:t>sale_advance_payment</w:t>
      </w:r>
      <w:r>
        <w:rPr>
          <w:i/>
          <w:color w:val="44546A"/>
        </w:rPr>
        <w:t>).</w:t>
      </w:r>
    </w:p>
    <w:p>
      <w:pPr>
        <w:ind w:left="432"/>
      </w:pPr>
      <w:r>
        <w:rPr>
          <w:i/>
          <w:color w:val="44546A"/>
        </w:rPr>
        <w:t>Serve também de guião para o vídeo curto HMD-specific.</w:t>
      </w:r>
    </w:p>
    <w:p>
      <w:r>
        <w:rPr>
          <w:b/>
          <w:color w:val="2F5496"/>
          <w:sz w:val="30"/>
        </w:rPr>
        <w:t>Quando usar</w:t>
      </w:r>
    </w:p>
    <w:p>
      <w:r>
        <w:t xml:space="preserve">Quando o cliente paga </w:t>
      </w:r>
      <w:r>
        <w:rPr>
          <w:b/>
        </w:rPr>
        <w:t>antes da faturação</w:t>
      </w:r>
      <w:r>
        <w:t xml:space="preserve"> (sinal / adiantamento, ex.: 40% na</w:t>
      </w:r>
    </w:p>
    <w:p>
      <w:r>
        <w:t>adjudicação). O adiantamento fica ligado à encomenda e, quando a fatura sair, é</w:t>
      </w:r>
    </w:p>
    <w:p>
      <w:r>
        <w:t>descontado sozinho — sem lançamentos manuais.</w:t>
      </w:r>
    </w:p>
    <w:p/>
    <w:p>
      <w:r>
        <w:rPr>
          <w:b/>
          <w:color w:val="2F5496"/>
          <w:sz w:val="30"/>
        </w:rPr>
        <w:t>Passo 1 — Registar o adiantamento na encomenda</w:t>
      </w:r>
    </w:p>
    <w:p>
      <w:pPr>
        <w:pStyle w:val="ListNumber"/>
      </w:pPr>
      <w:r>
        <w:t xml:space="preserve">Abre a </w:t>
      </w:r>
      <w:r>
        <w:rPr>
          <w:b/>
        </w:rPr>
        <w:t>encomenda de venda</w:t>
      </w:r>
      <w:r>
        <w:t xml:space="preserve"> (idealmente já confirmada).</w:t>
      </w:r>
    </w:p>
    <w:p>
      <w:pPr>
        <w:pStyle w:val="ListNumber"/>
      </w:pPr>
      <w:r>
        <w:t xml:space="preserve">Carrega no botão </w:t>
      </w:r>
      <w:r>
        <w:rPr>
          <w:b/>
        </w:rPr>
        <w:t>Pagar adiantamento</w:t>
      </w:r>
      <w:r>
        <w:t xml:space="preserve"> (</w:t>
      </w:r>
      <w:r>
        <w:rPr>
          <w:i/>
        </w:rPr>
        <w:t>Pay sale advanced</w:t>
      </w:r>
      <w:r>
        <w:t>).</w:t>
      </w:r>
    </w:p>
    <w:p>
      <w:pPr>
        <w:pStyle w:val="ListNumber"/>
      </w:pPr>
      <w:r>
        <w:t>No assistente, preenche:</w:t>
      </w:r>
    </w:p>
    <w:p>
      <w:pPr>
        <w:pStyle w:val="ListBullet"/>
      </w:pPr>
      <w:r>
        <w:rPr>
          <w:b/>
        </w:rPr>
        <w:t>Diário</w:t>
      </w:r>
      <w:r>
        <w:t xml:space="preserve"> — o banco/diário onde </w:t>
      </w:r>
      <w:r>
        <w:rPr>
          <w:b/>
        </w:rPr>
        <w:t>entra</w:t>
      </w:r>
      <w:r>
        <w:t xml:space="preserve"> o dinheiro;</w:t>
      </w:r>
    </w:p>
    <w:p>
      <w:pPr>
        <w:pStyle w:val="ListBullet"/>
      </w:pPr>
      <w:r>
        <w:rPr>
          <w:b/>
        </w:rPr>
        <w:t>Montante adiantado</w:t>
      </w:r>
      <w:r>
        <w:t xml:space="preserve"> — o valor recebido;</w:t>
      </w:r>
    </w:p>
    <w:p>
      <w:pPr>
        <w:pStyle w:val="ListBullet"/>
      </w:pPr>
      <w:r>
        <w:rPr>
          <w:b/>
        </w:rPr>
        <w:t>Data</w:t>
      </w:r>
      <w:r>
        <w:t xml:space="preserve"> — a data do recebimento;</w:t>
      </w:r>
    </w:p>
    <w:p>
      <w:pPr>
        <w:pStyle w:val="ListBullet"/>
      </w:pPr>
      <w:r>
        <w:rPr>
          <w:b/>
        </w:rPr>
        <w:t>Referência</w:t>
      </w:r>
      <w:r>
        <w:t xml:space="preserve"> — opcional (ex.: nº da transferência).</w:t>
      </w:r>
    </w:p>
    <w:p>
      <w:pPr>
        <w:pStyle w:val="ListNumber"/>
      </w:pPr>
      <w:r>
        <w:t>Confirma.</w:t>
      </w:r>
    </w:p>
    <w:p>
      <w:pPr>
        <w:ind w:left="432"/>
      </w:pPr>
      <w:r>
        <w:rPr>
          <w:i/>
          <w:color w:val="44546A"/>
        </w:rPr>
        <w:t xml:space="preserve">Fica criado um </w:t>
      </w:r>
      <w:r>
        <w:rPr>
          <w:b/>
          <w:i/>
          <w:color w:val="44546A"/>
        </w:rPr>
        <w:t>pagamento de adiantamento</w:t>
      </w:r>
      <w:r>
        <w:rPr>
          <w:i/>
          <w:color w:val="44546A"/>
        </w:rPr>
        <w:t xml:space="preserve"> associado a esta encomenda.</w:t>
      </w:r>
    </w:p>
    <w:p/>
    <w:p>
      <w:r>
        <w:rPr>
          <w:b/>
          <w:color w:val="2F5496"/>
          <w:sz w:val="30"/>
        </w:rPr>
        <w:t>Passo 2 — Ver o adiantamento na encomenda</w:t>
      </w:r>
    </w:p>
    <w:p>
      <w:r>
        <w:t>Na própria encomenda passas a ver:</w:t>
      </w:r>
    </w:p>
    <w:p>
      <w:pPr>
        <w:pStyle w:val="ListBullet"/>
      </w:pPr>
      <w:r>
        <w:t xml:space="preserve">a lista de </w:t>
      </w:r>
      <w:r>
        <w:rPr>
          <w:b/>
        </w:rPr>
        <w:t>adiantamentos</w:t>
      </w:r>
      <w:r>
        <w:t xml:space="preserve"> recebidos (separador/página </w:t>
      </w:r>
      <w:r>
        <w:rPr>
          <w:i/>
        </w:rPr>
        <w:t>Adiantamentos</w:t>
      </w:r>
      <w:r>
        <w:t>);</w:t>
      </w:r>
    </w:p>
    <w:p>
      <w:pPr>
        <w:pStyle w:val="ListBullet"/>
      </w:pPr>
      <w:r>
        <w:t xml:space="preserve">o </w:t>
      </w:r>
      <w:r>
        <w:rPr>
          <w:b/>
        </w:rPr>
        <w:t>valor residual</w:t>
      </w:r>
      <w:r>
        <w:t xml:space="preserve"> (quanto falta receber);</w:t>
      </w:r>
    </w:p>
    <w:p>
      <w:pPr>
        <w:pStyle w:val="ListBullet"/>
      </w:pPr>
      <w:r>
        <w:t xml:space="preserve">o </w:t>
      </w:r>
      <w:r>
        <w:rPr>
          <w:b/>
        </w:rPr>
        <w:t>estado de adiantamento</w:t>
      </w:r>
      <w:r>
        <w:t xml:space="preserve"> (sem / parcial / totalmente adiantado).</w:t>
      </w:r>
    </w:p>
    <w:p>
      <w:pPr>
        <w:ind w:left="432"/>
      </w:pPr>
      <w:r>
        <w:rPr>
          <w:i/>
          <w:color w:val="44546A"/>
        </w:rPr>
        <w:t>Com o acesso PG (</w:t>
      </w:r>
      <w:r>
        <w:rPr>
          <w:rFonts w:ascii="Consolas" w:hAnsi="Consolas"/>
          <w:i/>
          <w:color w:val="44546A"/>
          <w:sz w:val="19"/>
        </w:rPr>
        <w:t>pg_sale_advance_payment_access</w:t>
      </w:r>
      <w:r>
        <w:rPr>
          <w:i/>
          <w:color w:val="44546A"/>
        </w:rPr>
        <w:t>), os adiantamentos são</w:t>
      </w:r>
    </w:p>
    <w:p>
      <w:pPr>
        <w:ind w:left="432"/>
      </w:pPr>
      <w:r>
        <w:rPr>
          <w:i/>
          <w:color w:val="44546A"/>
        </w:rPr>
        <w:t xml:space="preserve">visíveis no orçamento </w:t>
      </w:r>
      <w:r>
        <w:rPr>
          <w:b/>
          <w:i/>
          <w:color w:val="44546A"/>
        </w:rPr>
        <w:t>sem expor o diário restrito</w:t>
      </w:r>
      <w:r>
        <w:rPr>
          <w:i/>
          <w:color w:val="44546A"/>
        </w:rPr>
        <w:t>.</w:t>
      </w:r>
    </w:p>
    <w:p/>
    <w:p>
      <w:r>
        <w:rPr>
          <w:b/>
          <w:color w:val="2F5496"/>
          <w:sz w:val="30"/>
        </w:rPr>
        <w:t>Passo 3 — Faturar (o abatimento é automático)</w:t>
      </w:r>
    </w:p>
    <w:p>
      <w:pPr>
        <w:pStyle w:val="ListNumber"/>
      </w:pPr>
      <w:r>
        <w:t xml:space="preserve">Cria a </w:t>
      </w:r>
      <w:r>
        <w:rPr>
          <w:b/>
        </w:rPr>
        <w:t>fatura</w:t>
      </w:r>
      <w:r>
        <w:t xml:space="preserve"> a partir da encomenda, como habitualmente.</w:t>
      </w:r>
    </w:p>
    <w:p>
      <w:pPr>
        <w:pStyle w:val="ListNumber"/>
      </w:pPr>
      <w:r>
        <w:rPr>
          <w:b/>
        </w:rPr>
        <w:t>Confirma/Publica</w:t>
      </w:r>
      <w:r>
        <w:t xml:space="preserve"> a fatura.</w:t>
      </w:r>
    </w:p>
    <w:p>
      <w:pPr>
        <w:pStyle w:val="ListNumber"/>
      </w:pPr>
      <w:r>
        <w:t xml:space="preserve">O adiantamento é </w:t>
      </w:r>
      <w:r>
        <w:rPr>
          <w:b/>
        </w:rPr>
        <w:t>reconciliado automaticamente</w:t>
      </w:r>
      <w:r>
        <w:t xml:space="preserve"> contra a fatura ao publicar</w:t>
      </w:r>
    </w:p>
    <w:p>
      <w:r>
        <w:t xml:space="preserve">   — o valor em dívida da fatura já vem deduzido do adiantamento.</w:t>
      </w:r>
    </w:p>
    <w:p>
      <w:pPr>
        <w:ind w:left="432"/>
      </w:pPr>
      <w:r>
        <w:rPr>
          <w:i/>
          <w:color w:val="44546A"/>
        </w:rPr>
        <w:t>Não é preciso conciliar à mão: o módulo faz a ligação do pagamento de</w:t>
      </w:r>
    </w:p>
    <w:p>
      <w:pPr>
        <w:ind w:left="432"/>
      </w:pPr>
      <w:r>
        <w:rPr>
          <w:i/>
          <w:color w:val="44546A"/>
        </w:rPr>
        <w:t>adiantamento à fatura no momento da publicação.</w:t>
      </w:r>
    </w:p>
    <w:p/>
    <w:p>
      <w:r>
        <w:rPr>
          <w:b/>
          <w:color w:val="2F5496"/>
          <w:sz w:val="30"/>
        </w:rPr>
        <w:t>Nota — Adiantamento intracomunitário</w:t>
      </w:r>
    </w:p>
    <w:p>
      <w:r>
        <w:t xml:space="preserve">Para clientes intracomunitários, o </w:t>
      </w:r>
      <w:r>
        <w:rPr>
          <w:b/>
        </w:rPr>
        <w:t>mecanismo do adiantamento é igual</w:t>
      </w:r>
      <w:r>
        <w:t xml:space="preserve"> ao acima.</w:t>
      </w:r>
    </w:p>
    <w:p>
      <w:r>
        <w:t xml:space="preserve">O que muda é o </w:t>
      </w:r>
      <w:r>
        <w:rPr>
          <w:b/>
        </w:rPr>
        <w:t>tratamento de IVA</w:t>
      </w:r>
      <w:r>
        <w:t xml:space="preserve"> (operação intracomunitária):</w:t>
      </w:r>
    </w:p>
    <w:p>
      <w:pPr>
        <w:pStyle w:val="ListBullet"/>
      </w:pPr>
      <w:r>
        <w:rPr>
          <w:b/>
        </w:rPr>
        <w:t>[VALIDAR com a contabilidade]</w:t>
      </w:r>
      <w:r>
        <w:t xml:space="preserve"> confirmar a </w:t>
      </w:r>
      <w:r>
        <w:rPr>
          <w:b/>
        </w:rPr>
        <w:t>posição fiscal</w:t>
      </w:r>
      <w:r>
        <w:t xml:space="preserve"> do cliente</w:t>
      </w:r>
    </w:p>
    <w:p>
      <w:r>
        <w:t xml:space="preserve">  (intracomunitário) e o efeito no IVA do adiantamento/fatura, para garantir que</w:t>
      </w:r>
    </w:p>
    <w:p>
      <w:r>
        <w:t xml:space="preserve">  o adiantamento não gera IVA indevido.</w:t>
      </w:r>
    </w:p>
    <w:p>
      <w:pPr>
        <w:ind w:left="432"/>
      </w:pPr>
      <w:r>
        <w:rPr>
          <w:i/>
          <w:color w:val="44546A"/>
        </w:rPr>
        <w:t>O passo-a-passo de registo não muda; a diferença é apenas fiscal e depende da</w:t>
      </w:r>
    </w:p>
    <w:p>
      <w:pPr>
        <w:ind w:left="432"/>
      </w:pPr>
      <w:r>
        <w:rPr>
          <w:i/>
          <w:color w:val="44546A"/>
        </w:rPr>
        <w:t>posição fiscal configurada no cliente.</w:t>
      </w:r>
    </w:p>
    <w:p/>
    <w:p>
      <w:r>
        <w:rPr>
          <w:b/>
          <w:color w:val="2F5496"/>
          <w:sz w:val="30"/>
        </w:rPr>
        <w:t>Resumo em 3 linhas</w:t>
      </w:r>
    </w:p>
    <w:p>
      <w:pPr>
        <w:pStyle w:val="ListNumber"/>
      </w:pPr>
      <w:r>
        <w:t xml:space="preserve">Na encomenda: </w:t>
      </w:r>
      <w:r>
        <w:rPr>
          <w:b/>
        </w:rPr>
        <w:t>Pagar adiantamento</w:t>
      </w:r>
      <w:r>
        <w:t xml:space="preserve"> → diário + valor + data.</w:t>
      </w:r>
    </w:p>
    <w:p>
      <w:pPr>
        <w:pStyle w:val="ListNumber"/>
      </w:pPr>
      <w:r>
        <w:t xml:space="preserve">A encomenda mostra </w:t>
      </w:r>
      <w:r>
        <w:rPr>
          <w:b/>
        </w:rPr>
        <w:t>adiantamentos</w:t>
      </w:r>
      <w:r>
        <w:t xml:space="preserve"> e </w:t>
      </w:r>
      <w:r>
        <w:rPr>
          <w:b/>
        </w:rPr>
        <w:t>valor residual</w:t>
      </w:r>
      <w:r>
        <w:t>.</w:t>
      </w:r>
    </w:p>
    <w:p>
      <w:pPr>
        <w:pStyle w:val="ListNumber"/>
      </w:pPr>
      <w:r>
        <w:t xml:space="preserve">Ao </w:t>
      </w:r>
      <w:r>
        <w:rPr>
          <w:b/>
        </w:rPr>
        <w:t>publicar a fatura</w:t>
      </w:r>
      <w:r>
        <w:t xml:space="preserve">, o adiantamento é </w:t>
      </w:r>
      <w:r>
        <w:rPr>
          <w:b/>
        </w:rPr>
        <w:t>abatido automaticamente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