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5496"/>
          <w:sz w:val="44"/>
        </w:rPr>
        <w:t>Tutorial — Tesouraria: antiguidade de saldos e fluxo de caixa (HMD)</w:t>
      </w:r>
    </w:p>
    <w:p>
      <w:pPr>
        <w:ind w:left="432"/>
      </w:pPr>
      <w:r>
        <w:rPr>
          <w:i/>
          <w:color w:val="44546A"/>
        </w:rPr>
        <w:t>Como usar os relatórios financeiros do Odoo para ver **quem deve e a quem se</w:t>
      </w:r>
    </w:p>
    <w:p>
      <w:pPr>
        <w:ind w:left="432"/>
      </w:pPr>
      <w:r>
        <w:rPr>
          <w:i/>
          <w:color w:val="44546A"/>
        </w:rPr>
        <w:t>deve</w:t>
      </w:r>
      <w:r>
        <w:rPr>
          <w:b/>
          <w:i/>
          <w:color w:val="44546A"/>
        </w:rPr>
        <w:t xml:space="preserve"> (com prazos 30/60/90) e o </w:t>
      </w:r>
      <w:r>
        <w:rPr>
          <w:i/>
          <w:color w:val="44546A"/>
        </w:rPr>
        <w:t>fluxo de caixa**. Os relatórios já estão</w:t>
      </w:r>
    </w:p>
    <w:p>
      <w:pPr>
        <w:ind w:left="432"/>
      </w:pPr>
      <w:r>
        <w:rPr>
          <w:i/>
          <w:color w:val="44546A"/>
        </w:rPr>
        <w:t xml:space="preserve">disponíveis (módulo </w:t>
      </w:r>
      <w:r>
        <w:rPr>
          <w:rFonts w:ascii="Consolas" w:hAnsi="Consolas"/>
          <w:i/>
          <w:color w:val="44546A"/>
          <w:sz w:val="19"/>
        </w:rPr>
        <w:t>account_reports</w:t>
      </w:r>
      <w:r>
        <w:rPr>
          <w:i/>
          <w:color w:val="44546A"/>
        </w:rPr>
        <w:t xml:space="preserve"> instalado).</w:t>
      </w:r>
    </w:p>
    <w:p>
      <w:pPr>
        <w:ind w:left="432"/>
      </w:pPr>
      <w:r>
        <w:rPr>
          <w:i/>
          <w:color w:val="44546A"/>
        </w:rPr>
        <w:t>Serve também de guião para o vídeo curto HMD-specific.</w:t>
      </w:r>
    </w:p>
    <w:p>
      <w:r>
        <w:rPr>
          <w:b/>
          <w:color w:val="2F5496"/>
          <w:sz w:val="30"/>
        </w:rPr>
        <w:t>Onde estão</w:t>
      </w:r>
    </w:p>
    <w:p>
      <w:r>
        <w:t xml:space="preserve">Tudo em </w:t>
      </w:r>
      <w:r>
        <w:rPr>
          <w:b/>
        </w:rPr>
        <w:t>Contabilidade → Relatórios</w:t>
      </w:r>
      <w:r>
        <w:t xml:space="preserve"> (</w:t>
      </w:r>
      <w:r>
        <w:rPr>
          <w:i/>
        </w:rPr>
        <w:t>Accounting → Reporting</w:t>
      </w:r>
      <w:r>
        <w:t>). Os que</w:t>
      </w:r>
    </w:p>
    <w:p>
      <w:r>
        <w:t>interessam para tesouraria são: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Relatório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 quê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Antiguidade de Saldos a Receber</w:t>
            </w:r>
            <w:r>
              <w:t xml:space="preserve"> (</w:t>
            </w:r>
            <w:r>
              <w:rPr>
                <w:i/>
              </w:rPr>
              <w:t>Aged Receivable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 xml:space="preserve">Quanto cada </w:t>
            </w:r>
            <w:r>
              <w:rPr>
                <w:b/>
              </w:rPr>
              <w:t>cliente</w:t>
            </w:r>
            <w:r>
              <w:t xml:space="preserve"> deve e há quanto tempo (30/60/90+)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Antiguidade de Saldos a Pagar</w:t>
            </w:r>
            <w:r>
              <w:t xml:space="preserve"> (</w:t>
            </w:r>
            <w:r>
              <w:rPr>
                <w:i/>
              </w:rPr>
              <w:t>Aged Payable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 xml:space="preserve">Quanto se deve a cada </w:t>
            </w:r>
            <w:r>
              <w:rPr>
                <w:b/>
              </w:rPr>
              <w:t>fornecedor</w:t>
            </w:r>
            <w:r>
              <w:t xml:space="preserve"> e há quanto tempo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Demonstração de Fluxos de Caixa</w:t>
            </w:r>
            <w:r>
              <w:t xml:space="preserve"> (</w:t>
            </w:r>
            <w:r>
              <w:rPr>
                <w:i/>
              </w:rPr>
              <w:t>Cash Flow Statement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Entradas e saídas de caixa do período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Relatório de Seguimento</w:t>
            </w:r>
            <w:r>
              <w:t xml:space="preserve"> (</w:t>
            </w:r>
            <w:r>
              <w:rPr>
                <w:i/>
              </w:rPr>
              <w:t>Follow-Up Report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Gestão de cobranças a clientes</w:t>
            </w:r>
          </w:p>
        </w:tc>
      </w:tr>
    </w:tbl>
    <w:p/>
    <w:p/>
    <w:p>
      <w:r>
        <w:rPr>
          <w:b/>
          <w:color w:val="2F5496"/>
          <w:sz w:val="30"/>
        </w:rPr>
        <w:t>1. Antiguidade de Saldos a Receber (o mais usado)</w:t>
      </w:r>
    </w:p>
    <w:p>
      <w:r>
        <w:rPr>
          <w:b/>
        </w:rPr>
        <w:t>Contabilidade → Relatórios → Antiguidade de Saldos a Receber.</w:t>
      </w:r>
    </w:p>
    <w:p>
      <w:r>
        <w:t>O que vês:</w:t>
      </w:r>
    </w:p>
    <w:p>
      <w:pPr>
        <w:pStyle w:val="ListBullet"/>
      </w:pPr>
      <w:r>
        <w:t xml:space="preserve">Uma linha por </w:t>
      </w:r>
      <w:r>
        <w:rPr>
          <w:b/>
        </w:rPr>
        <w:t>cliente</w:t>
      </w:r>
      <w:r>
        <w:t xml:space="preserve">, com o saldo distribuído por </w:t>
      </w:r>
      <w:r>
        <w:rPr>
          <w:b/>
        </w:rPr>
        <w:t>colunas de prazo</w:t>
      </w:r>
      <w:r>
        <w:t>:</w:t>
      </w:r>
    </w:p>
    <w:p>
      <w:r>
        <w:t xml:space="preserve">  </w:t>
      </w:r>
      <w:r>
        <w:rPr>
          <w:i/>
        </w:rPr>
        <w:t>Não vencido</w:t>
      </w:r>
      <w:r>
        <w:t xml:space="preserve">, </w:t>
      </w:r>
      <w:r>
        <w:rPr>
          <w:i/>
        </w:rPr>
        <w:t>0–30</w:t>
      </w:r>
      <w:r>
        <w:t xml:space="preserve">, </w:t>
      </w:r>
      <w:r>
        <w:rPr>
          <w:i/>
        </w:rPr>
        <w:t>31–60</w:t>
      </w:r>
      <w:r>
        <w:t xml:space="preserve">, </w:t>
      </w:r>
      <w:r>
        <w:rPr>
          <w:i/>
        </w:rPr>
        <w:t>61–90</w:t>
      </w:r>
      <w:r>
        <w:t xml:space="preserve">, </w:t>
      </w:r>
      <w:r>
        <w:rPr>
          <w:i/>
        </w:rPr>
        <w:t>90+</w:t>
      </w:r>
      <w:r>
        <w:t xml:space="preserve"> dias.</w:t>
      </w:r>
    </w:p>
    <w:p>
      <w:pPr>
        <w:pStyle w:val="ListBullet"/>
      </w:pPr>
      <w:r>
        <w:t xml:space="preserve">O total em dívida e o que já está </w:t>
      </w:r>
      <w:r>
        <w:rPr>
          <w:b/>
        </w:rPr>
        <w:t>em atraso</w:t>
      </w:r>
      <w:r>
        <w:t>.</w:t>
      </w:r>
    </w:p>
    <w:p>
      <w:r>
        <w:t>Como usar:</w:t>
      </w:r>
    </w:p>
    <w:p>
      <w:pPr>
        <w:pStyle w:val="ListNumber"/>
      </w:pPr>
      <w:r>
        <w:t xml:space="preserve">Confirma a </w:t>
      </w:r>
      <w:r>
        <w:rPr>
          <w:b/>
        </w:rPr>
        <w:t>data</w:t>
      </w:r>
      <w:r>
        <w:t xml:space="preserve"> no topo (a antiguidade é calculada a essa data).</w:t>
      </w:r>
    </w:p>
    <w:p>
      <w:pPr>
        <w:pStyle w:val="ListNumber"/>
      </w:pPr>
      <w:r>
        <w:rPr>
          <w:b/>
        </w:rPr>
        <w:t>Expande</w:t>
      </w:r>
      <w:r>
        <w:t xml:space="preserve"> um cliente para ver as faturas que compõem o saldo.</w:t>
      </w:r>
    </w:p>
    <w:p>
      <w:pPr>
        <w:pStyle w:val="ListNumber"/>
      </w:pPr>
      <w:r>
        <w:t xml:space="preserve">Usa para priorizar </w:t>
      </w:r>
      <w:r>
        <w:rPr>
          <w:b/>
        </w:rPr>
        <w:t>cobranças</w:t>
      </w:r>
      <w:r>
        <w:t>: foca as colunas 60/90+.</w:t>
      </w:r>
    </w:p>
    <w:p>
      <w:pPr>
        <w:ind w:left="432"/>
      </w:pPr>
      <w:r>
        <w:rPr>
          <w:i/>
          <w:color w:val="44546A"/>
        </w:rPr>
        <w:t>Dica: clica numa célula para ver o detalhe (drill-down) até à fatura.</w:t>
      </w:r>
    </w:p>
    <w:p/>
    <w:p>
      <w:r>
        <w:rPr>
          <w:b/>
          <w:color w:val="2F5496"/>
          <w:sz w:val="30"/>
        </w:rPr>
        <w:t>2. Antiguidade de Saldos a Pagar</w:t>
      </w:r>
    </w:p>
    <w:p>
      <w:r>
        <w:rPr>
          <w:b/>
        </w:rPr>
        <w:t>Contabilidade → Relatórios → Antiguidade de Saldos a Pagar.</w:t>
      </w:r>
    </w:p>
    <w:p>
      <w:r>
        <w:t xml:space="preserve">Igual ao anterior, mas para </w:t>
      </w:r>
      <w:r>
        <w:rPr>
          <w:b/>
        </w:rPr>
        <w:t>fornecedores</w:t>
      </w:r>
      <w:r>
        <w:t>: quanto se deve e com que prazo.</w:t>
      </w:r>
    </w:p>
    <w:p>
      <w:r>
        <w:t xml:space="preserve">Serve para </w:t>
      </w:r>
      <w:r>
        <w:rPr>
          <w:b/>
        </w:rPr>
        <w:t>planear pagamentos</w:t>
      </w:r>
      <w:r>
        <w:t xml:space="preserve"> e antecipar saídas de caixa.</w:t>
      </w:r>
    </w:p>
    <w:p/>
    <w:p>
      <w:r>
        <w:rPr>
          <w:b/>
          <w:color w:val="2F5496"/>
          <w:sz w:val="30"/>
        </w:rPr>
        <w:t>3. Demonstração de Fluxos de Caixa</w:t>
      </w:r>
    </w:p>
    <w:p>
      <w:r>
        <w:rPr>
          <w:b/>
        </w:rPr>
        <w:t>Contabilidade → Relatórios → Demonstração de Fluxos de Caixa.</w:t>
      </w:r>
    </w:p>
    <w:p>
      <w:r>
        <w:t xml:space="preserve">Mostra as </w:t>
      </w:r>
      <w:r>
        <w:rPr>
          <w:b/>
        </w:rPr>
        <w:t>entradas e saídas de caixa</w:t>
      </w:r>
      <w:r>
        <w:t xml:space="preserve"> do período (operacional, investimento,</w:t>
      </w:r>
    </w:p>
    <w:p>
      <w:r>
        <w:t xml:space="preserve">financiamento). Usa para perceber a </w:t>
      </w:r>
      <w:r>
        <w:rPr>
          <w:b/>
        </w:rPr>
        <w:t>variação de tesouraria</w:t>
      </w:r>
      <w:r>
        <w:t xml:space="preserve"> num intervalo.</w:t>
      </w:r>
    </w:p>
    <w:p>
      <w:pPr>
        <w:pStyle w:val="ListBullet"/>
      </w:pPr>
      <w:r>
        <w:t xml:space="preserve">Escolhe o </w:t>
      </w:r>
      <w:r>
        <w:rPr>
          <w:b/>
        </w:rPr>
        <w:t>período</w:t>
      </w:r>
      <w:r>
        <w:t xml:space="preserve"> no topo (mês, trimestre, intervalo personalizado).</w:t>
      </w:r>
    </w:p>
    <w:p>
      <w:pPr>
        <w:pStyle w:val="ListBullet"/>
      </w:pPr>
      <w:r>
        <w:rPr>
          <w:b/>
        </w:rPr>
        <w:t>Compara períodos</w:t>
      </w:r>
      <w:r>
        <w:t xml:space="preserve"> para ver a evolução.</w:t>
      </w:r>
    </w:p>
    <w:p/>
    <w:p>
      <w:r>
        <w:rPr>
          <w:b/>
          <w:color w:val="2F5496"/>
          <w:sz w:val="30"/>
        </w:rPr>
        <w:t>4. Ferramentas comuns a todos os relatórios</w:t>
      </w:r>
    </w:p>
    <w:p>
      <w:r>
        <w:t>No topo de cada relatório tens:</w:t>
      </w:r>
    </w:p>
    <w:p>
      <w:pPr>
        <w:pStyle w:val="ListBullet"/>
      </w:pPr>
      <w:r>
        <w:rPr>
          <w:b/>
        </w:rPr>
        <w:t>Datas / Período</w:t>
      </w:r>
      <w:r>
        <w:t xml:space="preserve"> — definir o intervalo ou a data de referência.</w:t>
      </w:r>
    </w:p>
    <w:p>
      <w:pPr>
        <w:pStyle w:val="ListBullet"/>
      </w:pPr>
      <w:r>
        <w:rPr>
          <w:b/>
        </w:rPr>
        <w:t>Comparar</w:t>
      </w:r>
      <w:r>
        <w:t xml:space="preserve"> — período homólogo ou anterior.</w:t>
      </w:r>
    </w:p>
    <w:p>
      <w:pPr>
        <w:pStyle w:val="ListBullet"/>
      </w:pPr>
      <w:r>
        <w:rPr>
          <w:b/>
        </w:rPr>
        <w:t>Exportar</w:t>
      </w:r>
      <w:r>
        <w:t xml:space="preserve"> — para </w:t>
      </w:r>
      <w:r>
        <w:rPr>
          <w:b/>
        </w:rPr>
        <w:t>PDF</w:t>
      </w:r>
      <w:r>
        <w:t xml:space="preserve"> ou </w:t>
      </w:r>
      <w:r>
        <w:rPr>
          <w:b/>
        </w:rPr>
        <w:t>Excel</w:t>
      </w:r>
      <w:r>
        <w:t xml:space="preserve"> (botão de exportação).</w:t>
      </w:r>
    </w:p>
    <w:p>
      <w:pPr>
        <w:pStyle w:val="ListBullet"/>
      </w:pPr>
      <w:r>
        <w:rPr>
          <w:b/>
        </w:rPr>
        <w:t>Guardar como favorito</w:t>
      </w:r>
      <w:r>
        <w:t xml:space="preserve"> — guardar a configuração para reabrir com um clique.</w:t>
      </w:r>
    </w:p>
    <w:p/>
    <w:p>
      <w:r>
        <w:rPr>
          <w:b/>
          <w:color w:val="2F5496"/>
          <w:sz w:val="30"/>
        </w:rPr>
        <w:t>5. Gestão de cobranças (Follow-Up)</w:t>
      </w:r>
    </w:p>
    <w:p>
      <w:r>
        <w:rPr>
          <w:b/>
        </w:rPr>
        <w:t>Contabilidade → Clientes → Seguimento de Pagamentos</w:t>
      </w:r>
      <w:r>
        <w:t xml:space="preserve"> (</w:t>
      </w:r>
      <w:r>
        <w:rPr>
          <w:i/>
        </w:rPr>
        <w:t>Follow-up</w:t>
      </w:r>
      <w:r>
        <w:t>):</w:t>
      </w:r>
    </w:p>
    <w:p>
      <w:pPr>
        <w:pStyle w:val="ListBullet"/>
      </w:pPr>
      <w:r>
        <w:t xml:space="preserve">Lista os clientes com valores em atraso e o </w:t>
      </w:r>
      <w:r>
        <w:rPr>
          <w:b/>
        </w:rPr>
        <w:t>nível de lembrete</w:t>
      </w:r>
      <w:r>
        <w:t xml:space="preserve"> a enviar.</w:t>
      </w:r>
    </w:p>
    <w:p>
      <w:pPr>
        <w:pStyle w:val="ListBullet"/>
      </w:pPr>
      <w:r>
        <w:t xml:space="preserve">Permite </w:t>
      </w:r>
      <w:r>
        <w:rPr>
          <w:b/>
        </w:rPr>
        <w:t>enviar lembretes</w:t>
      </w:r>
      <w:r>
        <w:t xml:space="preserve"> (email) e registar o contacto feito.</w:t>
      </w:r>
    </w:p>
    <w:p/>
    <w:p>
      <w:r>
        <w:rPr>
          <w:b/>
          <w:color w:val="2F5496"/>
          <w:sz w:val="30"/>
        </w:rPr>
        <w:t>Boas práticas</w:t>
      </w:r>
    </w:p>
    <w:p>
      <w:pPr>
        <w:pStyle w:val="ListBullet"/>
      </w:pPr>
      <w:r>
        <w:rPr>
          <w:b/>
        </w:rPr>
        <w:t>Rotina semanal:</w:t>
      </w:r>
      <w:r>
        <w:t xml:space="preserve"> abrir a </w:t>
      </w:r>
      <w:r>
        <w:rPr>
          <w:i/>
        </w:rPr>
        <w:t>Antiguidade a Receber</w:t>
      </w:r>
      <w:r>
        <w:t>, atacar as colunas 60/90+.</w:t>
      </w:r>
    </w:p>
    <w:p>
      <w:pPr>
        <w:pStyle w:val="ListBullet"/>
      </w:pPr>
      <w:r>
        <w:rPr>
          <w:b/>
        </w:rPr>
        <w:t>Antes de pagar fornecedores:</w:t>
      </w:r>
      <w:r>
        <w:t xml:space="preserve"> cruzar a </w:t>
      </w:r>
      <w:r>
        <w:rPr>
          <w:i/>
        </w:rPr>
        <w:t>Antiguidade a Pagar</w:t>
      </w:r>
      <w:r>
        <w:t xml:space="preserve"> com a posição</w:t>
      </w:r>
    </w:p>
    <w:p>
      <w:r>
        <w:t xml:space="preserve">  de caixa.</w:t>
      </w:r>
    </w:p>
    <w:p>
      <w:pPr>
        <w:pStyle w:val="ListBullet"/>
      </w:pPr>
      <w:r>
        <w:rPr>
          <w:b/>
        </w:rPr>
        <w:t>Fecho de mês:</w:t>
      </w:r>
      <w:r>
        <w:t xml:space="preserve"> exportar os relatórios (PDF/Excel) para arquivo.</w:t>
      </w:r>
    </w:p>
    <w:p>
      <w:pPr>
        <w:pStyle w:val="ListBullet"/>
      </w:pPr>
      <w:r>
        <w:rPr>
          <w:b/>
        </w:rPr>
        <w:t>Tudo standard:</w:t>
      </w:r>
      <w:r>
        <w:t xml:space="preserve"> estes relatórios são nativos do Odoo (sem programação) e</w:t>
      </w:r>
    </w:p>
    <w:p>
      <w:r>
        <w:t xml:space="preserve">  atualizam em tempo real a partir da contabilidade.</w:t>
      </w:r>
    </w:p>
    <w:p/>
    <w:p>
      <w:r>
        <w:rPr>
          <w:b/>
          <w:color w:val="2F5496"/>
          <w:sz w:val="30"/>
        </w:rPr>
        <w:t>Resumo em 3 linhas</w:t>
      </w:r>
    </w:p>
    <w:p>
      <w:pPr>
        <w:pStyle w:val="ListNumber"/>
      </w:pPr>
      <w:r>
        <w:rPr>
          <w:b/>
        </w:rPr>
        <w:t>A Receber / A Pagar</w:t>
      </w:r>
      <w:r>
        <w:t xml:space="preserve"> (antiguidade 30/60/90) → quem deve e a quem se deve.</w:t>
      </w:r>
    </w:p>
    <w:p>
      <w:pPr>
        <w:pStyle w:val="ListNumber"/>
      </w:pPr>
      <w:r>
        <w:rPr>
          <w:b/>
        </w:rPr>
        <w:t>Fluxo de Caixa</w:t>
      </w:r>
      <w:r>
        <w:t xml:space="preserve"> → entradas e saídas do período.</w:t>
      </w:r>
    </w:p>
    <w:p>
      <w:pPr>
        <w:pStyle w:val="ListNumber"/>
      </w:pPr>
      <w:r>
        <w:rPr>
          <w:b/>
        </w:rPr>
        <w:t>Datas + Comparar + Exportar</w:t>
      </w:r>
      <w:r>
        <w:t xml:space="preserve"> em todos; </w:t>
      </w:r>
      <w:r>
        <w:rPr>
          <w:b/>
        </w:rPr>
        <w:t>Follow-Up</w:t>
      </w:r>
      <w:r>
        <w:t xml:space="preserve"> para cobranças.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