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Criar categorias de despesa (HMD)</w:t>
      </w:r>
    </w:p>
    <w:p>
      <w:pPr>
        <w:ind w:left="432"/>
      </w:pPr>
      <w:r>
        <w:rPr>
          <w:i/>
          <w:color w:val="44546A"/>
        </w:rPr>
        <w:t xml:space="preserve">Como criar e manter </w:t>
      </w:r>
      <w:r>
        <w:rPr>
          <w:b/>
          <w:i/>
          <w:color w:val="44546A"/>
        </w:rPr>
        <w:t>categorias de despesa</w:t>
      </w:r>
      <w:r>
        <w:rPr>
          <w:i/>
          <w:color w:val="44546A"/>
        </w:rPr>
        <w:t xml:space="preserve"> no módulo Despesas (</w:t>
      </w:r>
      <w:r>
        <w:rPr>
          <w:i/>
          <w:color w:val="44546A"/>
        </w:rPr>
        <w:t>Expenses</w:t>
      </w:r>
      <w:r>
        <w:rPr>
          <w:i/>
          <w:color w:val="44546A"/>
        </w:rPr>
        <w:t>) do</w:t>
      </w:r>
    </w:p>
    <w:p>
      <w:pPr>
        <w:ind w:left="432"/>
      </w:pPr>
      <w:r>
        <w:rPr>
          <w:i/>
          <w:color w:val="44546A"/>
        </w:rPr>
        <w:t>Odoo 18. As categorias são o que o colaborador escolhe ao lançar uma despesa</w:t>
      </w:r>
    </w:p>
    <w:p>
      <w:pPr>
        <w:ind w:left="432"/>
      </w:pPr>
      <w:r>
        <w:rPr>
          <w:i/>
          <w:color w:val="44546A"/>
        </w:rPr>
        <w:t xml:space="preserve">(ex.: refeições, deslocações, ou </w:t>
      </w:r>
      <w:r>
        <w:rPr>
          <w:b/>
          <w:i/>
          <w:color w:val="44546A"/>
        </w:rPr>
        <w:t>por tipo de cartão</w:t>
      </w:r>
      <w:r>
        <w:rPr>
          <w:i/>
          <w:color w:val="44546A"/>
        </w:rPr>
        <w:t>).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O que é uma "categoria de despesa"</w:t>
      </w:r>
    </w:p>
    <w:p>
      <w:r>
        <w:t xml:space="preserve">No Odoo, cada categoria de despesa é um </w:t>
      </w:r>
      <w:r>
        <w:rPr>
          <w:b/>
        </w:rPr>
        <w:t>produto marcado como despesa</w:t>
      </w:r>
      <w:r>
        <w:t>. Define o</w:t>
      </w:r>
    </w:p>
    <w:p>
      <w:r>
        <w:rPr>
          <w:b/>
        </w:rPr>
        <w:t>nome</w:t>
      </w:r>
      <w:r>
        <w:t xml:space="preserve">, a </w:t>
      </w:r>
      <w:r>
        <w:rPr>
          <w:b/>
        </w:rPr>
        <w:t>conta contabilística</w:t>
      </w:r>
      <w:r>
        <w:t xml:space="preserve"> onde o gasto é lançado e os </w:t>
      </w:r>
      <w:r>
        <w:rPr>
          <w:b/>
        </w:rPr>
        <w:t>impostos</w:t>
      </w:r>
    </w:p>
    <w:p>
      <w:r>
        <w:t xml:space="preserve">aplicáveis. Já existem várias criadas na HMD; este guia mostra como </w:t>
      </w:r>
      <w:r>
        <w:rPr>
          <w:b/>
        </w:rPr>
        <w:t>acrescentar</w:t>
      </w:r>
    </w:p>
    <w:p>
      <w:r>
        <w:t xml:space="preserve">ou </w:t>
      </w:r>
      <w:r>
        <w:rPr>
          <w:b/>
        </w:rPr>
        <w:t>editar</w:t>
      </w:r>
      <w:r>
        <w:t>.</w:t>
      </w:r>
    </w:p>
    <w:p/>
    <w:p>
      <w:r>
        <w:rPr>
          <w:b/>
          <w:color w:val="2F5496"/>
          <w:sz w:val="30"/>
        </w:rPr>
        <w:t>Passo 1 — Abrir as categorias</w:t>
      </w:r>
    </w:p>
    <w:p>
      <w:r>
        <w:t xml:space="preserve">Vai a </w:t>
      </w:r>
      <w:r>
        <w:rPr>
          <w:b/>
        </w:rPr>
        <w:t>Despesas → Configuração → Categorias de Despesa</w:t>
      </w:r>
    </w:p>
    <w:p>
      <w:r>
        <w:t>(</w:t>
      </w:r>
      <w:r>
        <w:rPr>
          <w:i/>
        </w:rPr>
        <w:t>Expenses → Configuration → Expense Categories</w:t>
      </w:r>
      <w:r>
        <w:t>).</w:t>
      </w:r>
    </w:p>
    <w:p>
      <w:r>
        <w:t xml:space="preserve">Vês a lista das categorias existentes. Para criar uma nova, carrega em </w:t>
      </w:r>
      <w:r>
        <w:rPr>
          <w:b/>
        </w:rPr>
        <w:t>Novo</w:t>
      </w:r>
      <w:r>
        <w:t>.</w:t>
      </w:r>
    </w:p>
    <w:p/>
    <w:p>
      <w:r>
        <w:rPr>
          <w:b/>
          <w:color w:val="2F5496"/>
          <w:sz w:val="30"/>
        </w:rPr>
        <w:t>Passo 2 — Preencher a categoria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 que pôr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Nome do Produto</w:t>
            </w:r>
          </w:p>
        </w:tc>
        <w:tc>
          <w:tcPr>
            <w:tcW w:type="dxa" w:w="4320"/>
          </w:tcPr>
          <w:p>
            <w:r/>
            <w:r>
              <w:t xml:space="preserve">O nome que o colaborador vê (ex.: </w:t>
            </w:r>
            <w:r>
              <w:rPr>
                <w:rFonts w:ascii="Consolas" w:hAnsi="Consolas"/>
                <w:color w:val="B5360A"/>
                <w:sz w:val="19"/>
              </w:rPr>
              <w:t>Refeições</w:t>
            </w:r>
            <w:r>
              <w:t xml:space="preserve">, </w:t>
            </w:r>
            <w:r>
              <w:rPr>
                <w:rFonts w:ascii="Consolas" w:hAnsi="Consolas"/>
                <w:color w:val="B5360A"/>
                <w:sz w:val="19"/>
              </w:rPr>
              <w:t>Cartão BCP — Combustível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Pode ser uma despesa</w:t>
            </w:r>
          </w:p>
        </w:tc>
        <w:tc>
          <w:tcPr>
            <w:tcW w:type="dxa" w:w="4320"/>
          </w:tcPr>
          <w:p>
            <w:r/>
            <w:r>
              <w:t xml:space="preserve">Deve estar </w:t>
            </w:r>
            <w:r>
              <w:rPr>
                <w:b/>
              </w:rPr>
              <w:t>ativo</w:t>
            </w:r>
            <w:r>
              <w:t xml:space="preserve"> (é o que a torna uma categoria de despesa)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Custo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0</w:t>
            </w:r>
            <w:r>
              <w:t xml:space="preserve"> se o valor é variável (o colaborador escreve o valor ao lançar)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Unidade de Medida</w:t>
            </w:r>
          </w:p>
        </w:tc>
        <w:tc>
          <w:tcPr>
            <w:tcW w:type="dxa" w:w="4320"/>
          </w:tcPr>
          <w:p>
            <w:r/>
            <w:r>
              <w:t xml:space="preserve">normalmente </w:t>
            </w:r>
            <w:r>
              <w:rPr>
                <w:rFonts w:ascii="Consolas" w:hAnsi="Consolas"/>
                <w:color w:val="B5360A"/>
                <w:sz w:val="19"/>
              </w:rPr>
              <w:t>Unidades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Referência</w:t>
            </w:r>
          </w:p>
        </w:tc>
        <w:tc>
          <w:tcPr>
            <w:tcW w:type="dxa" w:w="4320"/>
          </w:tcPr>
          <w:p>
            <w:r/>
            <w:r>
              <w:t>opcional (código interno)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Conta de Despesa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conta contabilística</w:t>
            </w:r>
            <w:r>
              <w:t xml:space="preserve"> onde o gasto é lançado ← importante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Impostos do fornecedor</w:t>
            </w:r>
          </w:p>
        </w:tc>
        <w:tc>
          <w:tcPr>
            <w:tcW w:type="dxa" w:w="4320"/>
          </w:tcPr>
          <w:p>
            <w:r/>
            <w:r>
              <w:t>o IVA aplicável (ou nenhum), conforme o tipo de gasto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Orientação</w:t>
            </w:r>
          </w:p>
        </w:tc>
        <w:tc>
          <w:tcPr>
            <w:tcW w:type="dxa" w:w="4320"/>
          </w:tcPr>
          <w:p>
            <w:r/>
            <w:r>
              <w:t>texto de ajuda opcional (ex.: "Só dias úteis, almoço")</w:t>
            </w:r>
          </w:p>
        </w:tc>
      </w:tr>
    </w:tbl>
    <w:p/>
    <w:p>
      <w:r>
        <w:t>Guarda.</w:t>
      </w:r>
    </w:p>
    <w:p>
      <w:pPr>
        <w:ind w:left="432"/>
      </w:pPr>
      <w:r>
        <w:rPr>
          <w:b/>
          <w:i/>
          <w:color w:val="44546A"/>
        </w:rPr>
        <w:t>Conta de Despesa</w:t>
      </w:r>
      <w:r>
        <w:rPr>
          <w:i/>
          <w:color w:val="44546A"/>
        </w:rPr>
        <w:t xml:space="preserve"> é o campo que garante que o gasto vai para o sítio certo na</w:t>
      </w:r>
    </w:p>
    <w:p>
      <w:pPr>
        <w:ind w:left="432"/>
      </w:pPr>
      <w:r>
        <w:rPr>
          <w:i/>
          <w:color w:val="44546A"/>
        </w:rPr>
        <w:t>contabilidade — confirma-o com a contabilidade quando crias uma categoria nova.</w:t>
      </w:r>
    </w:p>
    <w:p/>
    <w:p>
      <w:r>
        <w:rPr>
          <w:b/>
          <w:color w:val="2F5496"/>
          <w:sz w:val="30"/>
        </w:rPr>
        <w:t>Passo 3 — Categorias por tipo de cartão (objetivo HMD)</w:t>
      </w:r>
    </w:p>
    <w:p>
      <w:r>
        <w:t xml:space="preserve">Para separar gastos por </w:t>
      </w:r>
      <w:r>
        <w:rPr>
          <w:b/>
        </w:rPr>
        <w:t>cartão de crédito</w:t>
      </w:r>
      <w:r>
        <w:t>, cria categorias com nome que</w:t>
      </w:r>
    </w:p>
    <w:p>
      <w:r>
        <w:t>identifique o cartão, por exemplo: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Cartão BCP — Combustível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Cartão BCP — Refeições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Cartão Santander — Deslocações</w:t>
      </w:r>
    </w:p>
    <w:p>
      <w:r>
        <w:t>Assim, ao lançar a despesa, o colaborador escolhe logo a categoria do cartão certo,</w:t>
      </w:r>
    </w:p>
    <w:p>
      <w:r>
        <w:t>e os relatórios ficam organizados por cartão.</w:t>
      </w:r>
    </w:p>
    <w:p>
      <w:pPr>
        <w:ind w:left="432"/>
      </w:pPr>
      <w:r>
        <w:rPr>
          <w:i/>
          <w:color w:val="44546A"/>
        </w:rPr>
        <w:t xml:space="preserve">A regra de nomes deve ser </w:t>
      </w:r>
      <w:r>
        <w:rPr>
          <w:b/>
          <w:i/>
          <w:color w:val="44546A"/>
        </w:rPr>
        <w:t>consistente</w:t>
      </w:r>
      <w:r>
        <w:rPr>
          <w:i/>
          <w:color w:val="44546A"/>
        </w:rPr>
        <w:t xml:space="preserve"> (mesmo prefixo por cartão) para</w:t>
      </w:r>
    </w:p>
    <w:p>
      <w:pPr>
        <w:ind w:left="432"/>
      </w:pPr>
      <w:r>
        <w:rPr>
          <w:i/>
          <w:color w:val="44546A"/>
        </w:rPr>
        <w:t>facilitar filtros e relatórios.</w:t>
      </w:r>
    </w:p>
    <w:p/>
    <w:p>
      <w:r>
        <w:rPr>
          <w:b/>
          <w:color w:val="2F5496"/>
          <w:sz w:val="30"/>
        </w:rPr>
        <w:t>Passo 4 — Usar a categoria (lançar despesa)</w:t>
      </w:r>
    </w:p>
    <w:p>
      <w:r>
        <w:t xml:space="preserve">Em </w:t>
      </w:r>
      <w:r>
        <w:rPr>
          <w:b/>
        </w:rPr>
        <w:t>Despesas → As minhas despesas → Novo</w:t>
      </w:r>
      <w:r>
        <w:t xml:space="preserve">: escolhe a </w:t>
      </w:r>
      <w:r>
        <w:rPr>
          <w:b/>
        </w:rPr>
        <w:t>categoria</w:t>
      </w:r>
      <w:r>
        <w:t>, escreve o</w:t>
      </w:r>
    </w:p>
    <w:p>
      <w:r>
        <w:rPr>
          <w:b/>
        </w:rPr>
        <w:t>valor</w:t>
      </w:r>
      <w:r>
        <w:t xml:space="preserve"> e a </w:t>
      </w:r>
      <w:r>
        <w:rPr>
          <w:b/>
        </w:rPr>
        <w:t>data</w:t>
      </w:r>
      <w:r>
        <w:t>, anexa o comprovativo, e submete para aprovação.</w:t>
      </w:r>
    </w:p>
    <w:p/>
    <w:p>
      <w:r>
        <w:rPr>
          <w:b/>
          <w:color w:val="2F5496"/>
          <w:sz w:val="30"/>
        </w:rPr>
        <w:t>Boas práticas</w:t>
      </w:r>
    </w:p>
    <w:p>
      <w:pPr>
        <w:pStyle w:val="ListBullet"/>
      </w:pPr>
      <w:r>
        <w:rPr>
          <w:b/>
        </w:rPr>
        <w:t>Poucas e claras:</w:t>
      </w:r>
      <w:r>
        <w:t xml:space="preserve"> evita categorias a mais; agrupa por tipo de gasto/cartão.</w:t>
      </w:r>
    </w:p>
    <w:p>
      <w:pPr>
        <w:pStyle w:val="ListBullet"/>
      </w:pPr>
      <w:r>
        <w:rPr>
          <w:b/>
        </w:rPr>
        <w:t>Conta de despesa sempre preenchida:</w:t>
      </w:r>
      <w:r>
        <w:t xml:space="preserve"> sem ela, o gasto pode ir para a conta</w:t>
      </w:r>
    </w:p>
    <w:p>
      <w:r>
        <w:t xml:space="preserve">  errada.</w:t>
      </w:r>
    </w:p>
    <w:p>
      <w:pPr>
        <w:pStyle w:val="ListBullet"/>
      </w:pPr>
      <w:r>
        <w:rPr>
          <w:b/>
        </w:rPr>
        <w:t>Nomes consistentes:</w:t>
      </w:r>
      <w:r>
        <w:t xml:space="preserve"> mesma convenção para todos (ex.: </w:t>
      </w:r>
      <w:r>
        <w:rPr>
          <w:rFonts w:ascii="Consolas" w:hAnsi="Consolas"/>
          <w:color w:val="B5360A"/>
          <w:sz w:val="19"/>
        </w:rPr>
        <w:t>Cartão X — Tipo</w:t>
      </w:r>
      <w:r>
        <w:t>).</w:t>
      </w:r>
    </w:p>
    <w:p>
      <w:pPr>
        <w:pStyle w:val="ListBullet"/>
      </w:pPr>
      <w:r>
        <w:rPr>
          <w:b/>
        </w:rPr>
        <w:t>Arquivar em vez de apagar</w:t>
      </w:r>
      <w:r>
        <w:t xml:space="preserve"> categorias que deixam de se usar.</w:t>
      </w:r>
    </w:p>
    <w:p>
      <w:pPr>
        <w:pStyle w:val="ListBullet"/>
      </w:pPr>
      <w:r>
        <w:rPr>
          <w:b/>
        </w:rPr>
        <w:t>Tudo standard:</w:t>
      </w:r>
      <w:r>
        <w:t xml:space="preserve"> é configuração nativa do Odoo, sem programação.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rPr>
          <w:b/>
        </w:rPr>
        <w:t>Despesas → Configuração → Categorias de Despesa → Novo</w:t>
      </w:r>
      <w:r>
        <w:t>.</w:t>
      </w:r>
    </w:p>
    <w:p>
      <w:pPr>
        <w:pStyle w:val="ListNumber"/>
      </w:pPr>
      <w:r>
        <w:t xml:space="preserve">Preenche </w:t>
      </w:r>
      <w:r>
        <w:rPr>
          <w:b/>
        </w:rPr>
        <w:t>Nome</w:t>
      </w:r>
      <w:r>
        <w:t xml:space="preserve">, </w:t>
      </w:r>
      <w:r>
        <w:rPr>
          <w:b/>
        </w:rPr>
        <w:t>Conta de Despesa</w:t>
      </w:r>
      <w:r>
        <w:t xml:space="preserve"> e </w:t>
      </w:r>
      <w:r>
        <w:rPr>
          <w:b/>
        </w:rPr>
        <w:t>Impostos</w:t>
      </w:r>
      <w:r>
        <w:t xml:space="preserve"> (custo </w:t>
      </w:r>
      <w:r>
        <w:rPr>
          <w:rFonts w:ascii="Consolas" w:hAnsi="Consolas"/>
          <w:color w:val="B5360A"/>
          <w:sz w:val="19"/>
        </w:rPr>
        <w:t>0</w:t>
      </w:r>
      <w:r>
        <w:t xml:space="preserve"> se variável).</w:t>
      </w:r>
    </w:p>
    <w:p>
      <w:pPr>
        <w:pStyle w:val="ListNumber"/>
      </w:pPr>
      <w:r>
        <w:t xml:space="preserve">Para cartões, usa nomes consistentes tipo </w:t>
      </w:r>
      <w:r>
        <w:rPr>
          <w:b/>
        </w:rPr>
        <w:t>`Cartão X — Tipo`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