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Lançar gastos com pessoal (salários) via fatura de fornecedor (HMD)</w:t>
      </w:r>
    </w:p>
    <w:p>
      <w:pPr>
        <w:ind w:left="432"/>
      </w:pPr>
      <w:r>
        <w:rPr>
          <w:i/>
          <w:color w:val="44546A"/>
        </w:rPr>
        <w:t xml:space="preserve">Como registar no Odoo um gasto que </w:t>
      </w:r>
      <w:r>
        <w:rPr>
          <w:b/>
          <w:i/>
          <w:color w:val="44546A"/>
        </w:rPr>
        <w:t>não tem produto de catálogo</w:t>
      </w:r>
      <w:r>
        <w:rPr>
          <w:i/>
          <w:color w:val="44546A"/>
        </w:rPr>
        <w:t xml:space="preserve"> — caso típico:</w:t>
      </w:r>
    </w:p>
    <w:p>
      <w:pPr>
        <w:ind w:left="432"/>
      </w:pPr>
      <w:r>
        <w:rPr>
          <w:b/>
          <w:i/>
          <w:color w:val="44546A"/>
        </w:rPr>
        <w:t>salários / gastos com pessoal</w:t>
      </w:r>
      <w:r>
        <w:rPr>
          <w:i/>
          <w:color w:val="44546A"/>
        </w:rPr>
        <w:t xml:space="preserve"> — através de uma **fatura de fornecedor com</w:t>
      </w:r>
    </w:p>
    <w:p>
      <w:pPr>
        <w:ind w:left="432"/>
      </w:pPr>
      <w:r>
        <w:rPr>
          <w:i/>
          <w:color w:val="44546A"/>
        </w:rPr>
        <w:t>uma linha sem produto**, lançando diretamente o valor.</w:t>
      </w:r>
    </w:p>
    <w:p>
      <w:pPr>
        <w:ind w:left="432"/>
      </w:pPr>
      <w:r>
        <w:rPr>
          <w:i/>
          <w:color w:val="44546A"/>
        </w:rPr>
        <w:t>Serve também de guião para o vídeo curto HMD-specific.</w:t>
      </w:r>
    </w:p>
    <w:p>
      <w:r>
        <w:rPr>
          <w:b/>
          <w:color w:val="2F5496"/>
          <w:sz w:val="30"/>
        </w:rPr>
        <w:t>Quando usar</w:t>
      </w:r>
    </w:p>
    <w:p>
      <w:r>
        <w:t>Sempre que precisas de registar um custo para o qual **não faz sentido criar um</w:t>
      </w:r>
    </w:p>
    <w:p>
      <w:r>
        <w:t>produto</w:t>
      </w:r>
      <w:r>
        <w:rPr>
          <w:b/>
        </w:rPr>
        <w:t xml:space="preserve"> (é só um valor a lançar). O exemplo principal é o </w:t>
      </w:r>
      <w:r>
        <w:t>salário**, mas a</w:t>
      </w:r>
    </w:p>
    <w:p>
      <w:r>
        <w:t>mesma técnica serve para outros gastos sem produto de catálogo.</w:t>
      </w:r>
    </w:p>
    <w:p>
      <w:pPr>
        <w:ind w:left="432"/>
      </w:pPr>
      <w:r>
        <w:rPr>
          <w:i/>
          <w:color w:val="44546A"/>
        </w:rPr>
        <w:t xml:space="preserve">A conta contabilística e o contacto necessários </w:t>
      </w:r>
      <w:r>
        <w:rPr>
          <w:b/>
          <w:i/>
          <w:color w:val="44546A"/>
        </w:rPr>
        <w:t>já estão criados</w:t>
      </w:r>
      <w:r>
        <w:rPr>
          <w:i/>
          <w:color w:val="44546A"/>
        </w:rPr>
        <w:t xml:space="preserve"> — este</w:t>
      </w:r>
    </w:p>
    <w:p>
      <w:pPr>
        <w:ind w:left="432"/>
      </w:pPr>
      <w:r>
        <w:rPr>
          <w:i/>
          <w:color w:val="44546A"/>
        </w:rPr>
        <w:t>guia foca-se no lançamento.</w:t>
      </w:r>
    </w:p>
    <w:p/>
    <w:p>
      <w:r>
        <w:rPr>
          <w:b/>
          <w:color w:val="2F5496"/>
          <w:sz w:val="30"/>
        </w:rPr>
        <w:t>Passo 1 — Abrir uma nova fatura de fornecedor</w:t>
      </w:r>
    </w:p>
    <w:p>
      <w:pPr>
        <w:pStyle w:val="ListNumber"/>
      </w:pPr>
      <w:r>
        <w:t xml:space="preserve">Vai a </w:t>
      </w:r>
      <w:r>
        <w:rPr>
          <w:b/>
        </w:rPr>
        <w:t>Contabilidade → Fornecedores → Faturas</w:t>
      </w:r>
      <w:r>
        <w:t xml:space="preserve"> → </w:t>
      </w:r>
      <w:r>
        <w:rPr>
          <w:b/>
        </w:rPr>
        <w:t>Novo</w:t>
      </w:r>
      <w:r>
        <w:t>.</w:t>
      </w:r>
    </w:p>
    <w:p>
      <w:pPr>
        <w:pStyle w:val="ListNumber"/>
      </w:pPr>
      <w:r>
        <w:t xml:space="preserve">No </w:t>
      </w:r>
      <w:r>
        <w:rPr>
          <w:b/>
        </w:rPr>
        <w:t>Fornecedor</w:t>
      </w:r>
      <w:r>
        <w:t xml:space="preserve">, escolhe o contacto da </w:t>
      </w:r>
      <w:r>
        <w:rPr>
          <w:b/>
        </w:rPr>
        <w:t>Autoridade Tributária (AT)</w:t>
      </w:r>
      <w:r>
        <w:t>.</w:t>
      </w:r>
    </w:p>
    <w:p>
      <w:pPr>
        <w:pStyle w:val="ListNumber"/>
      </w:pPr>
      <w:r>
        <w:t xml:space="preserve">Confirma a </w:t>
      </w:r>
      <w:r>
        <w:rPr>
          <w:b/>
        </w:rPr>
        <w:t>data da fatura</w:t>
      </w:r>
      <w:r>
        <w:t xml:space="preserve"> (e o vencimento, se aplicável).</w:t>
      </w:r>
    </w:p>
    <w:p/>
    <w:p>
      <w:r>
        <w:rPr>
          <w:b/>
          <w:color w:val="2F5496"/>
          <w:sz w:val="30"/>
        </w:rPr>
        <w:t>Passo 2 — Adicionar a linha SEM produto (o ponto-chave)</w:t>
      </w:r>
    </w:p>
    <w:p>
      <w:r>
        <w:t xml:space="preserve">No separador </w:t>
      </w:r>
      <w:r>
        <w:rPr>
          <w:b/>
        </w:rPr>
        <w:t>Linhas da fatura</w:t>
      </w:r>
      <w:r>
        <w:t xml:space="preserve">, carrega em </w:t>
      </w:r>
      <w:r>
        <w:rPr>
          <w:b/>
        </w:rPr>
        <w:t>Adicionar uma linha</w:t>
      </w:r>
      <w:r>
        <w:t xml:space="preserve"> e preenche</w:t>
      </w:r>
    </w:p>
    <w:p>
      <w:r>
        <w:rPr>
          <w:b/>
        </w:rPr>
        <w:t>sem escolher produto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 que pôr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deixar vazio</w:t>
            </w:r>
            <w:r>
              <w:t xml:space="preserve"> ← é isto que distingue este lançamento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Etiqueta / Descrição</w:t>
            </w:r>
          </w:p>
        </w:tc>
        <w:tc>
          <w:tcPr>
            <w:tcW w:type="dxa" w:w="4320"/>
          </w:tcPr>
          <w:p>
            <w:r/>
            <w:r>
              <w:t xml:space="preserve">ex.: </w:t>
            </w:r>
            <w:r>
              <w:rPr>
                <w:rFonts w:ascii="Consolas" w:hAnsi="Consolas"/>
                <w:color w:val="B5360A"/>
                <w:sz w:val="19"/>
              </w:rPr>
              <w:t>Salário — João Silva — Junho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Conta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conta de gastos com pessoal já criada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Quantidade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Preço unitário</w:t>
            </w:r>
          </w:p>
        </w:tc>
        <w:tc>
          <w:tcPr>
            <w:tcW w:type="dxa" w:w="4320"/>
          </w:tcPr>
          <w:p>
            <w:r/>
            <w:r>
              <w:t xml:space="preserve">o </w:t>
            </w:r>
            <w:r>
              <w:rPr>
                <w:b/>
              </w:rPr>
              <w:t>valor a lançar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Impostos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com ou sem imposto, conforme o caso</w:t>
            </w:r>
            <w:r>
              <w:t xml:space="preserve"> (ver nota abaixo)</w:t>
            </w:r>
          </w:p>
        </w:tc>
      </w:tr>
    </w:tbl>
    <w:p/>
    <w:p>
      <w:pPr>
        <w:ind w:left="432"/>
      </w:pPr>
      <w:r>
        <w:rPr>
          <w:i/>
          <w:color w:val="44546A"/>
        </w:rPr>
        <w:t xml:space="preserve">O segredo é </w:t>
      </w:r>
      <w:r>
        <w:rPr>
          <w:b/>
          <w:i/>
          <w:color w:val="44546A"/>
        </w:rPr>
        <w:t>não pôr produto</w:t>
      </w:r>
      <w:r>
        <w:rPr>
          <w:i/>
          <w:color w:val="44546A"/>
        </w:rPr>
        <w:t>: a linha fica a ser só "valor contra conta", que</w:t>
      </w:r>
    </w:p>
    <w:p>
      <w:pPr>
        <w:ind w:left="432"/>
      </w:pPr>
      <w:r>
        <w:rPr>
          <w:i/>
          <w:color w:val="44546A"/>
        </w:rPr>
        <w:t>é exatamente o que queremos.</w:t>
      </w:r>
    </w:p>
    <w:p>
      <w:r>
        <w:rPr>
          <w:b/>
        </w:rPr>
        <w:t>Sobre o imposto:</w:t>
      </w:r>
      <w:r>
        <w:t xml:space="preserve"> o campo de impostos da linha é opcional.</w:t>
      </w:r>
    </w:p>
    <w:p>
      <w:pPr>
        <w:pStyle w:val="ListBullet"/>
      </w:pPr>
      <w:r>
        <w:rPr>
          <w:b/>
        </w:rPr>
        <w:t>Sem imposto</w:t>
      </w:r>
      <w:r>
        <w:t xml:space="preserve"> — para valores que não têm IVA associado (ex.: o salário em si).</w:t>
      </w:r>
    </w:p>
    <w:p>
      <w:pPr>
        <w:pStyle w:val="ListBullet"/>
      </w:pPr>
      <w:r>
        <w:rPr>
          <w:b/>
        </w:rPr>
        <w:t>Com imposto</w:t>
      </w:r>
      <w:r>
        <w:t xml:space="preserve"> — quando o lançamento tem uma componente de imposto a refletir.</w:t>
      </w:r>
    </w:p>
    <w:p>
      <w:r>
        <w:t>Define com a contabilidade qual o caso de cada tipo de lançamento e aplica sempre</w:t>
      </w:r>
    </w:p>
    <w:p>
      <w:r>
        <w:t>da mesma forma.</w:t>
      </w:r>
    </w:p>
    <w:p/>
    <w:p>
      <w:r>
        <w:rPr>
          <w:b/>
          <w:color w:val="2F5496"/>
          <w:sz w:val="30"/>
        </w:rPr>
        <w:t>Passo 3 — Confirmar e pagar</w:t>
      </w:r>
    </w:p>
    <w:p>
      <w:pPr>
        <w:pStyle w:val="ListNumber"/>
      </w:pPr>
      <w:r>
        <w:t>Revê o total (deve corresponder ao valor pretendido).</w:t>
      </w:r>
    </w:p>
    <w:p>
      <w:pPr>
        <w:pStyle w:val="ListNumber"/>
      </w:pPr>
      <w:r>
        <w:t xml:space="preserve">Carrega em </w:t>
      </w:r>
      <w:r>
        <w:rPr>
          <w:b/>
        </w:rPr>
        <w:t>Confirmar</w:t>
      </w:r>
      <w:r>
        <w:t xml:space="preserve"> para validar a fatura.</w:t>
      </w:r>
    </w:p>
    <w:p>
      <w:pPr>
        <w:pStyle w:val="ListNumber"/>
      </w:pPr>
      <w:r>
        <w:t xml:space="preserve">Quando for pago, usa </w:t>
      </w:r>
      <w:r>
        <w:rPr>
          <w:b/>
        </w:rPr>
        <w:t>Registar pagamento</w:t>
      </w:r>
      <w:r>
        <w:t xml:space="preserve"> e escolhe o </w:t>
      </w:r>
      <w:r>
        <w:rPr>
          <w:b/>
        </w:rPr>
        <w:t>banco</w:t>
      </w:r>
      <w:r>
        <w:t xml:space="preserve"> de onde sai</w:t>
      </w:r>
    </w:p>
    <w:p>
      <w:r>
        <w:t xml:space="preserve">   o dinheiro.</w:t>
      </w:r>
    </w:p>
    <w:p/>
    <w:p>
      <w:r>
        <w:rPr>
          <w:b/>
          <w:color w:val="2F5496"/>
          <w:sz w:val="30"/>
        </w:rPr>
        <w:t>Verificação final</w:t>
      </w:r>
    </w:p>
    <w:p>
      <w:pPr>
        <w:pStyle w:val="ListBullet"/>
      </w:pPr>
      <w:r>
        <w:t xml:space="preserve">A fatura fica </w:t>
      </w:r>
      <w:r>
        <w:rPr>
          <w:b/>
        </w:rPr>
        <w:t>Publicada</w:t>
      </w:r>
      <w:r>
        <w:t xml:space="preserve"> e o valor lança na </w:t>
      </w:r>
      <w:r>
        <w:rPr>
          <w:b/>
        </w:rPr>
        <w:t>conta de gastos com pessoal</w:t>
      </w:r>
      <w:r>
        <w:t>.</w:t>
      </w:r>
    </w:p>
    <w:p>
      <w:pPr>
        <w:pStyle w:val="ListBullet"/>
      </w:pPr>
      <w:r>
        <w:t xml:space="preserve">O </w:t>
      </w:r>
      <w:r>
        <w:rPr>
          <w:b/>
        </w:rPr>
        <w:t>pagamento</w:t>
      </w:r>
      <w:r>
        <w:t xml:space="preserve"> concilia com o movimento de banco.</w:t>
      </w:r>
    </w:p>
    <w:p>
      <w:pPr>
        <w:pStyle w:val="ListBullet"/>
      </w:pPr>
      <w:r>
        <w:t>O histórico do contacto (AT) mostra os lançamentos.</w:t>
      </w:r>
    </w:p>
    <w:p/>
    <w:p>
      <w:r>
        <w:rPr>
          <w:b/>
          <w:color w:val="2F5496"/>
          <w:sz w:val="30"/>
        </w:rPr>
        <w:t>Resumo em 3 linhas</w:t>
      </w:r>
    </w:p>
    <w:p>
      <w:pPr>
        <w:pStyle w:val="ListNumber"/>
      </w:pPr>
      <w:r>
        <w:rPr>
          <w:b/>
        </w:rPr>
        <w:t>Fatura de fornecedor → Novo</w:t>
      </w:r>
      <w:r>
        <w:t xml:space="preserve">, escolher o contacto da </w:t>
      </w:r>
      <w:r>
        <w:rPr>
          <w:b/>
        </w:rPr>
        <w:t>AT</w:t>
      </w:r>
      <w:r>
        <w:t xml:space="preserve"> e a data.</w:t>
      </w:r>
    </w:p>
    <w:p>
      <w:pPr>
        <w:pStyle w:val="ListNumber"/>
      </w:pPr>
      <w:r>
        <w:rPr>
          <w:b/>
        </w:rPr>
        <w:t>Linha sem produto</w:t>
      </w:r>
      <w:r>
        <w:t>: descrição + conta de pessoal + valor (com ou sem imposto,</w:t>
      </w:r>
    </w:p>
    <w:p>
      <w:r>
        <w:t xml:space="preserve">   conforme o caso).</w:t>
      </w:r>
    </w:p>
    <w:p>
      <w:pPr>
        <w:pStyle w:val="ListNumber"/>
      </w:pPr>
      <w:r>
        <w:rPr>
          <w:b/>
        </w:rPr>
        <w:t>Confirmar</w:t>
      </w:r>
      <w:r>
        <w:t xml:space="preserve"> e </w:t>
      </w:r>
      <w:r>
        <w:rPr>
          <w:b/>
        </w:rPr>
        <w:t>Registar pagamento</w:t>
      </w:r>
      <w:r>
        <w:t xml:space="preserve"> quando pago.</w:t>
      </w:r>
    </w:p>
    <w:p/>
    <w:p>
      <w:r>
        <w:rPr>
          <w:b/>
          <w:color w:val="44546A"/>
          <w:sz w:val="25"/>
        </w:rPr>
        <w:t>Nota interna (Parâmetro, não para o cliente)</w:t>
      </w:r>
    </w:p>
    <w:p>
      <w:r>
        <w:t>Método simplificado (fatura de fornecedor sem produto) escolhido pela HMD para</w:t>
      </w:r>
    </w:p>
    <w:p>
      <w:r>
        <w:t>lançar gastos com pessoal sem usar o módulo de Processamento Salarial</w:t>
      </w:r>
    </w:p>
    <w:p>
      <w:r>
        <w:t>(</w:t>
      </w:r>
      <w:r>
        <w:rPr>
          <w:rFonts w:ascii="Consolas" w:hAnsi="Consolas"/>
          <w:color w:val="B5360A"/>
          <w:sz w:val="19"/>
        </w:rPr>
        <w:t>hr_payroll</w:t>
      </w:r>
      <w:r>
        <w:t>). Decisão do cliente — documentar como está. A linha sem produto é</w:t>
      </w:r>
    </w:p>
    <w:p>
      <w:r>
        <w:t>suportada em standard (</w:t>
      </w:r>
      <w:r>
        <w:rPr>
          <w:rFonts w:ascii="Consolas" w:hAnsi="Consolas"/>
          <w:color w:val="B5360A"/>
          <w:sz w:val="19"/>
        </w:rPr>
        <w:t>account.move.line</w:t>
      </w:r>
      <w:r>
        <w:t xml:space="preserve"> sem </w:t>
      </w:r>
      <w:r>
        <w:rPr>
          <w:rFonts w:ascii="Consolas" w:hAnsi="Consolas"/>
          <w:color w:val="B5360A"/>
          <w:sz w:val="19"/>
        </w:rPr>
        <w:t>product_id</w:t>
      </w:r>
      <w:r>
        <w:t xml:space="preserve">, com </w:t>
      </w:r>
      <w:r>
        <w:rPr>
          <w:rFonts w:ascii="Consolas" w:hAnsi="Consolas"/>
          <w:color w:val="B5360A"/>
          <w:sz w:val="19"/>
        </w:rPr>
        <w:t>account_id</w:t>
      </w:r>
    </w:p>
    <w:p>
      <w:r>
        <w:t>definido manualmente). Fornecedor usado: contacto da Autoridade Tributária (AT).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