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PLANO DE FORMAÇÃO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Utilizadores Finais — End Users | Fase: Go-Live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Plano operacional para preparar utilizadores finais antes do Go-Live, organizando grupos de formação, conteúdos por sessão, materiais necessários e acompanhamento pós-formação.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do Plano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do projeto, data prevista de Go-Live, SPoC responsável e número total de utilizadores.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407"/>
      </w:tblGrid>
      <w:tr>
        <w:tc>
          <w:tcPr>
            <w:tcW w:type="dxa" w:w="3231"/>
            <w:shd w:fill="EBF7FF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Projeto</w:t>
            </w:r>
          </w:p>
        </w:tc>
        <w:tc>
          <w:tcPr>
            <w:tcW w:type="dxa" w:w="6407"/>
            <w:shd w:fill="EBF7FF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 de Go-Live prevista</w:t>
            </w:r>
          </w:p>
        </w:tc>
        <w:tc>
          <w:tcPr>
            <w:tcW w:type="dxa" w:w="6407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SPoC responsável pela formação</w:t>
            </w:r>
          </w:p>
        </w:tc>
        <w:tc>
          <w:tcPr>
            <w:tcW w:type="dxa" w:w="6407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Número total de utilizadores</w:t>
            </w:r>
          </w:p>
        </w:tc>
        <w:tc>
          <w:tcPr>
            <w:tcW w:type="dxa" w:w="6407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</w:tbl>
    <w:p>
      <w:pPr>
        <w:spacing w:after="40" w:before="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Objetivo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Finalidade da formação e responsabilidade operacional antes da entrada em produção.</w:t>
      </w:r>
    </w:p>
    <w:p>
      <w:pPr>
        <w:spacing w:after="160"/>
        <w:pBdr>
          <w:bottom w:val="single" w:sz="6" w:space="1" w:color="D5E2EE"/>
        </w:pBdr>
      </w:pPr>
    </w:p>
    <w:p>
      <w:pPr>
        <w:spacing w:after="120"/>
      </w:pPr>
      <w:r>
        <w:rPr>
          <w:rFonts w:ascii="Aptos" w:hAnsi="Aptos" w:cs="Aptos"/>
          <w:b w:val="0"/>
          <w:color w:val="1F2937"/>
          <w:sz w:val="18"/>
        </w:rPr>
        <w:t>Este plano garante que todos os utilizadores finais estejam preparados para usar o Odoo no dia do Go-Live. A responsabilidade da formação é do SPoC (com apoio do Project Leader). Ninguém conhece melhor os processos internos do que um colega.</w:t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Grupos de Formação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Planeamento dos grupos ou departamentos a formar, aplicações incluídas, número de utilizadores, datas, formador e sala/link.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2268"/>
        <w:gridCol w:w="1984"/>
        <w:gridCol w:w="1134"/>
        <w:gridCol w:w="1360"/>
        <w:gridCol w:w="1474"/>
        <w:gridCol w:w="963"/>
      </w:tblGrid>
      <w:tr>
        <w:trPr>
          <w:trHeight w:val="351" w:hRule="atLeast"/>
          <w:tblHeader w:val="true"/>
        </w:trPr>
        <w:tc>
          <w:tcPr>
            <w:tcW w:type="dxa" w:w="453"/>
            <w:shd w:fill="EBF7FF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#</w:t>
            </w:r>
          </w:p>
        </w:tc>
        <w:tc>
          <w:tcPr>
            <w:tcW w:type="dxa" w:w="2268"/>
            <w:shd w:fill="EBF7FF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Grupo / Departamento</w:t>
            </w:r>
          </w:p>
        </w:tc>
        <w:tc>
          <w:tcPr>
            <w:tcW w:type="dxa" w:w="1984"/>
            <w:shd w:fill="EBF7FF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Apps a Treinar</w:t>
            </w:r>
          </w:p>
        </w:tc>
        <w:tc>
          <w:tcPr>
            <w:tcW w:type="dxa" w:w="1134"/>
            <w:shd w:fill="EBF7FF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Nº Users</w:t>
            </w:r>
          </w:p>
        </w:tc>
        <w:tc>
          <w:tcPr>
            <w:tcW w:type="dxa" w:w="1360"/>
            <w:shd w:fill="EBF7FF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Data</w:t>
            </w:r>
          </w:p>
        </w:tc>
        <w:tc>
          <w:tcPr>
            <w:tcW w:type="dxa" w:w="1474"/>
            <w:shd w:fill="EBF7FF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Formador</w:t>
            </w:r>
          </w:p>
        </w:tc>
        <w:tc>
          <w:tcPr>
            <w:tcW w:type="dxa" w:w="963"/>
            <w:shd w:fill="EBF7FF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Sala / Link</w:t>
            </w:r>
          </w:p>
        </w:tc>
      </w:tr>
      <w:tr>
        <w:trPr>
          <w:trHeight w:val="328" w:hRule="atLeast"/>
        </w:trPr>
        <w:tc>
          <w:tcPr>
            <w:tcW w:type="dxa" w:w="4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9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</w:tr>
      <w:tr>
        <w:trPr>
          <w:trHeight w:val="328" w:hRule="atLeast"/>
        </w:trPr>
        <w:tc>
          <w:tcPr>
            <w:tcW w:type="dxa" w:w="453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2268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984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134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360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474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963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</w:tr>
      <w:tr>
        <w:trPr>
          <w:trHeight w:val="328" w:hRule="atLeast"/>
        </w:trPr>
        <w:tc>
          <w:tcPr>
            <w:tcW w:type="dxa" w:w="4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9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</w:tr>
      <w:tr>
        <w:trPr>
          <w:trHeight w:val="328" w:hRule="atLeast"/>
        </w:trPr>
        <w:tc>
          <w:tcPr>
            <w:tcW w:type="dxa" w:w="453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2268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984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134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360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474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963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</w:tr>
      <w:tr>
        <w:trPr>
          <w:trHeight w:val="328" w:hRule="atLeast"/>
        </w:trPr>
        <w:tc>
          <w:tcPr>
            <w:tcW w:type="dxa" w:w="4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  <w:tc>
          <w:tcPr>
            <w:tcW w:type="dxa" w:w="9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Conteúdo por Sessão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Sessão Tipo — Estrutura Recomendada (90 min)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7371"/>
      </w:tblGrid>
      <w:tr>
        <w:trPr>
          <w:trHeight w:val="351" w:hRule="atLeast"/>
          <w:tblHeader w:val="true"/>
        </w:trPr>
        <w:tc>
          <w:tcPr>
            <w:tcW w:type="dxa" w:w="680"/>
            <w:shd w:fill="EBF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Bloco</w:t>
            </w:r>
          </w:p>
        </w:tc>
        <w:tc>
          <w:tcPr>
            <w:tcW w:type="dxa" w:w="1587"/>
            <w:shd w:fill="EBF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Duração</w:t>
            </w:r>
          </w:p>
        </w:tc>
        <w:tc>
          <w:tcPr>
            <w:tcW w:type="dxa" w:w="7371"/>
            <w:shd w:fill="EBF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Conteúdo / Atividade</w:t>
            </w:r>
          </w:p>
        </w:tc>
      </w:tr>
      <w:tr>
        <w:trPr>
          <w:trHeight w:val="408" w:hRule="atLeast"/>
        </w:trPr>
        <w:tc>
          <w:tcPr>
            <w:tcW w:type="dxa" w:w="680"/>
            <w:shd w:fill="E9F6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F2937"/>
                <w:sz w:val="17"/>
              </w:rPr>
              <w:t>15 min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Apresentação: o que muda, o que melhora, porquê o Odoo.</w:t>
            </w:r>
          </w:p>
        </w:tc>
      </w:tr>
      <w:tr>
        <w:trPr>
          <w:trHeight w:val="408" w:hRule="atLeast"/>
        </w:trPr>
        <w:tc>
          <w:tcPr>
            <w:tcW w:type="dxa" w:w="680"/>
            <w:shd w:fill="E9F6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587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F2937"/>
                <w:sz w:val="17"/>
              </w:rPr>
              <w:t>20 min</w:t>
            </w:r>
          </w:p>
        </w:tc>
        <w:tc>
          <w:tcPr>
            <w:tcW w:type="dxa" w:w="7371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Demo pelo SPoC dos fluxos principais.</w:t>
            </w:r>
          </w:p>
        </w:tc>
      </w:tr>
      <w:tr>
        <w:trPr>
          <w:trHeight w:val="408" w:hRule="atLeast"/>
        </w:trPr>
        <w:tc>
          <w:tcPr>
            <w:tcW w:type="dxa" w:w="680"/>
            <w:shd w:fill="E9F6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F2937"/>
                <w:sz w:val="17"/>
              </w:rPr>
              <w:t>40 min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Prática guiada: cada utilizador faz os fluxos no seu próprio ecrã.</w:t>
            </w:r>
          </w:p>
        </w:tc>
      </w:tr>
      <w:tr>
        <w:trPr>
          <w:trHeight w:val="408" w:hRule="atLeast"/>
        </w:trPr>
        <w:tc>
          <w:tcPr>
            <w:tcW w:type="dxa" w:w="680"/>
            <w:shd w:fill="E9F6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587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F2937"/>
                <w:sz w:val="17"/>
              </w:rPr>
              <w:t>15 min</w:t>
            </w:r>
          </w:p>
        </w:tc>
        <w:tc>
          <w:tcPr>
            <w:tcW w:type="dxa" w:w="7371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Q&amp;A, casos especiais, próximos passos.</w:t>
            </w:r>
          </w:p>
        </w:tc>
      </w:tr>
    </w:tbl>
    <w:p>
      <w:pPr>
        <w:spacing w:after="40" w:before="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IMPORTANTE - Não é uma conferência — cada utilizador deve praticar com o seu rato e teclado.</w:t>
            </w:r>
          </w:p>
        </w:tc>
      </w:tr>
    </w:tbl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Materiais de Formação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Materiais que devem estar preparados antes das sessões com utilizadores finais.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2268"/>
        <w:gridCol w:w="1701"/>
        <w:gridCol w:w="2211"/>
      </w:tblGrid>
      <w:tr>
        <w:trPr>
          <w:trHeight w:val="351" w:hRule="atLeast"/>
          <w:tblHeader w:val="true"/>
        </w:trPr>
        <w:tc>
          <w:tcPr>
            <w:tcW w:type="dxa" w:w="3458"/>
            <w:shd w:fill="EBF7FF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Material</w:t>
            </w:r>
          </w:p>
        </w:tc>
        <w:tc>
          <w:tcPr>
            <w:tcW w:type="dxa" w:w="2268"/>
            <w:shd w:fill="EBF7FF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Responsável pela Criação</w:t>
            </w:r>
          </w:p>
        </w:tc>
        <w:tc>
          <w:tcPr>
            <w:tcW w:type="dxa" w:w="1701"/>
            <w:shd w:fill="EBF7FF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Formato</w:t>
            </w:r>
          </w:p>
        </w:tc>
        <w:tc>
          <w:tcPr>
            <w:tcW w:type="dxa" w:w="2211"/>
            <w:shd w:fill="EBF7FF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Pronto?</w:t>
            </w:r>
          </w:p>
        </w:tc>
      </w:tr>
      <w:tr>
        <w:trPr>
          <w:trHeight w:val="408" w:hRule="atLeast"/>
        </w:trPr>
        <w:tc>
          <w:tcPr>
            <w:tcW w:type="dxa" w:w="345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User Manual interno (processos da empresa)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SPoC / PL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Word / PDF</w:t>
            </w:r>
          </w:p>
        </w:tc>
        <w:tc>
          <w:tcPr>
            <w:tcW w:type="dxa" w:w="2211"/>
            <w:shd w:fill="F5F9FC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Sim  [ ] Não</w:t>
            </w:r>
          </w:p>
        </w:tc>
      </w:tr>
      <w:tr>
        <w:trPr>
          <w:trHeight w:val="408" w:hRule="atLeast"/>
        </w:trPr>
        <w:tc>
          <w:tcPr>
            <w:tcW w:type="dxa" w:w="3458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Guia rápido por perfil de utilizador</w:t>
            </w:r>
          </w:p>
        </w:tc>
        <w:tc>
          <w:tcPr>
            <w:tcW w:type="dxa" w:w="2268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SPoC / PL</w:t>
            </w:r>
          </w:p>
        </w:tc>
        <w:tc>
          <w:tcPr>
            <w:tcW w:type="dxa" w:w="1701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Word / PDF</w:t>
            </w:r>
          </w:p>
        </w:tc>
        <w:tc>
          <w:tcPr>
            <w:tcW w:type="dxa" w:w="2211"/>
            <w:shd w:fill="F5F9FC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Sim  [ ] Não</w:t>
            </w:r>
          </w:p>
        </w:tc>
      </w:tr>
      <w:tr>
        <w:trPr>
          <w:trHeight w:val="408" w:hRule="atLeast"/>
        </w:trPr>
        <w:tc>
          <w:tcPr>
            <w:tcW w:type="dxa" w:w="345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FAQ — perguntas frequentes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SPoC / PL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Word / PDF</w:t>
            </w:r>
          </w:p>
        </w:tc>
        <w:tc>
          <w:tcPr>
            <w:tcW w:type="dxa" w:w="2211"/>
            <w:shd w:fill="F5F9FC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Sim  [ ] Não</w:t>
            </w:r>
          </w:p>
        </w:tc>
      </w:tr>
      <w:tr>
        <w:trPr>
          <w:trHeight w:val="408" w:hRule="atLeast"/>
        </w:trPr>
        <w:tc>
          <w:tcPr>
            <w:tcW w:type="dxa" w:w="3458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Gravação de vídeo dos fluxos principais</w:t>
            </w:r>
          </w:p>
        </w:tc>
        <w:tc>
          <w:tcPr>
            <w:tcW w:type="dxa" w:w="2268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SPoC / PL</w:t>
            </w:r>
          </w:p>
        </w:tc>
        <w:tc>
          <w:tcPr>
            <w:tcW w:type="dxa" w:w="1701"/>
            <w:shd w:fill="F7FBFE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Word / PDF</w:t>
            </w:r>
          </w:p>
        </w:tc>
        <w:tc>
          <w:tcPr>
            <w:tcW w:type="dxa" w:w="2211"/>
            <w:shd w:fill="F5F9FC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Sim  [ ] Não</w:t>
            </w:r>
          </w:p>
        </w:tc>
      </w:tr>
      <w:tr>
        <w:trPr>
          <w:trHeight w:val="408" w:hRule="atLeast"/>
        </w:trPr>
        <w:tc>
          <w:tcPr>
            <w:tcW w:type="dxa" w:w="345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Credenciais e acessos (por utilizador)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SPoC / PL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Word / PDF</w:t>
            </w:r>
          </w:p>
        </w:tc>
        <w:tc>
          <w:tcPr>
            <w:tcW w:type="dxa" w:w="2211"/>
            <w:shd w:fill="F5F9FC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Sim  [ ] Não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Acompanhamento Pós-Formação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Ações de acompanhamento para garantir adoção real no Go-Live e nos primeiros dias de utilização.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rHeight w:val="351" w:hRule="atLeast"/>
          <w:tblHeader w:val="true"/>
        </w:trPr>
        <w:tc>
          <w:tcPr>
            <w:tcW w:type="dxa" w:w="2381"/>
            <w:shd w:fill="EBF7FF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Momento</w:t>
            </w:r>
          </w:p>
        </w:tc>
        <w:tc>
          <w:tcPr>
            <w:tcW w:type="dxa" w:w="7257"/>
            <w:shd w:fill="EBF7FF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Ação de acompanhamento</w:t>
            </w:r>
          </w:p>
        </w:tc>
      </w:tr>
      <w:tr>
        <w:trPr>
          <w:trHeight w:val="464" w:hRule="atLeast"/>
        </w:trPr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No dia do Go-Live</w:t>
            </w:r>
          </w:p>
        </w:tc>
        <w:tc>
          <w:tcPr>
            <w:tcW w:type="dxa" w:w="72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SPoC (e PL, se possível) presente presencialmente ou disponível por chat.</w:t>
            </w:r>
          </w:p>
        </w:tc>
      </w:tr>
      <w:tr>
        <w:trPr>
          <w:trHeight w:val="464" w:hRule="atLeast"/>
        </w:trPr>
        <w:tc>
          <w:tcPr>
            <w:tcW w:type="dxa" w:w="2381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Nos primeiros 3-5 dias</w:t>
            </w:r>
          </w:p>
        </w:tc>
        <w:tc>
          <w:tcPr>
            <w:tcW w:type="dxa" w:w="7257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verificar que os utilizadores estão realmente a usar o Odoo (não o sistema antigo!).</w:t>
            </w:r>
          </w:p>
        </w:tc>
      </w:tr>
      <w:tr>
        <w:trPr>
          <w:trHeight w:val="464" w:hRule="atLeast"/>
        </w:trPr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Após 1 semana</w:t>
            </w:r>
          </w:p>
        </w:tc>
        <w:tc>
          <w:tcPr>
            <w:tcW w:type="dxa" w:w="72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sessão de Q&amp;A para recolher dúvidas e dificuldades.</w:t>
            </w:r>
          </w:p>
        </w:tc>
      </w:tr>
      <w:tr>
        <w:trPr>
          <w:trHeight w:val="464" w:hRule="atLeast"/>
        </w:trPr>
        <w:tc>
          <w:tcPr>
            <w:tcW w:type="dxa" w:w="2381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Registo de issues</w:t>
            </w:r>
          </w:p>
        </w:tc>
        <w:tc>
          <w:tcPr>
            <w:tcW w:type="dxa" w:w="7257"/>
            <w:shd w:fill="F7FBFE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todos os problemas reportados entram no Bug Report.</w:t>
            </w:r>
          </w:p>
        </w:tc>
      </w:tr>
    </w:tbl>
    <w:p>
      <w:pPr>
        <w:spacing w:after="40" w:before="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Regra operacional: durante o Go-Live, qualquer problema reportado deve ser registado no Bug Report com responsável, prioridade e estado de resolução.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Go-Live Training Plan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FORMAÇÃO</dc:title>
  <dc:subject>Odoo Implementation - Go-Live Training Plan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