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4"/>
        </w:rPr>
        <w:t>AI 辅助单细胞多组学分析平台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5A94"/>
          <w:sz w:val="40"/>
        </w:rPr>
        <w:t>完整建设方案与技术实施路线</w:t>
      </w:r>
    </w:p>
    <w:p>
      <w:pPr>
        <w:jc w:val="center"/>
      </w:pPr>
      <w:r>
        <w:rPr>
          <w:rFonts w:ascii="Noto Sans CJK SC" w:hAnsi="Noto Sans CJK SC" w:eastAsia="Noto Sans CJK SC"/>
          <w:color w:val="5B6573"/>
          <w:sz w:val="22"/>
        </w:rPr>
        <w:t>服务团队场景｜特殊细胞优先｜多组学扩展｜混合部署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994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方案摘要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建设一套以“证据驱动的特殊细胞发现”为核心能力的分析平台。AI 负责理解项目、检索证据、提出方案并组织工具；确定性生物信息学工具负责计算；独立验证层负责质量门禁；领域专家对高风险科学结论进行审核。采用本地数据面与云端受控控制面相结合的部署模式。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CJK SC" w:hAnsi="Noto Sans CJK SC" w:eastAsia="Noto Sans CJK SC"/>
          <w:color w:val="5B6573"/>
          <w:sz w:val="18"/>
        </w:rPr>
        <w:t>版本：V1.0  |  编制日期：2026 年 10 月 19 日</w:t>
      </w:r>
    </w:p>
    <w:p>
      <w:pPr>
        <w:jc w:val="center"/>
      </w:pPr>
      <w:r>
        <w:rPr>
          <w:rFonts w:ascii="Noto Sans CJK SC" w:hAnsi="Noto Sans CJK SC" w:eastAsia="Noto Sans CJK SC"/>
          <w:color w:val="5B6573"/>
          <w:sz w:val="18"/>
        </w:rPr>
        <w:t>用途：内部立项讨论、产品设计、工程实施与技术评审</w:t>
      </w:r>
    </w:p>
    <w:p>
      <w:r>
        <w:br w:type="page"/>
      </w:r>
    </w:p>
    <w:p>
      <w:pPr>
        <w:pStyle w:val="Heading1"/>
      </w:pPr>
      <w:r>
        <w:t>目录与阅读说明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1. 执行摘要与建设目标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2. 产品定位、用户与范围边界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3. 总体架构与关键设计原则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4. 技术选型与部署拓扑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5. 数据模型与接口契约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6. 专业知识库与证据管理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7. 特殊细胞发现与注释工作流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8. 多组学模态适配策略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9. Agent 编排与 API 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10. 验证体系与质量门禁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11. 混合部署、安全与合规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12. 分阶段开发路线与验收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13. 团队分工、运维与风险管理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14. 首期 MVP 清单与建议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附录 A. 核心 JSON 契约示例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附录 B. 技术参考资料</w:t>
      </w:r>
    </w:p>
    <w:p>
      <w:pPr/>
      <w:r>
        <w:rPr>
          <w:rFonts w:ascii="Noto Sans CJK SC" w:hAnsi="Noto Sans CJK SC" w:eastAsia="Noto Sans CJK SC"/>
          <w:i w:val="0"/>
        </w:rPr>
        <w:t>本文面向服务团队的内部建设，目标是将此前的架构建议、技术选择、数据模型、智能体流程、验证要求和开发路线整合为一份可评审、可拆分任务、可形成验收标准的方案。具体软件版本应在项目启动时以官方发行说明为准，并通过锁定依赖与容器镜像摘要保证可追溯。</w:t>
      </w:r>
    </w:p>
    <w:p>
      <w:pPr>
        <w:pStyle w:val="Heading1"/>
      </w:pPr>
      <w:r>
        <w:t>1. 执行摘要与建设目标</w:t>
      </w:r>
    </w:p>
    <w:p>
      <w:pPr>
        <w:pStyle w:val="Heading2"/>
      </w:pPr>
      <w:r>
        <w:t>1.1 建设背景</w:t>
      </w:r>
    </w:p>
    <w:p>
      <w:r>
        <w:rPr>
          <w:rFonts w:ascii="Noto Sans CJK SC" w:hAnsi="Noto Sans CJK SC" w:eastAsia="Noto Sans CJK SC"/>
          <w:i w:val="0"/>
        </w:rPr>
        <w:t>单细胞分析并不存在适用于所有项目的唯一流程。不同组织、物种、疾病背景、实验平台、样本设计和稀有细胞群都会改变质控、整合、注释及统计分析的合理选择。自动化脚本擅长重复执行步骤，但通常缺少基于项目背景的决策能力；通用大模型可以解释和编写代码，却可能产生无依据的注释、错误调用工具或把不确定结论包装成确定答案。</w:t>
      </w:r>
    </w:p>
    <w:p>
      <w:r>
        <w:rPr>
          <w:rFonts w:ascii="Noto Sans CJK SC" w:hAnsi="Noto Sans CJK SC" w:eastAsia="Noto Sans CJK SC"/>
          <w:i w:val="0"/>
        </w:rPr>
        <w:t>平台的目标不是让大模型替代专家完成所有科学判断，而是把专家常用的分析决策、证据检索、方案比较、质量控制和失败复盘转化为可重用的系统能力。</w:t>
      </w:r>
    </w:p>
    <w:p>
      <w:pPr>
        <w:pStyle w:val="Heading2"/>
      </w:pPr>
      <w:r>
        <w:t>1.2 总体目标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建立服务团队统一的项目管理、数据接入、任务编排、结果审查和交付平台。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以特殊细胞群发现为核心能力：识别低置信度、参考映射冲突、潜在稀有亚群及跨模态证据不一致的候选。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让每项重要注释都具备证据卡、数据来源、方法版本、反对证据和审核状态。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支持 scRNA-seq 起步，并通过模态适配器逐步扩展 RNA+ATAC、CITE-seq、空间组学和 VDJ。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采用混合部署，敏感项目数据默认留在受控本地或客户内网，外部模型调用必须经策略网关批准。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通过历史项目基准和独立测试，量化质量提升、分析耗时、返工率与专家复核成本。</w:t>
      </w:r>
    </w:p>
    <w:p>
      <w:pPr>
        <w:pStyle w:val="Heading2"/>
      </w:pPr>
      <w:r>
        <w:t>1.3 产品定位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994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定位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面向生物信息学服务团队的 AI 分析决策与执行工作台：将项目背景、成熟分析工具、公开参考资源和经专家审核的历史案例连接起来，重点提升特殊细胞问题的可解释性、可追溯性与分析效率。</w:t>
            </w:r>
          </w:p>
        </w:tc>
      </w:tr>
    </w:tbl>
    <w:p>
      <w:pPr>
        <w:spacing w:after="20"/>
      </w:pPr>
    </w:p>
    <w:p>
      <w:pPr>
        <w:pStyle w:val="Heading2"/>
      </w:pPr>
      <w:r>
        <w:t>1.4 成功原则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证据优先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模型输出必须与真实计算结果、参考数据库或可定位的文献证据建立关联。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允许未知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系统允许输出未知群体、暂定标签或证据不足，不强迫所有细胞获得精细标签。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人机协作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对稀有细胞定义、分组比较、重大参数变更和外部数据流转设置审批门禁。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工具可审计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所有计算通过注册工具执行，记录输入哈希、容器版本、参数、日志和输出资产。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模块化扩展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通过数据契约和模态适配器扩展，不在核心业务逻辑内硬编码单一组学类型。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独立验证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AI 规划与审查不能替代确定性测试、统计诊断和领域专家核验。</w:t>
            </w:r>
          </w:p>
        </w:tc>
      </w:tr>
    </w:tbl>
    <w:p>
      <w:pPr>
        <w:spacing w:after="20"/>
      </w:pPr>
    </w:p>
    <w:p>
      <w:pPr>
        <w:pStyle w:val="Heading1"/>
      </w:pPr>
      <w:r>
        <w:t>2. 产品定位、用户与范围边界</w:t>
      </w:r>
    </w:p>
    <w:p>
      <w:pPr>
        <w:pStyle w:val="Heading2"/>
      </w:pPr>
      <w:r>
        <w:t>2.1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主要需求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主要权限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项目分析人员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创建项目、检查输入、启动分析、查看细胞证据和处理异常。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可访问授权项目数据；运行已批准计划。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项目负责人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确定研究目标、审核方案、确认结论与报告。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审批分析计划、结果注释和项目发布。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领域专家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裁定特殊细胞候选、解决证据冲突、审核知识库案例。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可复核并修订候选标签；批准案例入库。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平台管理员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管理资源、工具注册表、模型网关、用户权限和部署。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按职责管理平台，不默认拥有全部生物学项目访问权限。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客户/委托方（可选）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查看获授权的任务进度、交付报告和已批准结果。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仅查看项目约定范围内的结果。</w:t>
            </w:r>
          </w:p>
        </w:tc>
      </w:tr>
    </w:tbl>
    <w:p>
      <w:pPr>
        <w:spacing w:after="20"/>
      </w:pPr>
    </w:p>
    <w:p>
      <w:pPr>
        <w:pStyle w:val="Heading2"/>
      </w:pPr>
      <w:r>
        <w:t>2.2 首期纳入范围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输入数据：标准表达矩阵、AnnData/h5ad；样本与实验设计元数据；配对 RNA+ATAC 标准化输入。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基础分析：输入预检、质控、归一化、特征选择、降维、聚类、Marker 分析、基础参考映射。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特殊细胞模式：候选群筛选、竞争性解释、正反证据、伪影排查、局部重聚类、人工审核。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多组学首期能力：统一存储和运行契约；对配对 RNA+ATAC 提供可选联合建模路线。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交付物：分析计划、代码/运行清单、关键表格和图、细胞证据卡、风险提示、审核后报告。</w:t>
      </w:r>
    </w:p>
    <w:p>
      <w:pPr>
        <w:pStyle w:val="Heading2"/>
      </w:pPr>
      <w:r>
        <w:t>2.3 首期不做或延后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不在首期训练从头构建的细胞基础模型；不把微调大模型作为平台成立的前置条件。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不首批完整支持所有单细胞技术。CITE-seq、空间、VDJ、甲基化等逐步纳入。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不允许大模型自由生成任意 Shell 并直接在生产计算节点执行。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不承诺自动发现的候选细胞一定属于全新生物学类型；“新颖性”必须经参考覆盖、技术伪影和专家证据共同评估。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不把模型置信分、文献数量或多个模型投票直接等同于科学可信度。</w:t>
      </w:r>
    </w:p>
    <w:p>
      <w:pPr>
        <w:pStyle w:val="Heading1"/>
      </w:pPr>
      <w:r>
        <w:t>3. 总体架构与关键设计原则</w:t>
      </w:r>
    </w:p>
    <w:p>
      <w:pPr>
        <w:pStyle w:val="Heading2"/>
      </w:pPr>
      <w:r>
        <w:t>3.1 分层架构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核心组件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职责与边界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A. 项目工作台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Web 前端、项目页、数据注册、审批与报告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承载交互和人工决策；不执行生物信息学计算。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B. AI 决策层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项目分析师、规划器、知识检索、特殊细胞研究员、结果审查员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提出方案、检索证据、组织工具调用；输出必须通过 Schema 校验。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C. 分析执行层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工具注册表、模态适配器、Nextflow 工作流、容器执行器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运行确定性分析工具；在隔离环境中执行并保存完整 provenance。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D. 验证与治理层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数据校验、统计门禁、结果稳健性、审批、权限与审计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独立检查输入输出、统计前提、来源和安全策略；可阻止任务继续。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E. 数据与知识层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PostgreSQL、对象存储、文献库、案例库、本体、模型注册表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存放可追溯的数据资产和知识；项目数据、公开知识与运行日志分权管理。</w:t>
            </w:r>
          </w:p>
        </w:tc>
      </w:tr>
    </w:tbl>
    <w:p>
      <w:pPr>
        <w:spacing w:after="20"/>
      </w:pPr>
    </w:p>
    <w:p>
      <w:pPr>
        <w:pStyle w:val="Heading2"/>
      </w:pPr>
      <w:r>
        <w:t>3.2 建议架构图（逻辑视图）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架构层级</w:t>
            </w:r>
          </w:p>
        </w:tc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核心流程与职责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A｜项目工作台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项目配置、数据注册、任务状态、证据卡、人工审批与报告。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F5F2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0F766E"/>
                <w:sz w:val="16"/>
              </w:rPr>
              <w:t>B｜AI 决策层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项目理解 → 知识检索 → 分析规划 → 特殊细胞假设 → 结果复核。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F5A94"/>
                <w:sz w:val="16"/>
              </w:rPr>
              <w:t>C｜分析执行层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RNA / ATAC / RNA+ATAC / CITE-seq / 空间 / VDJ 工具；通过注册表和工作流引擎执行。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4E5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B45309"/>
                <w:sz w:val="16"/>
              </w:rPr>
              <w:t>D｜验证与治理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数据契约、代码隔离、QC 门禁、统计验证、证据溯源、审批与审计。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0F3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E｜数据与知识底座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原始与派生资产、关系数据库、文献/参考图谱、审核案例、模型和容器注册表。</w:t>
            </w:r>
          </w:p>
        </w:tc>
      </w:tr>
    </w:tbl>
    <w:p/>
    <w:p/>
    <w:p>
      <w:pPr>
        <w:pStyle w:val="Heading2"/>
      </w:pPr>
      <w:r>
        <w:t>3.3 核心边界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AI 决策层不直接修改原始数据；任何变换均产生新的派生资产和运行记录。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分析执行层不根据自然语言自由猜测参数；只接受已注册工具和经 Schema 校验的参数。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结果审查员只能核验与提出修订，不可无痕覆盖工具输出或其他 Agent 的原始结果。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人工修订与自动结果并行保存，保留原值、修订值、修改原因、操作者和时间。</w:t>
      </w:r>
    </w:p>
    <w:p>
      <w:pPr>
        <w:pStyle w:val="Heading1"/>
      </w:pPr>
      <w:r>
        <w:t>4. 技术选型与部署拓扑</w:t>
      </w:r>
    </w:p>
    <w:p>
      <w:pPr>
        <w:pStyle w:val="Heading2"/>
      </w:pPr>
      <w:r>
        <w:t>4.1 推荐技术栈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首选方案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选型理由与注意事项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前端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React/Next.js + TypeScript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构建项目工作台、证据卡、任务状态和审批页面。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业务 API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Python + FastAPI + Pydantic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统一数据契约、输入验证、异步任务创建和 OpenAPI 文档。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工作流编排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状态机/有状态 Agent 框架（如 LangGraph）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管理节点状态、断点恢复、人工审批和失败分支；需避免业务逻辑绑定单一框架。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科学计算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Scanpy、AnnData、scvi-tools、Seurat [1, 2, 11]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使用成熟工具承担表达数据分析；R 流程通过明确的工具接口兼容。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多模态数据结构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MuData [4]；空间数据用 SpatialData [5]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保留各模态原生信息、跨模态关联和空间元素。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计算工作流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Nextflow [3]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负责可复现 DAG、依赖关系、容器、HPC/云任务调度。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元数据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PostgreSQL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保存项目、样本、运行、审批、知识索引元数据和权限关系。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知识检索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PostgreSQL 全文检索 + pgvector；后续按规模扩展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首期满足关键字+语义检索；需保存原始出处与段落位置。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对象存储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MinIO 或兼容 S3 的受控存储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保存原始文件、派生对象、图表、报告和模型制品。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部署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Docker；HPC 可配合 Apptainer/Singularity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固定软件环境；容器镜像必须使用版本标签和 digest。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监控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结构化日志、Prometheus/Grafana 或现有运维栈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监控队列、资源、错误、外部模型调用与任务延迟。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i w:val="0"/>
        </w:rPr>
        <w:t>技术选型原则：优先选择成熟、可复现、已有社区和文档支撑的工具；在真实项目验证前，不采用尚无法解释其结果的专有模型作为唯一分析依据。</w:t>
      </w:r>
    </w:p>
    <w:p>
      <w:pPr>
        <w:pStyle w:val="Heading2"/>
      </w:pPr>
      <w:r>
        <w:t>4.2 混合部署拓扑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部署内容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本地/客户内网数据面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原始数据、表达矩阵、多组学对象、计算容器、私有文献/案例、敏感派生结果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默认本地执行；禁止未经策略批准的外传。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云端控制面（可选）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登录鉴权、任务管理、模型网关、公共知识索引、已批准的统计摘要或报告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仅处理项目策略允许的字段；每次模型调用前执行检查。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连接与策略层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受控 API、任务队列、出站代理、密钥管理、审计日志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数据最小化；按项目和模态设置出站规则；无默认开放网络。</w:t>
            </w:r>
          </w:p>
        </w:tc>
      </w:tr>
    </w:tbl>
    <w:p>
      <w:pPr>
        <w:spacing w:after="20"/>
      </w:pPr>
    </w:p>
    <w:p>
      <w:pPr>
        <w:pStyle w:val="Heading2"/>
      </w:pPr>
      <w:r>
        <w:t>4.3 最小化部署建议</w:t>
      </w:r>
    </w:p>
    <w:p>
      <w:r>
        <w:rPr>
          <w:rFonts w:ascii="Noto Sans CJK SC" w:hAnsi="Noto Sans CJK SC" w:eastAsia="Noto Sans CJK SC"/>
          <w:i w:val="0"/>
        </w:rPr>
        <w:t>1. 原型阶段使用单体 FastAPI + PostgreSQL + 对象存储 + 容器执行器，先把数据契约和完整闭环做扎实。</w:t>
      </w:r>
    </w:p>
    <w:p>
      <w:r>
        <w:rPr>
          <w:rFonts w:ascii="Noto Sans CJK SC" w:hAnsi="Noto Sans CJK SC" w:eastAsia="Noto Sans CJK SC"/>
          <w:i w:val="0"/>
        </w:rPr>
        <w:t>2. 需要并行计算时接入 Nextflow 和现有 HPC 队列；不要为了“微服务化”提前拆分大量服务。</w:t>
      </w:r>
    </w:p>
    <w:p>
      <w:r>
        <w:rPr>
          <w:rFonts w:ascii="Noto Sans CJK SC" w:hAnsi="Noto Sans CJK SC" w:eastAsia="Noto Sans CJK SC"/>
          <w:i w:val="0"/>
        </w:rPr>
        <w:t>3. 当项目和用户规模增长后，再拆分 AI 编排、知识服务、分析任务队列与报告服务。</w:t>
      </w:r>
    </w:p>
    <w:p>
      <w:pPr>
        <w:pStyle w:val="Heading1"/>
      </w:pPr>
      <w:r>
        <w:t>5. 数据模型与接口契约</w:t>
      </w:r>
    </w:p>
    <w:p>
      <w:pPr>
        <w:pStyle w:val="Heading2"/>
      </w:pPr>
      <w:r>
        <w:t>5.1 核心实体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Project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project_id, study_goal, species, privacy_tier, created_by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项目目标、物种、数据策略、负责人。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Sample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sample_id, donor_id, condition, batch_id, replicate_id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样本、供体、条件、批次、生物学重复结构。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Assay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assay_id, modality, platform, genome_build, protocol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检测模态、平台、参考基因组和实验协议。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DataAsset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asset_id, uri, checksum, format, schema_version, parent_asset_id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文件资产、校验和、格式、派生关系。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Cell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cell_id, sample_id, barcode, modality_presence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统一细胞标识；需明确跨模态是否为同一细胞配对。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RunManifest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run_id, plan_version, tool_versions, parameters, input_hashes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运行清单、版本、参数与输入校验和。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EvidenceCard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card_id, cluster_id, candidates, evidence_ids, status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候选标签、正反证据、风险和审核状态。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ReviewEvent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review_id, object_id, reviewer_id, decision, rationale, timestamp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人工审核、修订原因和时间记录。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5.2 数据契约要求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每个文件资产都要保存校验和、格式、版本、生成时间、访问策略与父级资产。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原始计数、归一化矩阵、嵌入、标签和审核修订应分层存储，不能相互覆盖。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多模态数据不能假定每个细胞均有所有模态；细胞配对关系必须来自实验设计或可信的条形码关联。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同名基因需要明确物种、参考基因组、基因 ID 体系和映射版本；跨物种映射需保存映射策略及不确定性。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关键 API 均应版本化；对计划、工具、证据卡和报告保存 schema_version。</w:t>
      </w:r>
    </w:p>
    <w:p>
      <w:pPr>
        <w:pStyle w:val="Heading2"/>
      </w:pPr>
      <w:r>
        <w:t>5.3 分析计划契约</w:t>
      </w:r>
    </w:p>
    <w:p>
      <w:r>
        <w:rPr>
          <w:rFonts w:ascii="Noto Sans CJK SC" w:hAnsi="Noto Sans CJK SC" w:eastAsia="Noto Sans CJK SC"/>
          <w:i w:val="0"/>
        </w:rPr>
        <w:t>AI 生成结构化 AnalysisPlan，而非仅输出自然语言步骤。每个节点要声明工具、版本、输入、输出、参数、资源需求、审批要求、质量检查和失败策略。规划器只能从工具注册表中选择允许使用的工具。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94"/>
            <w:shd w:fill="F5F6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keepLines/>
            </w:pPr>
            <w:r/>
            <w:r>
              <w:rPr>
                <w:rFonts w:ascii="DejaVu Sans Mono" w:hAnsi="DejaVu Sans Mono"/>
                <w:color w:val="243447"/>
                <w:sz w:val="15"/>
              </w:rPr>
              <w:t>AnalysisPlan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plan_id / plan_version / project_id / objective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nodes[]: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node_id / tool_name / tool_version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inputs[] / outputs[] / parameters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dependency_node_ids[]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resources / privacy_policy / requires_approval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quality_checks[] / retry_policy / fallback_node_id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stop_conditions[]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expected_deliverables[]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provenance_policy</w:t>
            </w:r>
          </w:p>
        </w:tc>
      </w:tr>
    </w:tbl>
    <w:p>
      <w:pPr>
        <w:spacing w:after="20"/>
      </w:pPr>
    </w:p>
    <w:p>
      <w:pPr>
        <w:pStyle w:val="Heading2"/>
      </w:pPr>
      <w:r>
        <w:t>5.4 结果契约与标签模型</w:t>
      </w:r>
    </w:p>
    <w:p>
      <w:r>
        <w:rPr>
          <w:rFonts w:ascii="Noto Sans CJK SC" w:hAnsi="Noto Sans CJK SC" w:eastAsia="Noto Sans CJK SC"/>
          <w:i w:val="0"/>
        </w:rPr>
        <w:t>细胞注释应至少分开保存“身份（cell identity）”与“状态（cell state）”，并记录标签层级。对于尚无标准术语映射的项目内亚型，允许使用 provisional project label；不得伪造本体 ID。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94"/>
            <w:shd w:fill="F5F6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keepLines/>
            </w:pPr>
            <w:r/>
            <w:r>
              <w:rPr>
                <w:rFonts w:ascii="DejaVu Sans Mono" w:hAnsi="DejaVu Sans Mono"/>
                <w:color w:val="243447"/>
                <w:sz w:val="15"/>
              </w:rPr>
              <w:t>EvidenceCard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cluster_id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hypothesis_type: cell_type | cell_state | technical_artifact | unknown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candidate_label / ontology_id / label_level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supporting_evidence_ids[]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contradicting_evidence_ids[]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technical_risks[]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cross_modal_status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stability_summary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final_status: supported | provisional | conflict | unknown | rejected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reviewer_id / review_reason / reviewed_at</w:t>
            </w:r>
          </w:p>
        </w:tc>
      </w:tr>
    </w:tbl>
    <w:p>
      <w:pPr>
        <w:spacing w:after="20"/>
      </w:pPr>
    </w:p>
    <w:p>
      <w:pPr>
        <w:pStyle w:val="Heading1"/>
      </w:pPr>
      <w:r>
        <w:t>6. 专业知识库与证据管理</w:t>
      </w:r>
    </w:p>
    <w:p>
      <w:pPr>
        <w:pStyle w:val="Heading2"/>
      </w:pPr>
      <w:r>
        <w:t>6.1 知识库原则</w:t>
      </w:r>
    </w:p>
    <w:p>
      <w:r>
        <w:rPr>
          <w:rFonts w:ascii="Noto Sans CJK SC" w:hAnsi="Noto Sans CJK SC" w:eastAsia="Noto Sans CJK SC"/>
          <w:i w:val="0"/>
        </w:rPr>
        <w:t>知识库不是无差别存放论文 PDF 的文件夹。核心单位应是可追溯的证据声明（Evidence Claim），同时保留来源、上下文、引用位置、适用条件与审核状态。文献中的观点要与平台对当前项目数据得出的结果分开存储。</w:t>
      </w:r>
    </w:p>
    <w:p>
      <w:pPr>
        <w:pStyle w:val="Heading2"/>
      </w:pPr>
      <w:r>
        <w:t>6.2 建议的知识实体与表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数据表/对象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核心内容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维护要求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source_document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DOI/PMID、标题、版本、许可、日期、来源 URL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保留原始来源及访问元数据。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bio_entity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细胞类型、组织、疾病、基因、通路、本体 ID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规范命名并保留同义词和来源。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evidence_claim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主张类型、正/反证据、实验上下文、原文位置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每项关键主张必须可定位到来源。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bio_relation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细胞-组织、细胞-Marker、状态-通路等关系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关系需关联 claim，不裸存未经支持的断言。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marker_set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正向/反向 Marker、物种、组织、实验条件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不得把一篇文献的 Marker 直接外推为通用规则。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reference_dataset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数据集 ID、组织、物种、平台、标签质量、许可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保存版本、标签层级和适用限制。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case_study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问题、方案、替代方案、人工修订、验证结果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只有专家审核通过的案例才能进入可复用知识库。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analysis_decision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选择理由、其他方案、审批和回滚记录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支持复盘和方法版本演进。</w:t>
            </w:r>
          </w:p>
        </w:tc>
      </w:tr>
    </w:tbl>
    <w:p>
      <w:pPr>
        <w:spacing w:after="20"/>
      </w:pPr>
    </w:p>
    <w:p>
      <w:pPr>
        <w:pStyle w:val="Heading2"/>
      </w:pPr>
      <w:r>
        <w:t>6.3 检索流程</w:t>
      </w:r>
    </w:p>
    <w:p>
      <w:r>
        <w:rPr>
          <w:rFonts w:ascii="Noto Sans CJK SC" w:hAnsi="Noto Sans CJK SC" w:eastAsia="Noto Sans CJK SC"/>
          <w:i w:val="0"/>
        </w:rPr>
        <w:t>1. 从当前项目的物种、组织、疾病、模态、目标细胞群与 Marker 生成检索条件。</w:t>
      </w:r>
    </w:p>
    <w:p>
      <w:r>
        <w:rPr>
          <w:rFonts w:ascii="Noto Sans CJK SC" w:hAnsi="Noto Sans CJK SC" w:eastAsia="Noto Sans CJK SC"/>
          <w:i w:val="0"/>
        </w:rPr>
        <w:t>2. 混合检索：全文/关键词检索 + 向量相似检索；检索到的内容保留来源 ID 和精确位置。</w:t>
      </w:r>
    </w:p>
    <w:p>
      <w:r>
        <w:rPr>
          <w:rFonts w:ascii="Noto Sans CJK SC" w:hAnsi="Noto Sans CJK SC" w:eastAsia="Noto Sans CJK SC"/>
          <w:i w:val="0"/>
        </w:rPr>
        <w:t>3. 按物种、组织、测定技术、实验情景、数据质量、证据来源和许可进行重排。</w:t>
      </w:r>
    </w:p>
    <w:p>
      <w:r>
        <w:rPr>
          <w:rFonts w:ascii="Noto Sans CJK SC" w:hAnsi="Noto Sans CJK SC" w:eastAsia="Noto Sans CJK SC"/>
          <w:i w:val="0"/>
        </w:rPr>
        <w:t>4. 主动检索矛盾证据，避免只返回支持最初猜测的论文。</w:t>
      </w:r>
    </w:p>
    <w:p>
      <w:r>
        <w:rPr>
          <w:rFonts w:ascii="Noto Sans CJK SC" w:hAnsi="Noto Sans CJK SC" w:eastAsia="Noto Sans CJK SC"/>
          <w:i w:val="0"/>
        </w:rPr>
        <w:t>5. 将证据作为带来源的数据传给模型，并要求结论逐条关联证据；无来源内容不得伪装成已知事实。</w:t>
      </w:r>
    </w:p>
    <w:p>
      <w:pPr>
        <w:pStyle w:val="Heading2"/>
      </w:pPr>
      <w:r>
        <w:t>6.4 标准本体与参考数据</w:t>
      </w:r>
    </w:p>
    <w:p>
      <w:r>
        <w:rPr>
          <w:rFonts w:ascii="Noto Sans CJK SC" w:hAnsi="Noto Sans CJK SC" w:eastAsia="Noto Sans CJK SC"/>
          <w:i w:val="0"/>
        </w:rPr>
        <w:t>细胞类型命名建议优先映射到 Cell Ontology 等适用的标准本体 [7]；保留项目内部标签以表达暂定亚型或细胞状态。参考图谱可评估使用 CELLxGENE Census 等公共资源 [8]，但需记录具体版本、数据集来源、标签质量与许可条件。公共数据可访问不等同于无使用限制。</w:t>
      </w:r>
    </w:p>
    <w:p>
      <w:pPr>
        <w:pStyle w:val="Heading2"/>
      </w:pPr>
      <w:r>
        <w:t>6.5 知识入库与治理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文献解析时保存原文定位、段落/图表/补充材料标识，抽取结果需经过规则校验和必要的人工复核。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区分原文陈述、模型抽取、专家修订和平台推断；保留版本变更历史。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知识更新应有发布审批、回滚能力和影响范围评估，避免来源更新后静默改变已有项目结果。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引入质量标签：来源可靠度、物种/组织匹配度、实验可比性、结论直接性与审核状态。</w:t>
      </w:r>
    </w:p>
    <w:p>
      <w:pPr>
        <w:pStyle w:val="Heading1"/>
      </w:pPr>
      <w:r>
        <w:t>7. 特殊细胞发现与注释工作流</w:t>
      </w:r>
    </w:p>
    <w:p>
      <w:pPr>
        <w:pStyle w:val="Heading2"/>
      </w:pPr>
      <w:r>
        <w:t>7.1 端到端流程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主要处理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输出与门禁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1. 项目画像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识别研究目标、组织、物种、实验设计、模态、已知/目标细胞群。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ProjectProfile；缺失关键信息清单。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2. 数据预检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验证矩阵、样本表、基因 ID、条形码、模态配对、批次结构。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PreflightReport；失败则停止或要求修正。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3. 基础 QC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按样本检查 UMI、基因数、线粒体/核糖体等指标、双细胞和背景污染需求。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QC 报告；保留阈值依据和候选过滤影响。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4. 基础分析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归一化、特征选择、降维、聚类、Marker、样本/批次分布。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聚类、Marker 表和可视化。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5. 候选发现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识别未知/低置信、参考映射冲突、稀有且稳定的群体、跨模态冲突。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候选集与候选优先级；非最终注释。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6. 伪影排查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双细胞、环境 RNA、低质量、批次、应激/细胞周期、过度分群。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风险评分与排查证据；必要时返回 QC/聚类。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7. 假设比较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提出已知亚型、状态/过渡群、技术伪影/未知等竞争性解释。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候选证据卡，包含正反证据。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8. 针对性分析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局部重聚类、替代分类器、参考映射、调控或空间/蛋白证据。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追加分析结果与方法对比。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9. 独立验证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稳健性、统计前提、跨样本重复、模态适用性和文献核对。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通过/退回/冲突/未知。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10. 专家审核与交付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审批标签层级、报告表述、限制条件；记录人工修订。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审核后报告、运行清单和案例归档。</w:t>
            </w:r>
          </w:p>
        </w:tc>
      </w:tr>
    </w:tbl>
    <w:p>
      <w:pPr>
        <w:spacing w:after="20"/>
      </w:pPr>
    </w:p>
    <w:p>
      <w:pPr>
        <w:pStyle w:val="Heading2"/>
      </w:pPr>
      <w:r>
        <w:t>7.2 候选特殊细胞的触发信号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注释缺失、置信度较低或不同参考分类器结果冲突。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一个群体在转录特征上相对独特，并在合理参数范围内具有一定稳定性。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观察到重要的样本、组织位置或疾病条件分布，需要进一步确认是否由混杂因素解释。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RNA 与 ATAC、蛋白或空间信息出现有生物学意义的差异。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候选群的 marker 组合与现有知识库存在部分匹配，但尚无充分证据支持具体亚型。</w:t>
      </w:r>
    </w:p>
    <w:p>
      <w:r>
        <w:rPr>
          <w:rFonts w:ascii="Noto Sans CJK SC" w:hAnsi="Noto Sans CJK SC" w:eastAsia="Noto Sans CJK SC"/>
          <w:i w:val="0"/>
        </w:rPr>
        <w:t>上述信号只用于触发深入调查，不能单独证明新细胞类型。少量细胞不自动等于稀有新细胞；罕见群必须与低质量细胞、双细胞、污染和批次异常等替代解释竞争。</w:t>
      </w:r>
    </w:p>
    <w:p>
      <w:pPr>
        <w:pStyle w:val="Heading2"/>
      </w:pPr>
      <w:r>
        <w:t>7.3 证据卡必备内容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内容要求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身份假设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候选标签、标签层级、cell type/state 区分、本体映射或项目暂定标签。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表达证据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关键 Marker、差异统计值、表达比例、效应量及相应的检测方法。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正反证据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支持该解释的证据、排除性 Marker、与候选身份矛盾的证据。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技术风险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双细胞、环境 RNA、低质量、批次/供体偏差、应激或过度分群风险。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参考对照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参考图谱与分类器结果、训练/参考覆盖范围、匹配度限制。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稳健性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参数、随机种子、样本子集和替代分析下的群体与标签稳定程度。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多组学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RNA/ATAC/蛋白/空间等各模态独立证据与冲突状态。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证据出处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文献 DOI/PMID、图表/段落定位、参考数据版本及数据运行 ID。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最终状态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supported、provisional、conflict、unknown 或 rejected；专家修订原因。</w:t>
            </w:r>
          </w:p>
        </w:tc>
      </w:tr>
    </w:tbl>
    <w:p>
      <w:pPr>
        <w:spacing w:after="20"/>
      </w:pPr>
    </w:p>
    <w:p>
      <w:pPr>
        <w:pStyle w:val="Heading2"/>
      </w:pPr>
      <w:r>
        <w:t>7.4 关键分析注意事项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差异表达的统计单位应遵守研究设计；有生物学重复时，按样本层级汇总的 pseudobulk 或适用的混合模型通常比把每个细胞都视作独立生物学重复更合理。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批次整合不是必选步骤。需先判断批次效应是否存在，以及批次和研究条件是否混杂。完全混杂的设计不能靠算法可靠地区分技术效应与真实生物学效应。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质控阈值应按样本和细胞群分布检查；统一阈值可能错误删除真实的稀有群。任何过滤都需评估对候选群的影响。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分类器最高分只能作为一个证据源；不覆盖的物种、组织、疾病状态或未知细胞群应允许退回到更粗粒度标签或未知状态。</w:t>
      </w:r>
    </w:p>
    <w:p>
      <w:pPr>
        <w:pStyle w:val="Heading1"/>
      </w:pPr>
      <w:r>
        <w:t>8. 多组学模态适配策略</w:t>
      </w:r>
    </w:p>
    <w:p>
      <w:pPr>
        <w:pStyle w:val="Heading2"/>
      </w:pPr>
      <w:r>
        <w:t>8.1 分阶段支持矩阵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模态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首期/后续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推荐数据对象或工具方向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用于特殊细胞研究的价值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scRNA-seq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首期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AnnData、Scanpy、Seurat、参考映射工具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表达程序、Marker、细胞状态和亚型假设。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掉零、表达稀疏、状态混淆及批次影响。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RNA+ATAC / Multiome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首期核心扩展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MuData、scvi-tools MultiVI；R 侧可评估 Signac/ArchR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转录特征与染色质可及性提供互补调控证据。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配对关系、基因组版本、峰集合与模型适用范围需一致。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CITE-seq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后续优先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MuData；scvi-tools totalVI 等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表面蛋白为细胞身份提供正交验证。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抗体面板、背景信号、批次和蛋白缺失影响判断。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空间转录组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后续优先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SpatialData、Squidpy 和平台专用读取器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观察空间位置、邻域和组织结构上下文。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空间分辨率、混合细胞和技术平台差异。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VDJ / TCR / BCR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后续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专用 VDJ 工具和克隆型表结构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克隆扩增、受体多样性和免疫相关状态分析。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克隆性本身不能确定细胞类型或功能。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单细胞甲基化及其他模态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后续评估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按平台评估专用工具和数据模型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提供表观遗传或其他层次的补充证据。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各模态数据稀疏性与统计模型差异较大。</w:t>
            </w:r>
          </w:p>
        </w:tc>
      </w:tr>
    </w:tbl>
    <w:p>
      <w:pPr>
        <w:spacing w:after="20"/>
      </w:pPr>
    </w:p>
    <w:p>
      <w:pPr>
        <w:pStyle w:val="Heading2"/>
      </w:pPr>
      <w:r>
        <w:t>8.2 多组学整合原则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先完成每个模态自身的输入验证与基础 QC，再开展联合建模。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对配对与非配对数据采用不同方案，不能假设同一细胞必然具有所有模态。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保留每个模态的独立证据，联合嵌入或联合模型得分不能替代原始模态的生物学解释。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对整合结果同时评估批次去除与生物学信号保留；不能单独以批次混合程度作为优化目标。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跨模态证据不一致时，应显示差异和可能原因，而不是用平均分掩盖冲突。</w:t>
      </w:r>
    </w:p>
    <w:p>
      <w:pPr>
        <w:pStyle w:val="Heading1"/>
      </w:pPr>
      <w:r>
        <w:t>9. Agent 编排与 API 设计</w:t>
      </w:r>
    </w:p>
    <w:p>
      <w:pPr>
        <w:pStyle w:val="Heading2"/>
      </w:pPr>
      <w:r>
        <w:t>9.1 首期 Agent 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逻辑角色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权限边界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项目分析师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项目描述、样本表、数据预检结果。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ProjectProfile、缺失信息与风险清单。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读取已授权元数据；不执行分析。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分析规划师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ProjectProfile、工具注册表、历史案例。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结构化 AnalysisPlan、候选方案与触发条件。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只能选择已注册工具；无权运行任意代码。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特殊细胞研究员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聚类、Marker、参考映射、文献与多组学结果。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候选解释、正反证据、下一步分析建议。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调用允许的检索和分析工具；不能篡改原始输出。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结果审查员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运行结果、统计检查、证据卡和审计记录。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通过、退回、冲突、未知或需要人工复核。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只能核验和建议修订；审核动作必须留痕。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i w:val="0"/>
        </w:rPr>
        <w:t>质控、双细胞检测、聚类、参考映射、差异分析和整合基准应作为确定性的分析工具，不需要全部封装为独立 Agent。首期应优先保证工作流可测试、可暂停、可恢复，而不是追求多 Agent 数量。</w:t>
      </w:r>
    </w:p>
    <w:p>
      <w:pPr>
        <w:pStyle w:val="Heading2"/>
      </w:pPr>
      <w:r>
        <w:t>9.2 工作流状态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94"/>
            <w:shd w:fill="F5F6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keepLines/>
            </w:pPr>
            <w:r/>
            <w:r>
              <w:rPr>
                <w:rFonts w:ascii="DejaVu Sans Mono" w:hAnsi="DejaVu Sans Mono"/>
                <w:color w:val="243447"/>
                <w:sz w:val="15"/>
              </w:rPr>
              <w:t>CREATED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-&gt; PREFLIGHT_RUNNING -&gt; PREFLIGHT_PASSED / BLOCKED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-&gt; PLAN_DRAFTED -&gt; PLAN_APPROVED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-&gt; ANALYSIS_RUNNING -&gt; QC_REVIEW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-&gt; CANDIDATE_DISCOVERY -&gt; EVIDENCE_BUILDING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-&gt; TARGETED_ANALYSIS (optional loop)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-&gt; VALIDATION -&gt; HUMAN_REVIEW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-&gt; REPORT_READY -&gt; ARCHIVED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>异常分支：RETRYABLE_FAILURE / NEEDS_INPUT / POLICY_BLOCKED / FAILED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>每次转移必须保存 actor、timestamp、reason、input hash 和版本。</w:t>
            </w:r>
          </w:p>
        </w:tc>
      </w:tr>
    </w:tbl>
    <w:p>
      <w:pPr>
        <w:spacing w:after="20"/>
      </w:pPr>
    </w:p>
    <w:p>
      <w:pPr>
        <w:pStyle w:val="Heading2"/>
      </w:pPr>
      <w:r>
        <w:t>9.3 主要业务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用途与约束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/v1/projects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POST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创建项目并绑定 privacy_tier。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/v1/projects/{id}/samples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POST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登记样本、供体、分组、批次和重复信息。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/v1/projects/{id}/assets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POST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注册资产、格式、校验和、存储 URI 和权限。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/v1/projects/{id}/preflight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POST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执行数据预检并生成问题报告。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/v1/projects/{id}/plans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POST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生成候选计划，不能直接执行。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/v1/plans/{id}/approve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POST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审批指定 plan_version；修改后必须生成新版本。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/v1/projects/{id}/runs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POST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仅运行已批准且符合策略的计划。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/v1/runs/{id}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GET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查询状态、日志摘要、错误和输出资产。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/v1/clusters/{id}/evidence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GET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获取候选标签、证据链和风险。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/v1/annotations/{id}/review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POST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提交人工审核和带理由的修订。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/v1/runs/{id}/report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GET</w:t>
            </w:r>
          </w:p>
        </w:tc>
        <w:tc>
          <w:tcPr>
            <w:tcW w:type="dxa" w:w="55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获取审核状态、运行清单和报告资产。</w:t>
            </w:r>
          </w:p>
        </w:tc>
      </w:tr>
    </w:tbl>
    <w:p>
      <w:pPr>
        <w:spacing w:after="20"/>
      </w:pPr>
    </w:p>
    <w:p>
      <w:pPr>
        <w:pStyle w:val="Heading2"/>
      </w:pPr>
      <w:r>
        <w:t>9.4 工具注册规范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94"/>
            <w:shd w:fill="F5F6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keepLines/>
            </w:pPr>
            <w:r/>
            <w:r>
              <w:rPr>
                <w:rFonts w:ascii="DejaVu Sans Mono" w:hAnsi="DejaVu Sans Mono"/>
                <w:color w:val="243447"/>
                <w:sz w:val="15"/>
              </w:rPr>
              <w:t>ToolSpec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tool_name / tool_version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input_schema / output_schema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supported_modalities / supported_species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required_resources / container_image_digest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data_access_policy / network_policy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quality_checks / failure_policy / retry_limit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provenance_fields / software_license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i w:val="0"/>
        </w:rPr>
        <w:t>工具结果需以 ToolResult 标准格式返回：status、输出资产 ID、指标、警告、错误、provenance 和 validation_results。模型只能通过已定义接口调用工具；Shell 命令、文件路径和资源参数都必须经过校验与白名单约束。</w:t>
      </w:r>
    </w:p>
    <w:p>
      <w:r>
        <w:br w:type="page"/>
      </w:r>
    </w:p>
    <w:p>
      <w:pPr>
        <w:pStyle w:val="Heading2"/>
      </w:pPr>
      <w:r>
        <w:t>9.5 建议代码仓库结构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94"/>
            <w:shd w:fill="F5F6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keepLines/>
            </w:pPr>
            <w:r/>
            <w:r>
              <w:rPr>
                <w:rFonts w:ascii="DejaVu Sans Mono" w:hAnsi="DejaVu Sans Mono"/>
                <w:color w:val="243447"/>
                <w:sz w:val="15"/>
              </w:rPr>
              <w:t>singlecell-ai/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apps/web/                  # 项目工作台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services/api/              # FastAPI 业务 API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services/orchestrator/     # 状态机、审批与 Agent 编排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services/knowledge/        # 文献、参考图谱、案例检索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services/evidence/         # 特殊细胞证据评估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packages/schemas/          # Pydantic 数据契约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packages/tools/            # 注册工具包装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packages/modality_adapters/# RNA/ATAC/空间等适配器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packages/validation/       # QC、统计、安全质量门禁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workflows/scrna/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workflows/rna_atac/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workflows/cite_seq/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workflows/spatial/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tests/unit integration benchmark security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deployment/local hpc cloud</w:t>
            </w:r>
          </w:p>
        </w:tc>
      </w:tr>
    </w:tbl>
    <w:p>
      <w:pPr>
        <w:spacing w:after="20"/>
      </w:pPr>
    </w:p>
    <w:p>
      <w:pPr>
        <w:pStyle w:val="Heading1"/>
      </w:pPr>
      <w:r>
        <w:t>10. 验证体系与质量门禁</w:t>
      </w:r>
    </w:p>
    <w:p>
      <w:pPr>
        <w:pStyle w:val="Heading2"/>
      </w:pPr>
      <w:r>
        <w:t>10.1 五层验证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检查内容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建议指标/证据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L1 数据正确性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格式、矩阵维度、细胞/样本对应、基因 ID、模态配对、缺失值。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Schema 通过率、数据完整性、校验和、失败案例。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L2 计算正确性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代码执行、软件接口、参数、输出完整性、版本与随机种子。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执行成功率、可复现率、数值容差、错误类型。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L3 细胞注释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已知类别、稀有类型、未知类别、技术伪影和新颖候选。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Macro-F1、各类别召回率、PR 曲线、未知识别效果。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L4 多组学质量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批次校正、细胞类型/状态保留、各模态一致性与冲突。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scIB/scib-metrics 类指标、标签保留、独立模态对照。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L5 AI 与证据质量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文献定位、证据外推、计划适用性、失败暴露、权限遵从。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引用可追溯率、无依据结论率、专家修订率、安全测试。</w:t>
            </w:r>
          </w:p>
        </w:tc>
      </w:tr>
    </w:tbl>
    <w:p>
      <w:pPr>
        <w:spacing w:after="20"/>
      </w:pPr>
    </w:p>
    <w:p>
      <w:pPr>
        <w:pStyle w:val="Heading2"/>
      </w:pPr>
      <w:r>
        <w:t>10.2 评测集设计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已知细胞类型集：有专家确认标签的标准数据，分层报告常见类与少数类。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特殊群体集：稀有亚型、疾病相关状态、参考覆盖不足以及 RNA/ATAC/蛋白或空间证据不一致的案例。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反例集：双细胞、环境 RNA、低质量、批次伪影、应激程序和不稳定聚类。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按供体、研究或参考图谱分组拆分训练/开发/测试，尽量避免相关细胞跨集合泄漏。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设置与传统流程的比较基线，由独立专家盲评结论可信度、所需修改量和分析时间。</w:t>
      </w:r>
    </w:p>
    <w:p>
      <w:pPr>
        <w:pStyle w:val="Heading2"/>
      </w:pPr>
      <w:r>
        <w:t>10.3 质量门禁规则示例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系统动作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是否可自动恢复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输入 Schema 不合法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阻止运行并给出字段/文件错误。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否；需修正输入。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样本分组与批次完全混杂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提示统计不可识别性，限制组间结论。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否；需补充设计或接受限制。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稀有群仅来自单个样本且不稳定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标记低稳健性，建议复核技术伪影和独立样本。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可执行诊断，不可自动宣布新亚型。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两个参考模型给出冲突标签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进入竞争性假设流程，展示双方证据和适用范围。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可检索或增加分析；最终可能需要人工审查。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引用无法定位到来源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将该主张标记为未核实，不纳入确定性结论。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可重新检索；未核实前不通过。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出站策略禁止外部模型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阻止请求并改用批准的本地模型或非模型路径。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仅在策略允许的备用路径下自动恢复。</w:t>
            </w:r>
          </w:p>
        </w:tc>
      </w:tr>
    </w:tbl>
    <w:p>
      <w:pPr>
        <w:spacing w:after="20"/>
      </w:pPr>
    </w:p>
    <w:p>
      <w:pPr>
        <w:pStyle w:val="Heading2"/>
      </w:pPr>
      <w:r>
        <w:t>10.4 验收指标设定方法</w:t>
      </w:r>
    </w:p>
    <w:p>
      <w:r>
        <w:rPr>
          <w:rFonts w:ascii="Noto Sans CJK SC" w:hAnsi="Noto Sans CJK SC" w:eastAsia="Noto Sans CJK SC"/>
          <w:i w:val="0"/>
        </w:rPr>
        <w:t>不要在未建立基线时预设一个对所有任务通用的准确率门槛。首轮应冻结历史项目、人工审核标准和传统分析基线，测量特殊类别召回率、误报、置信度校准、证据引用质量、专家修订率、返工率和工时。随后根据不同风险等级制定阈值。涉及关键科学结论时，应把“错误被系统识别和阻止”的能力纳入验收。可以参考单细胞 Agent 基准研究中的多维评价思路，但仍需构建适合本团队数据和流程的专属基准 [10]。</w:t>
      </w:r>
    </w:p>
    <w:p>
      <w:pPr>
        <w:pStyle w:val="Heading1"/>
      </w:pPr>
      <w:r>
        <w:t>11. 混合部署、安全与合规</w:t>
      </w:r>
    </w:p>
    <w:p>
      <w:pPr>
        <w:pStyle w:val="Heading2"/>
      </w:pPr>
      <w:r>
        <w:t>11.1 数据分级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示例策略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模型调用要求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公共数据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已公开且许可允许使用的数据。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按许可与内部策略调用公共服务。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受限数据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商业项目数据、未公开研究数据、客户敏感元数据。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经审批后仅发送最小必要上下文；优先本地处理。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严格本地数据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明确禁止出网或涉及严格保密义务的数据。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原始数据与敏感派生结果均留在本地；使用本地模型或无外呼流程。</w:t>
            </w:r>
          </w:p>
        </w:tc>
      </w:tr>
    </w:tbl>
    <w:p>
      <w:pPr>
        <w:spacing w:after="20"/>
      </w:pPr>
    </w:p>
    <w:p>
      <w:pPr>
        <w:pStyle w:val="Heading2"/>
      </w:pPr>
      <w:r>
        <w:t>11.2 必备安全控制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身份与项目级权限：项目、文件、结果、日志和知识条目均按授权范围控制；默认拒绝。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模型网关：在每次调用前执行数据分级、字段过滤、策略检查、目标服务白名单和审计。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计算隔离：非特权容器、CPU/内存/GPU/时长配额、只读输入、独立输出目录、默认网络关闭。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密钥治理：密钥不写入 Prompt、代码仓库、运行参数或日志；使用专门的密钥管理机制。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提示注入防护：把论文、网页、文件和元数据当作不可信输入；内容不得改变权限或批准计划。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供应链安全：固定镜像摘要和软件版本，记录许可证、依赖来源和漏洞处置。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审计与删除：记录数据访问、模型调用、计划批准、工具执行、人工修订和交付；设置可执行的保留与删除政策。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跨项目隔离：避免项目间共享缓存、临时文件、向量检索结果或未经批准的案例。</w:t>
      </w:r>
    </w:p>
    <w:p>
      <w:pPr>
        <w:pStyle w:val="Heading2"/>
      </w:pPr>
      <w:r>
        <w:t>11.3 安全验收测试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未授权用户不能访问其他项目的数据、证据卡、报告或运行日志。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严格本地项目无法通过任何默认 API 路径调用外部模型或上传衍生数据。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包含指令的恶意文献或文件不能变更工具权限、审批状态或出站策略。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容器不能访问未授权文件目录、宿主机凭据或任意互联网地址。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删除或归档项目时，能够列出并按策略处置原始文件、临时结果、派生文件和模型缓存。</w:t>
      </w:r>
    </w:p>
    <w:p>
      <w:pPr>
        <w:pStyle w:val="Heading1"/>
      </w:pPr>
      <w:r>
        <w:t>12. 分阶段开发路线与验收</w:t>
      </w:r>
    </w:p>
    <w:p>
      <w:r>
        <w:rPr>
          <w:rFonts w:ascii="Noto Sans CJK SC" w:hAnsi="Noto Sans CJK SC" w:eastAsia="Noto Sans CJK SC"/>
          <w:i w:val="0"/>
        </w:rPr>
        <w:t>开发顺序按风险递增安排。阶段产出需要通过验收后再扩范围；各阶段周期应根据团队人数、现有代码和可用测试数据重新估算，不建议在缺少项目资产盘点的情况下承诺固定工期。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阶段交付物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验收条件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0. 基准与安全边界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挑选历史案例、梳理错误模式、确定数据策略与专家标签标准。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需求文档、评测集、风险清单、基线流程。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明确系统需改进的指标和不可接受错误。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1. 数据平台底座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项目/样本/资产注册、权限、对象存储、日志、数据契约、任务状态。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FastAPI、PostgreSQL、资产表、运行清单。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输入可验证、输出可追溯、权限与审计生效。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2. 特殊细胞 MVP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scRNA 基础分析、候选发现、文献检索、证据卡、人工审核、报告。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端到端 RNA 流程与特殊细胞工作台。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历史案例能生成可复核假设，允许未知/暂定，证据有来源。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3. RNA+ATAC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引入多模态数据契约、配对检查、联合分析、跨模态验证。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RNA+ATAC 适配器、质量基准和证据卡扩展。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配对关系正确、独立模态证据可追踪、冲突不被隐藏。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4. 专业知识库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结构化文献、标准本体、参考图谱、专家审核案例和混合检索。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知识服务、证据索引、审核与版本发布流程。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关键主张可定位来源，支持与反对证据均可检索。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5. 回顾性验证与内部试点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冻结测试集、与传统流程比较、专家盲评、记录工时和返工。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基准报告、修订策略、失败模式清单。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质量或效率相对基线可量化改进且无不可接受安全错误。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6. 生产化与模态扩展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本地/云端协同、HPC、监控、灾备、CITE-seq/空间/VDJ 分批接入。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部署和运维手册、模型网关、审计、扩展适配器。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安全、并发、恢复、跨项目隔离及重复运行测试通过。</w:t>
            </w:r>
          </w:p>
        </w:tc>
      </w:tr>
    </w:tbl>
    <w:p>
      <w:pPr>
        <w:spacing w:after="20"/>
      </w:pPr>
    </w:p>
    <w:p>
      <w:pPr>
        <w:pStyle w:val="Heading2"/>
      </w:pPr>
      <w:r>
        <w:t>12.1 首期 MVP 交付定义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994"/>
            <w:shd w:fill="E8F5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MVP 范围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scRNA-seq 数据接入 + 数据预检 + 基础分析 + 特殊细胞候选发现 + 文献/案例证据检索 + 候选证据卡 + 人工审核 + 可复现报告。RNA+ATAC 在数据契约和架构中预留，并作为第一项多组学扩展。</w:t>
            </w:r>
          </w:p>
        </w:tc>
      </w:tr>
    </w:tbl>
    <w:p>
      <w:pPr>
        <w:spacing w:after="20"/>
      </w:pPr>
    </w:p>
    <w:p>
      <w:pPr>
        <w:pStyle w:val="Heading2"/>
      </w:pPr>
      <w:r>
        <w:t>12.2 建议的内部试点选例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一个常见组织与成熟细胞类型项目，用于验证基础分析流程和报告完整性。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一个存在低置信度或争议性亚群的项目，用于验证候选与正反证据逻辑。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一个具有多样本、多批次或疾病/对照设计的项目，用于验证样本设计和统计门禁。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一个配对 RNA+ATAC 项目，用于验证跨模态数据契约、配对关系和联合分析结果可追溯。</w:t>
      </w:r>
    </w:p>
    <w:p>
      <w:pPr>
        <w:pStyle w:val="Heading1"/>
      </w:pPr>
      <w:r>
        <w:t>13. 团队分工、运维与风险管理</w:t>
      </w:r>
    </w:p>
    <w:p>
      <w:pPr>
        <w:pStyle w:val="Heading2"/>
      </w:pPr>
      <w:r>
        <w:t>13.1 建议角色配置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角色/职能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主要责任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参与阶段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产品/项目负责人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需求优先级、服务边界、验收标准与交付流程。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全阶段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单细胞领域负责人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分析方法选择、特殊细胞判定标准、专家评测集与结论审核。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全阶段，尤其阶段 0/2/5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生物信息学工程师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Scanpy/Seurat、多组学分析工作流、结果验证和工具封装。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阶段 1-6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后端/平台工程师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API、数据库、工作流、权限、任务队列和存储。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阶段 1-6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AI/知识工程师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Agent 编排、RAG、文献抽取、工具 Schema 和评估。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阶段 2-5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基础设施/安全工程师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容器、HPC、模型网关、权限、日志、备份和安全测试。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阶段 1、5、6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领域专家/复核人员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复核疑难候选、审核证据与案例入库。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5"/>
              </w:rPr>
              <w:t>阶段 0、2、4、5</w:t>
            </w:r>
          </w:p>
        </w:tc>
      </w:tr>
    </w:tbl>
    <w:p>
      <w:pPr>
        <w:spacing w:after="20"/>
      </w:pPr>
    </w:p>
    <w:p>
      <w:pPr>
        <w:pStyle w:val="Heading2"/>
      </w:pPr>
      <w:r>
        <w:t>13.2 运行治理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每次正式运行生成不可覆盖的 run_id 和版本清单；计划变更创建新版本。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工具、模型、Prompt、参考图谱和知识库均应版本化；结果报告记录实际使用版本。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失败任务分成可重试、需补充信息、策略阻止、分析失败等类型，避免无限重试。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建立每月或每个发布周期的回归测试：基准数据、工具升级、证据抽取和权限策略均需重新验证。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知识库新案例只有在专家审核后才可用于自动决策；未确认的项目结论不能反向成为“真值”。</w:t>
      </w:r>
    </w:p>
    <w:p>
      <w:pPr>
        <w:pStyle w:val="Heading2"/>
      </w:pPr>
      <w:r>
        <w:t>13.3 主要风险与缓解措施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缓解措施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错误注释被包装成确定结论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科学结论不可靠、影响客户交付。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证据卡、未知状态、正反证据、人工审核和独立测试。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参考数据库覆盖不足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特殊细胞被误分类或强制映射。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显示参考覆盖范围、允许粗粒度/未知标签、比较多个证据源。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过度整合或批次混杂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真实生物学差异被消除或不可识别。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先检查设计；整合前后对比并保留未整合基线。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AI 代码/参数错误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任务失败或产生错误分析。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工具白名单、Schema 校验、单元/集成测试、容器隔离。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知识库抽取幻觉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错误 Marker 或文献结论进入决策。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保留原文位置、可信度标记、复核和可回滚发布。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敏感数据外传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合同、隐私或合规风险。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本地优先、出站策略网关、数据最小化、审计与安全测试。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范围膨胀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首期迟迟不能交付。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238"/>
                <w:sz w:val="14"/>
              </w:rPr>
              <w:t>先做 RNA 特殊细胞闭环；模态扩展通过插件和阶段门禁。</w:t>
            </w:r>
          </w:p>
        </w:tc>
      </w:tr>
    </w:tbl>
    <w:p>
      <w:pPr>
        <w:spacing w:after="20"/>
      </w:pPr>
    </w:p>
    <w:p>
      <w:pPr>
        <w:pStyle w:val="Heading1"/>
      </w:pPr>
      <w:r>
        <w:t>14. 首期 MVP 清单与建议</w:t>
      </w:r>
    </w:p>
    <w:p>
      <w:pPr>
        <w:pStyle w:val="Heading2"/>
      </w:pPr>
      <w:r>
        <w:t>14.1 首期必须交付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项目创建、样本表录入与数据资产注册。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输入预检与可解释的失败报告。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可复现的 scRNA 基础工作流和运行清单。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特殊细胞候选检测、竞争性假设和结构化证据卡。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文献与参考图谱的基本检索和引用定位。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人工审批、人工修订、修订理由与报告状态管理。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本地容器执行、项目权限和基础审计。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基准评测集与最初的质量报告。</w:t>
      </w:r>
    </w:p>
    <w:p>
      <w:pPr>
        <w:pStyle w:val="Heading2"/>
      </w:pPr>
      <w:r>
        <w:t>14.2 首期可以暂缓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自研细胞基础模型或大规模模型微调。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完全自动化且不需人工审批的端到端科学结论生成。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所有模态统一成一个潜在空间的单一模型方案。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复杂的多 Agent 自由协作与自动知识写回。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完整云原生微服务集群，除非已有部署规模明确需要。</w:t>
      </w:r>
    </w:p>
    <w:p>
      <w:pPr>
        <w:pStyle w:val="Heading2"/>
      </w:pPr>
      <w:r>
        <w:t>14.3 决策建议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994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最终建议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优先把“特殊细胞候选 → 正反证据 → 技术伪影排查 → 针对性分析 → 专家审核 → 案例归档”做成一条可靠闭环。它能够验证平台最核心的价值；在此基础上再扩展多组学和部署规模，比先堆叠模型或模态更容易控制风险、评估收益并形成可维护的产品。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A. 核心 JSON 契约示例</w:t>
      </w:r>
    </w:p>
    <w:p>
      <w:pPr>
        <w:pStyle w:val="Heading2"/>
      </w:pPr>
      <w:r>
        <w:t>A1. 分析计划节点示例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94"/>
            <w:shd w:fill="F5F6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keepLines/>
            </w:pPr>
            <w:r/>
            <w:r>
              <w:rPr>
                <w:rFonts w:ascii="DejaVu Sans Mono" w:hAnsi="DejaVu Sans Mono"/>
                <w:color w:val="243447"/>
                <w:sz w:val="15"/>
              </w:rPr>
              <w:t>{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"plan_id": "plan_001",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"plan_version": "1.0",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"project_id": "project_001",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"objective": "investigate_uncharacterized_cell_population",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"nodes": [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{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"node_id": "qc_001",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"tool": "sc_qc",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"tool_version": "PINNED_VERSION",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"inputs": ["asset_expression"],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"parameters": {},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"outputs": ["qc_report", "qc_dataset"],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"requires_approval": false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},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{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"node_id": "candidate_001",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"tool": "cluster_candidate_discovery",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"inputs": ["qc_dataset"],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"parameters": {"allow_unknown_label": true},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"outputs": ["candidate_clusters", "marker_table"],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"requires_approval": true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},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{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"node_id": "evidence_001",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"tool": "cell_evidence_builder",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"inputs": ["candidate_clusters", "marker_table"],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"parameters": {"require_contradiction_check": true},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"outputs": ["evidence_cards"],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  "requires_approval": false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}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],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"stop_conditions": [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"input_schema_invalid",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"critical_quality_failure",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  "unresolved_design_confounding"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]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pStyle w:val="Small"/>
      </w:pPr>
      <w:r>
        <w:rPr>
          <w:rFonts w:ascii="Noto Sans CJK SC" w:hAnsi="Noto Sans CJK SC" w:eastAsia="Noto Sans CJK SC"/>
          <w:i w:val="0"/>
        </w:rPr>
        <w:t>说明：以上仅展示结构形式。生产实现还需包含 DAG 依赖、输入/输出 Schema、容器镜像 digest、资源限制、权限、重试策略、校验规则和运行追踪字段。</w:t>
      </w:r>
    </w:p>
    <w:p>
      <w:pPr>
        <w:pStyle w:val="Heading2"/>
      </w:pPr>
      <w:r>
        <w:t>A2. 特殊细胞证据卡示例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94"/>
            <w:shd w:fill="F5F6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keepLines/>
            </w:pPr>
            <w:r/>
            <w:r>
              <w:rPr>
                <w:rFonts w:ascii="DejaVu Sans Mono" w:hAnsi="DejaVu Sans Mono"/>
                <w:color w:val="243447"/>
                <w:sz w:val="15"/>
              </w:rPr>
              <w:t>{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"cluster_id": "cluster_7",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"hypothesis_type": "cell_type",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"candidate_label": "candidate_myeloid_subtype",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"ontology_id": null,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"label_level": "provisional",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"supporting_evidence_ids": ["marker_evidence_001"],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"contradicting_evidence_ids": ["conflict_evidence_001"],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"technical_risks": ["low_cell_count"],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"cross_modal_status": "not_yet_validated",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"final_status": "requires_review",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 xml:space="preserve">  "reviewer_id": null</w:t>
            </w:r>
          </w:p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3447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pStyle w:val="Small"/>
      </w:pPr>
      <w:r>
        <w:rPr>
          <w:rFonts w:ascii="Noto Sans CJK SC" w:hAnsi="Noto Sans CJK SC" w:eastAsia="Noto Sans CJK SC"/>
          <w:i w:val="0"/>
        </w:rPr>
        <w:t>说明：标签是占位示例，不代表真实数据结论。实际内容必须来自具体项目的计算输出和已验证来源。</w:t>
      </w:r>
    </w:p>
    <w:p>
      <w:pPr>
        <w:pStyle w:val="Heading1"/>
      </w:pPr>
      <w:r>
        <w:t>附录 B. 技术参考资料</w:t>
      </w:r>
    </w:p>
    <w:p>
      <w:r>
        <w:rPr>
          <w:rFonts w:ascii="Noto Sans CJK SC" w:hAnsi="Noto Sans CJK SC" w:eastAsia="Noto Sans CJK SC"/>
          <w:i w:val="0"/>
        </w:rPr>
        <w:t>以下资料用于确认本方案中的成熟工具、数据结构与评估方向。上线实施时应再次检查具体版本、兼容性、许可与维护状态。访问日期：2026-10-19。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 xml:space="preserve">1. Scanpy 官方文档：单细胞基因表达分析工具包。 </w:t>
      </w:r>
      <w:r>
        <w:rPr>
          <w:rFonts w:ascii="Noto Sans CJK SC" w:hAnsi="Noto Sans CJK SC"/>
          <w:color w:val="1F5A94"/>
          <w:sz w:val="16"/>
        </w:rPr>
        <w:t>https://scanpy.readthedocs.io/en/stable/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 xml:space="preserve">2. scvi-tools 多模态教程：包括 totalVI、MultiVI、参考映射等。 </w:t>
      </w:r>
      <w:r>
        <w:rPr>
          <w:rFonts w:ascii="Noto Sans CJK SC" w:hAnsi="Noto Sans CJK SC"/>
          <w:color w:val="1F5A94"/>
          <w:sz w:val="16"/>
        </w:rPr>
        <w:t>https://docs.scvi-tools.org/en/stable/tutorials/index_multimodal.html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 xml:space="preserve">3. Nextflow 官方文档：可扩展、可移植、可复现的计算工作流。 </w:t>
      </w:r>
      <w:r>
        <w:rPr>
          <w:rFonts w:ascii="Noto Sans CJK SC" w:hAnsi="Noto Sans CJK SC"/>
          <w:color w:val="1F5A94"/>
          <w:sz w:val="16"/>
        </w:rPr>
        <w:t>https://nextflow.io/docs/latest/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 xml:space="preserve">4. MuData 项目说明：多模态数据容器与模态关联。 </w:t>
      </w:r>
      <w:r>
        <w:rPr>
          <w:rFonts w:ascii="Noto Sans CJK SC" w:hAnsi="Noto Sans CJK SC"/>
          <w:color w:val="1F5A94"/>
          <w:sz w:val="16"/>
        </w:rPr>
        <w:t>https://github.com/scverse/mudata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 xml:space="preserve">5. SpatialData 官方文档：空间组学数据框架、Schema 与序列化。 </w:t>
      </w:r>
      <w:r>
        <w:rPr>
          <w:rFonts w:ascii="Noto Sans CJK SC" w:hAnsi="Noto Sans CJK SC"/>
          <w:color w:val="1F5A94"/>
          <w:sz w:val="16"/>
        </w:rPr>
        <w:t>https://spatialdata.scverse.org/en/stable/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 xml:space="preserve">6. scib-metrics 官方文档：单细胞整合方法评估指标。 </w:t>
      </w:r>
      <w:r>
        <w:rPr>
          <w:rFonts w:ascii="Noto Sans CJK SC" w:hAnsi="Noto Sans CJK SC"/>
          <w:color w:val="1F5A94"/>
          <w:sz w:val="16"/>
        </w:rPr>
        <w:t>https://scib-metrics.readthedocs.io/en/stable/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 xml:space="preserve">7. Cell Ontology（OBO Foundry）：标准化动物细胞类型术语本体。 </w:t>
      </w:r>
      <w:r>
        <w:rPr>
          <w:rFonts w:ascii="Noto Sans CJK SC" w:hAnsi="Noto Sans CJK SC"/>
          <w:color w:val="1F5A94"/>
          <w:sz w:val="16"/>
        </w:rPr>
        <w:t>https://obofoundry.org/ontology/cl.html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 xml:space="preserve">8. CELLxGENE Census 官方文档：大规模单细胞数据访问与互操作。 </w:t>
      </w:r>
      <w:r>
        <w:rPr>
          <w:rFonts w:ascii="Noto Sans CJK SC" w:hAnsi="Noto Sans CJK SC"/>
          <w:color w:val="1F5A94"/>
          <w:sz w:val="16"/>
        </w:rPr>
        <w:t>https://cellxgene-census.readthedocs.io/en/latest/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 xml:space="preserve">9. LangGraph 官方参考文档：有状态、多步骤语言模型工作流。 </w:t>
      </w:r>
      <w:r>
        <w:rPr>
          <w:rFonts w:ascii="Noto Sans CJK SC" w:hAnsi="Noto Sans CJK SC"/>
          <w:color w:val="1F5A94"/>
          <w:sz w:val="16"/>
        </w:rPr>
        <w:t>https://reference.langchain.com/python/langgraph/overview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 xml:space="preserve">10. Benchmarking LLM-based agents for single-cell omics analysis，Genome Biology，2026。 </w:t>
      </w:r>
      <w:r>
        <w:rPr>
          <w:rFonts w:ascii="Noto Sans CJK SC" w:hAnsi="Noto Sans CJK SC"/>
          <w:color w:val="1F5A94"/>
          <w:sz w:val="16"/>
        </w:rPr>
        <w:t>https://pmc.ncbi.nlm.nih.gov/articles/PMC13064268/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 xml:space="preserve">11. Seurat 官方网站：R 生态单细胞分析框架。 </w:t>
      </w:r>
      <w:r>
        <w:rPr>
          <w:rFonts w:ascii="Noto Sans CJK SC" w:hAnsi="Noto Sans CJK SC"/>
          <w:color w:val="1F5A94"/>
          <w:sz w:val="16"/>
        </w:rPr>
        <w:t>https://satijalab.org/seurat/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B6573"/>
        <w:sz w:val="16"/>
      </w:rPr>
      <w:t xml:space="preserve">技术方案 · 内部讨论稿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B6573"/>
        <w:sz w:val="16"/>
      </w:rPr>
      <w:t>AI 辅助单细胞多组学分析平台｜建设方案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A9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Noto Sans CJK SC" w:hAnsi="Noto Sans CJK SC" w:eastAsia="Noto Sans CJK SC"/>
      <w:color w:val="5B6573"/>
      <w:sz w:val="16"/>
    </w:rPr>
  </w:style>
  <w:style w:type="paragraph" w:customStyle="1" w:styleId="CodeBlock">
    <w:name w:val="CodeBlock"/>
    <w:pPr>
      <w:spacing w:after="0" w:line="240" w:lineRule="auto"/>
      <w:ind w:left="230" w:right="173"/>
    </w:pPr>
    <w:rPr>
      <w:rFonts w:ascii="DejaVu Sans Mono" w:hAnsi="DejaVu Sans Mon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辅助单细胞多组学分析平台建设方案</dc:title>
  <dc:subject>服务团队、特殊细胞优先、多组学扩展、混合部署</dc:subject>
  <dc:creator>OpenAI</dc:creator>
  <cp:keywords>单细胞, 多组学, AI, 特殊细胞, 生物信息学, RAG, 工作流, 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