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040F" w14:textId="3CA364ED" w:rsidR="00725E5C" w:rsidRDefault="00971BBA" w:rsidP="00725E5C">
      <w:r w:rsidRPr="00971BBA">
        <w:rPr>
          <w:b/>
          <w:bCs/>
        </w:rPr>
        <w:t>Data Table</w:t>
      </w:r>
      <w:r w:rsidR="00725E5C" w:rsidRPr="00971BBA">
        <w:rPr>
          <w:b/>
          <w:bCs/>
        </w:rPr>
        <w:t xml:space="preserve"> </w:t>
      </w:r>
    </w:p>
    <w:p w14:paraId="12FCDE7F" w14:textId="019BDB22" w:rsidR="00FF07ED" w:rsidRDefault="00971BBA" w:rsidP="00725E5C">
      <w:r>
        <w:t xml:space="preserve">The study design called for sampling 500 </w:t>
      </w:r>
      <w:r w:rsidR="00FF07ED">
        <w:t>respondents</w:t>
      </w:r>
      <w:r>
        <w:t xml:space="preserve"> per country within each wave, equally balanced between </w:t>
      </w:r>
      <w:r w:rsidR="00FF07ED">
        <w:t xml:space="preserve">250 </w:t>
      </w:r>
      <w:r>
        <w:t xml:space="preserve">teens </w:t>
      </w:r>
      <w:r w:rsidR="00FF07ED">
        <w:t>(ages 13-17)</w:t>
      </w:r>
      <w:r>
        <w:t xml:space="preserve">and </w:t>
      </w:r>
      <w:r w:rsidR="00FF07ED">
        <w:t xml:space="preserve">250 </w:t>
      </w:r>
      <w:r>
        <w:t>adults</w:t>
      </w:r>
      <w:r w:rsidR="00FF07ED">
        <w:t xml:space="preserve"> (ages 18-74). Additional adult age quotas were set to ensure the respondent mix reflected the internet user population within the country.  Quotas were also set to ensure  representation of both males and females within each age group.</w:t>
      </w:r>
    </w:p>
    <w:p w14:paraId="692D8F8E" w14:textId="0BEDEAA4" w:rsidR="00FF07ED" w:rsidRDefault="00FF07ED" w:rsidP="00725E5C">
      <w:r>
        <w:t>All countries included in the final dataset were surveyed across at least four waves, ensuring at least 2,000 total respondents from each geo (hence at least 1,000 teen and adult respondents).</w:t>
      </w:r>
    </w:p>
    <w:p w14:paraId="4AA9F72A" w14:textId="0603197C" w:rsidR="00FF602D" w:rsidRDefault="00971BBA" w:rsidP="00725E5C">
      <w:r>
        <w:t xml:space="preserve">The dataset includes 120 variables including basic respondent demographics (age, gender, country) along with key questions repeated across multiple waves. </w:t>
      </w:r>
      <w:r w:rsidR="00FF602D">
        <w:t xml:space="preserve">Note that </w:t>
      </w:r>
      <w:r w:rsidR="00BE2F9C">
        <w:t xml:space="preserve">select </w:t>
      </w:r>
      <w:r w:rsidR="00FF602D">
        <w:t>countr</w:t>
      </w:r>
      <w:r w:rsidR="00BE2F9C">
        <w:t>ies</w:t>
      </w:r>
      <w:r w:rsidR="00FF602D">
        <w:t xml:space="preserve"> </w:t>
      </w:r>
      <w:r w:rsidR="00BE2F9C">
        <w:t>were not</w:t>
      </w:r>
      <w:r w:rsidR="00FF602D">
        <w:t xml:space="preserve"> represented across </w:t>
      </w:r>
      <w:r w:rsidR="00BE2F9C">
        <w:t>all</w:t>
      </w:r>
      <w:r w:rsidR="00FF602D">
        <w:t xml:space="preserve"> 6 waves, </w:t>
      </w:r>
      <w:r w:rsidR="007C705B">
        <w:t>and items</w:t>
      </w:r>
      <w:r w:rsidR="00FF602D">
        <w:t xml:space="preserve"> changed slightly over time</w:t>
      </w:r>
      <w:r w:rsidR="00BE2F9C">
        <w:t xml:space="preserve">, </w:t>
      </w:r>
      <w:r w:rsidR="00FF602D">
        <w:t xml:space="preserve">so not </w:t>
      </w:r>
      <w:r w:rsidR="007C705B">
        <w:t>every</w:t>
      </w:r>
      <w:r w:rsidR="00FF602D">
        <w:t xml:space="preserve"> </w:t>
      </w:r>
      <w:r w:rsidR="00BE2F9C">
        <w:t>response item</w:t>
      </w:r>
      <w:r w:rsidR="00FF602D">
        <w:t xml:space="preserve"> is found in all 6 waves.</w:t>
      </w:r>
    </w:p>
    <w:p w14:paraId="6363ADBD" w14:textId="218A1DE7" w:rsidR="00971BBA" w:rsidRDefault="00971BBA" w:rsidP="00725E5C">
      <w:r>
        <w:t>Key topics/variables in the dataset include:</w:t>
      </w:r>
    </w:p>
    <w:p w14:paraId="15841E37" w14:textId="0F583696" w:rsidR="00FF07ED" w:rsidRPr="00FF602D" w:rsidRDefault="00FF602D" w:rsidP="00FF602D">
      <w:pPr>
        <w:pStyle w:val="ListParagraph"/>
        <w:numPr>
          <w:ilvl w:val="0"/>
          <w:numId w:val="1"/>
        </w:numPr>
      </w:pPr>
      <w:r w:rsidRPr="00FF602D">
        <w:rPr>
          <w:rFonts w:ascii="Segoe UI" w:hAnsi="Segoe UI" w:cs="Segoe UI"/>
          <w:b/>
          <w:bCs/>
          <w:color w:val="24292F"/>
          <w:sz w:val="18"/>
          <w:szCs w:val="18"/>
          <w:shd w:val="clear" w:color="auto" w:fill="FFFFFF"/>
        </w:rPr>
        <w:t>Online Risks</w:t>
      </w:r>
      <w:r w:rsidR="007C705B">
        <w:rPr>
          <w:rFonts w:ascii="Segoe UI" w:hAnsi="Segoe UI" w:cs="Segoe UI"/>
          <w:b/>
          <w:bCs/>
          <w:color w:val="24292F"/>
          <w:sz w:val="18"/>
          <w:szCs w:val="18"/>
          <w:shd w:val="clear" w:color="auto" w:fill="FFFFFF"/>
        </w:rPr>
        <w:t xml:space="preserve"> Encountered</w:t>
      </w:r>
      <w:r w:rsidRPr="00FF602D">
        <w:rPr>
          <w:rFonts w:ascii="Segoe UI" w:hAnsi="Segoe UI" w:cs="Segoe UI"/>
          <w:color w:val="24292F"/>
          <w:sz w:val="18"/>
          <w:szCs w:val="18"/>
          <w:shd w:val="clear" w:color="auto" w:fill="FFFFFF"/>
        </w:rPr>
        <w:t xml:space="preserve"> (</w:t>
      </w:r>
      <w:r w:rsidR="00FF07ED" w:rsidRPr="00FF602D">
        <w:rPr>
          <w:rFonts w:ascii="Segoe UI" w:hAnsi="Segoe UI" w:cs="Segoe UI"/>
          <w:color w:val="24292F"/>
          <w:sz w:val="18"/>
          <w:szCs w:val="18"/>
          <w:shd w:val="clear" w:color="auto" w:fill="FFFFFF"/>
        </w:rPr>
        <w:t>Q2</w:t>
      </w:r>
      <w:r w:rsidRPr="00FF602D">
        <w:rPr>
          <w:rFonts w:ascii="Segoe UI" w:hAnsi="Segoe UI" w:cs="Segoe UI"/>
          <w:color w:val="24292F"/>
          <w:sz w:val="18"/>
          <w:szCs w:val="18"/>
          <w:shd w:val="clear" w:color="auto" w:fill="FFFFFF"/>
        </w:rPr>
        <w:t xml:space="preserve">A_Doxing to Q2U_unwanted sexual attention) </w:t>
      </w:r>
      <w:proofErr w:type="gramStart"/>
      <w:r w:rsidRPr="00FF602D">
        <w:rPr>
          <w:rFonts w:ascii="Segoe UI" w:hAnsi="Segoe UI" w:cs="Segoe UI"/>
          <w:color w:val="24292F"/>
          <w:sz w:val="18"/>
          <w:szCs w:val="18"/>
          <w:shd w:val="clear" w:color="auto" w:fill="FFFFFF"/>
        </w:rPr>
        <w:t>Twenty one</w:t>
      </w:r>
      <w:proofErr w:type="gramEnd"/>
      <w:r w:rsidRPr="00FF602D">
        <w:rPr>
          <w:rFonts w:ascii="Segoe UI" w:hAnsi="Segoe UI" w:cs="Segoe UI"/>
          <w:color w:val="24292F"/>
          <w:sz w:val="18"/>
          <w:szCs w:val="18"/>
          <w:shd w:val="clear" w:color="auto" w:fill="FFFFFF"/>
        </w:rPr>
        <w:t xml:space="preserve"> risk items asking respondents whether they </w:t>
      </w:r>
      <w:r w:rsidR="00FF07ED" w:rsidRPr="00FF602D">
        <w:rPr>
          <w:rFonts w:ascii="Segoe UI" w:hAnsi="Segoe UI" w:cs="Segoe UI"/>
          <w:color w:val="24292F"/>
          <w:sz w:val="18"/>
          <w:szCs w:val="18"/>
          <w:shd w:val="clear" w:color="auto" w:fill="FFFFFF"/>
        </w:rPr>
        <w:t>encountered</w:t>
      </w:r>
      <w:r>
        <w:rPr>
          <w:rFonts w:ascii="Segoe UI" w:hAnsi="Segoe UI" w:cs="Segoe UI"/>
          <w:color w:val="24292F"/>
          <w:sz w:val="18"/>
          <w:szCs w:val="18"/>
          <w:shd w:val="clear" w:color="auto" w:fill="FFFFFF"/>
        </w:rPr>
        <w:t xml:space="preserve"> s</w:t>
      </w:r>
      <w:r w:rsidRPr="00FF602D">
        <w:rPr>
          <w:rFonts w:ascii="Segoe UI" w:hAnsi="Segoe UI" w:cs="Segoe UI"/>
          <w:color w:val="24292F"/>
          <w:sz w:val="18"/>
          <w:szCs w:val="18"/>
          <w:shd w:val="clear" w:color="auto" w:fill="FFFFFF"/>
        </w:rPr>
        <w:t>pecific types of internet</w:t>
      </w:r>
      <w:r>
        <w:rPr>
          <w:rFonts w:ascii="Segoe UI" w:hAnsi="Segoe UI" w:cs="Segoe UI"/>
          <w:color w:val="24292F"/>
          <w:sz w:val="18"/>
          <w:szCs w:val="18"/>
          <w:shd w:val="clear" w:color="auto" w:fill="FFFFFF"/>
        </w:rPr>
        <w:t xml:space="preserve"> incivility.</w:t>
      </w:r>
    </w:p>
    <w:p w14:paraId="4E36269A" w14:textId="6936E5E4" w:rsidR="00FF602D" w:rsidRPr="004152CB" w:rsidRDefault="00FF602D" w:rsidP="00FF602D">
      <w:pPr>
        <w:pStyle w:val="ListParagraph"/>
        <w:numPr>
          <w:ilvl w:val="0"/>
          <w:numId w:val="1"/>
        </w:numPr>
      </w:pPr>
      <w:r w:rsidRPr="00FF602D">
        <w:rPr>
          <w:rFonts w:ascii="Segoe UI" w:hAnsi="Segoe UI" w:cs="Segoe UI"/>
          <w:b/>
          <w:bCs/>
          <w:color w:val="24292F"/>
          <w:sz w:val="18"/>
          <w:szCs w:val="18"/>
          <w:shd w:val="clear" w:color="auto" w:fill="FFFFFF"/>
        </w:rPr>
        <w:t>Risk Sources</w:t>
      </w:r>
      <w:r>
        <w:rPr>
          <w:rFonts w:ascii="Segoe UI" w:hAnsi="Segoe UI" w:cs="Segoe UI"/>
          <w:color w:val="24292F"/>
          <w:sz w:val="18"/>
          <w:szCs w:val="18"/>
          <w:shd w:val="clear" w:color="auto" w:fill="FFFFFF"/>
        </w:rPr>
        <w:t xml:space="preserve"> (Q2ar1_risk source to Q2axnone) </w:t>
      </w:r>
      <w:r w:rsidR="004152CB">
        <w:rPr>
          <w:rFonts w:ascii="Segoe UI" w:hAnsi="Segoe UI" w:cs="Segoe UI"/>
          <w:color w:val="24292F"/>
          <w:sz w:val="18"/>
          <w:szCs w:val="18"/>
          <w:shd w:val="clear" w:color="auto" w:fill="FFFFFF"/>
        </w:rPr>
        <w:t>Who were the sources of</w:t>
      </w:r>
      <w:r>
        <w:rPr>
          <w:rFonts w:ascii="Segoe UI" w:hAnsi="Segoe UI" w:cs="Segoe UI"/>
          <w:color w:val="24292F"/>
          <w:sz w:val="18"/>
          <w:szCs w:val="18"/>
          <w:shd w:val="clear" w:color="auto" w:fill="FFFFFF"/>
        </w:rPr>
        <w:t xml:space="preserve"> uncivil behavior</w:t>
      </w:r>
      <w:r w:rsidR="004152CB">
        <w:rPr>
          <w:rFonts w:ascii="Segoe UI" w:hAnsi="Segoe UI" w:cs="Segoe UI"/>
          <w:color w:val="24292F"/>
          <w:sz w:val="18"/>
          <w:szCs w:val="18"/>
          <w:shd w:val="clear" w:color="auto" w:fill="FFFFFF"/>
        </w:rPr>
        <w:t xml:space="preserve"> that respondents encountered</w:t>
      </w:r>
      <w:r>
        <w:rPr>
          <w:rFonts w:ascii="Segoe UI" w:hAnsi="Segoe UI" w:cs="Segoe UI"/>
          <w:color w:val="24292F"/>
          <w:sz w:val="18"/>
          <w:szCs w:val="18"/>
          <w:shd w:val="clear" w:color="auto" w:fill="FFFFFF"/>
        </w:rPr>
        <w:t xml:space="preserve"> </w:t>
      </w:r>
    </w:p>
    <w:p w14:paraId="7A1E5DD4" w14:textId="4A8DBD5B" w:rsidR="004152CB" w:rsidRPr="004152CB" w:rsidRDefault="004152CB" w:rsidP="00FF602D">
      <w:pPr>
        <w:pStyle w:val="ListParagraph"/>
        <w:numPr>
          <w:ilvl w:val="0"/>
          <w:numId w:val="1"/>
        </w:numPr>
      </w:pPr>
      <w:r>
        <w:rPr>
          <w:rFonts w:ascii="Segoe UI" w:hAnsi="Segoe UI" w:cs="Segoe UI"/>
          <w:b/>
          <w:bCs/>
          <w:color w:val="24292F"/>
          <w:sz w:val="18"/>
          <w:szCs w:val="18"/>
          <w:shd w:val="clear" w:color="auto" w:fill="FFFFFF"/>
        </w:rPr>
        <w:t xml:space="preserve">Pain experienced </w:t>
      </w:r>
      <w:r>
        <w:rPr>
          <w:rFonts w:ascii="Segoe UI" w:hAnsi="Segoe UI" w:cs="Segoe UI"/>
          <w:color w:val="24292F"/>
          <w:sz w:val="18"/>
          <w:szCs w:val="18"/>
          <w:shd w:val="clear" w:color="auto" w:fill="FFFFFF"/>
        </w:rPr>
        <w:t xml:space="preserve">(Q5_1A_pain to Q5_1U) How much pain was caused by any </w:t>
      </w:r>
      <w:r w:rsidR="00383795">
        <w:rPr>
          <w:rFonts w:ascii="Segoe UI" w:hAnsi="Segoe UI" w:cs="Segoe UI"/>
          <w:color w:val="24292F"/>
          <w:sz w:val="18"/>
          <w:szCs w:val="18"/>
          <w:shd w:val="clear" w:color="auto" w:fill="FFFFFF"/>
        </w:rPr>
        <w:t xml:space="preserve">specific </w:t>
      </w:r>
      <w:proofErr w:type="gramStart"/>
      <w:r>
        <w:rPr>
          <w:rFonts w:ascii="Segoe UI" w:hAnsi="Segoe UI" w:cs="Segoe UI"/>
          <w:color w:val="24292F"/>
          <w:sz w:val="18"/>
          <w:szCs w:val="18"/>
          <w:shd w:val="clear" w:color="auto" w:fill="FFFFFF"/>
        </w:rPr>
        <w:t>risks</w:t>
      </w:r>
      <w:proofErr w:type="gramEnd"/>
      <w:r>
        <w:rPr>
          <w:rFonts w:ascii="Segoe UI" w:hAnsi="Segoe UI" w:cs="Segoe UI"/>
          <w:color w:val="24292F"/>
          <w:sz w:val="18"/>
          <w:szCs w:val="18"/>
          <w:shd w:val="clear" w:color="auto" w:fill="FFFFFF"/>
        </w:rPr>
        <w:t xml:space="preserve"> respondents experienced in Q2. </w:t>
      </w:r>
      <w:r>
        <w:rPr>
          <w:rFonts w:ascii="Segoe UI" w:hAnsi="Segoe UI" w:cs="Segoe UI"/>
          <w:i/>
          <w:iCs/>
          <w:color w:val="24292F"/>
          <w:sz w:val="18"/>
          <w:szCs w:val="18"/>
          <w:shd w:val="clear" w:color="auto" w:fill="FFFFFF"/>
        </w:rPr>
        <w:t>Asked for up to 5 randomly selected risks a given user experienced</w:t>
      </w:r>
    </w:p>
    <w:p w14:paraId="1088B1B0" w14:textId="0424A893" w:rsidR="004152CB" w:rsidRPr="004152CB" w:rsidRDefault="004152CB" w:rsidP="00FF602D">
      <w:pPr>
        <w:pStyle w:val="ListParagraph"/>
        <w:numPr>
          <w:ilvl w:val="0"/>
          <w:numId w:val="1"/>
        </w:numPr>
      </w:pPr>
      <w:proofErr w:type="spellStart"/>
      <w:r w:rsidRPr="004152CB">
        <w:rPr>
          <w:rFonts w:ascii="Segoe UI" w:hAnsi="Segoe UI" w:cs="Segoe UI"/>
          <w:b/>
          <w:bCs/>
          <w:color w:val="24292F"/>
          <w:sz w:val="18"/>
          <w:szCs w:val="18"/>
          <w:shd w:val="clear" w:color="auto" w:fill="FFFFFF"/>
        </w:rPr>
        <w:t>MaxPain</w:t>
      </w:r>
      <w:proofErr w:type="spellEnd"/>
      <w:r w:rsidRPr="004152CB">
        <w:rPr>
          <w:rFonts w:ascii="Segoe UI" w:hAnsi="Segoe UI" w:cs="Segoe UI"/>
          <w:color w:val="24292F"/>
          <w:sz w:val="18"/>
          <w:szCs w:val="18"/>
          <w:shd w:val="clear" w:color="auto" w:fill="FFFFFF"/>
        </w:rPr>
        <w:t xml:space="preserve"> What was the highest level of pain/discomfort experienced </w:t>
      </w:r>
      <w:r w:rsidR="00383795">
        <w:rPr>
          <w:rFonts w:ascii="Segoe UI" w:hAnsi="Segoe UI" w:cs="Segoe UI"/>
          <w:color w:val="24292F"/>
          <w:sz w:val="18"/>
          <w:szCs w:val="18"/>
          <w:shd w:val="clear" w:color="auto" w:fill="FFFFFF"/>
        </w:rPr>
        <w:t>from</w:t>
      </w:r>
      <w:r w:rsidRPr="004152CB">
        <w:rPr>
          <w:rFonts w:ascii="Segoe UI" w:hAnsi="Segoe UI" w:cs="Segoe UI"/>
          <w:color w:val="24292F"/>
          <w:sz w:val="18"/>
          <w:szCs w:val="18"/>
          <w:shd w:val="clear" w:color="auto" w:fill="FFFFFF"/>
        </w:rPr>
        <w:t xml:space="preserve"> any online risk</w:t>
      </w:r>
    </w:p>
    <w:p w14:paraId="2A6286C9" w14:textId="4DB43D3F" w:rsidR="004152CB" w:rsidRPr="004152CB" w:rsidRDefault="004152CB" w:rsidP="00FF602D">
      <w:pPr>
        <w:pStyle w:val="ListParagraph"/>
        <w:numPr>
          <w:ilvl w:val="0"/>
          <w:numId w:val="1"/>
        </w:numPr>
      </w:pPr>
      <w:r w:rsidRPr="007C705B">
        <w:rPr>
          <w:rFonts w:ascii="Segoe UI" w:hAnsi="Segoe UI" w:cs="Segoe UI"/>
          <w:b/>
          <w:bCs/>
          <w:color w:val="24292F"/>
          <w:sz w:val="18"/>
          <w:szCs w:val="18"/>
          <w:shd w:val="clear" w:color="auto" w:fill="FFFFFF"/>
        </w:rPr>
        <w:t>Recency of risk</w:t>
      </w:r>
      <w:r>
        <w:rPr>
          <w:rFonts w:ascii="Segoe UI" w:hAnsi="Segoe UI" w:cs="Segoe UI"/>
          <w:color w:val="24292F"/>
          <w:sz w:val="18"/>
          <w:szCs w:val="18"/>
          <w:shd w:val="clear" w:color="auto" w:fill="FFFFFF"/>
        </w:rPr>
        <w:t>. (Q6A_most_recent to Q6U) When was the last time the risk was experienced</w:t>
      </w:r>
    </w:p>
    <w:p w14:paraId="169E6A10" w14:textId="4632D808" w:rsidR="004152CB" w:rsidRPr="007C705B" w:rsidRDefault="007C705B" w:rsidP="00FF602D">
      <w:pPr>
        <w:pStyle w:val="ListParagraph"/>
        <w:numPr>
          <w:ilvl w:val="0"/>
          <w:numId w:val="1"/>
        </w:numPr>
      </w:pPr>
      <w:r>
        <w:rPr>
          <w:rFonts w:ascii="Segoe UI" w:hAnsi="Segoe UI" w:cs="Segoe UI"/>
          <w:b/>
          <w:bCs/>
          <w:color w:val="24292F"/>
          <w:sz w:val="18"/>
          <w:szCs w:val="18"/>
          <w:shd w:val="clear" w:color="auto" w:fill="FFFFFF"/>
        </w:rPr>
        <w:t>C</w:t>
      </w:r>
      <w:r w:rsidR="004152CB" w:rsidRPr="007C705B">
        <w:rPr>
          <w:rFonts w:ascii="Segoe UI" w:hAnsi="Segoe UI" w:cs="Segoe UI"/>
          <w:b/>
          <w:bCs/>
          <w:color w:val="24292F"/>
          <w:sz w:val="18"/>
          <w:szCs w:val="18"/>
          <w:shd w:val="clear" w:color="auto" w:fill="FFFFFF"/>
        </w:rPr>
        <w:t xml:space="preserve">onsequences of risks </w:t>
      </w:r>
      <w:r w:rsidR="004152CB" w:rsidRPr="007C705B">
        <w:rPr>
          <w:rFonts w:ascii="Segoe UI" w:hAnsi="Segoe UI" w:cs="Segoe UI"/>
          <w:color w:val="24292F"/>
          <w:sz w:val="18"/>
          <w:szCs w:val="18"/>
          <w:shd w:val="clear" w:color="auto" w:fill="FFFFFF"/>
        </w:rPr>
        <w:t>(</w:t>
      </w:r>
      <w:r w:rsidR="004152CB">
        <w:rPr>
          <w:rFonts w:ascii="Segoe UI" w:hAnsi="Segoe UI" w:cs="Segoe UI"/>
          <w:color w:val="24292F"/>
          <w:sz w:val="18"/>
          <w:szCs w:val="18"/>
          <w:shd w:val="clear" w:color="auto" w:fill="FFFFFF"/>
        </w:rPr>
        <w:t>Q9r2</w:t>
      </w:r>
      <w:r>
        <w:rPr>
          <w:rFonts w:ascii="Segoe UI" w:hAnsi="Segoe UI" w:cs="Segoe UI"/>
          <w:color w:val="24292F"/>
          <w:sz w:val="18"/>
          <w:szCs w:val="18"/>
          <w:shd w:val="clear" w:color="auto" w:fill="FFFFFF"/>
        </w:rPr>
        <w:t xml:space="preserve">_consiquences to Q9r25) What consequences were experienced </w:t>
      </w:r>
      <w:proofErr w:type="gramStart"/>
      <w:r>
        <w:rPr>
          <w:rFonts w:ascii="Segoe UI" w:hAnsi="Segoe UI" w:cs="Segoe UI"/>
          <w:color w:val="24292F"/>
          <w:sz w:val="18"/>
          <w:szCs w:val="18"/>
          <w:shd w:val="clear" w:color="auto" w:fill="FFFFFF"/>
        </w:rPr>
        <w:t>as a result of</w:t>
      </w:r>
      <w:proofErr w:type="gramEnd"/>
      <w:r>
        <w:rPr>
          <w:rFonts w:ascii="Segoe UI" w:hAnsi="Segoe UI" w:cs="Segoe UI"/>
          <w:color w:val="24292F"/>
          <w:sz w:val="18"/>
          <w:szCs w:val="18"/>
          <w:shd w:val="clear" w:color="auto" w:fill="FFFFFF"/>
        </w:rPr>
        <w:t xml:space="preserve"> online incivility</w:t>
      </w:r>
    </w:p>
    <w:p w14:paraId="27A62B11" w14:textId="77777777" w:rsidR="00BE2F9C" w:rsidRPr="00BE2F9C" w:rsidRDefault="007C705B" w:rsidP="00BE2F9C">
      <w:pPr>
        <w:pStyle w:val="ListParagraph"/>
        <w:numPr>
          <w:ilvl w:val="0"/>
          <w:numId w:val="1"/>
        </w:numPr>
        <w:rPr>
          <w:rFonts w:ascii="Segoe UI" w:hAnsi="Segoe UI" w:cs="Segoe UI"/>
          <w:color w:val="24292F"/>
          <w:sz w:val="18"/>
          <w:szCs w:val="18"/>
          <w:shd w:val="clear" w:color="auto" w:fill="FFFFFF"/>
        </w:rPr>
      </w:pPr>
      <w:r>
        <w:rPr>
          <w:rFonts w:ascii="Segoe UI" w:hAnsi="Segoe UI" w:cs="Segoe UI"/>
          <w:b/>
          <w:bCs/>
          <w:color w:val="24292F"/>
          <w:sz w:val="18"/>
          <w:szCs w:val="18"/>
          <w:shd w:val="clear" w:color="auto" w:fill="FFFFFF"/>
        </w:rPr>
        <w:t>Actions taken in response to online risks</w:t>
      </w:r>
      <w:r>
        <w:rPr>
          <w:rFonts w:ascii="Segoe UI" w:hAnsi="Segoe UI" w:cs="Segoe UI"/>
          <w:color w:val="24292F"/>
          <w:sz w:val="18"/>
          <w:szCs w:val="18"/>
          <w:shd w:val="clear" w:color="auto" w:fill="FFFFFF"/>
        </w:rPr>
        <w:t xml:space="preserve"> (Q12r1_actions_take to Q12r22)</w:t>
      </w:r>
      <w:r w:rsidR="00BE2F9C" w:rsidRPr="00BE2F9C">
        <w:rPr>
          <w:rFonts w:ascii="Segoe UI" w:hAnsi="Segoe UI" w:cs="Segoe UI"/>
          <w:b/>
          <w:bCs/>
          <w:color w:val="24292F"/>
          <w:sz w:val="18"/>
          <w:szCs w:val="18"/>
          <w:shd w:val="clear" w:color="auto" w:fill="FFFFFF"/>
        </w:rPr>
        <w:t xml:space="preserve"> </w:t>
      </w:r>
    </w:p>
    <w:p w14:paraId="0A783B8C" w14:textId="5FA08EEB" w:rsidR="00BE2F9C" w:rsidRPr="00FF602D" w:rsidRDefault="00BE2F9C" w:rsidP="00BE2F9C">
      <w:pPr>
        <w:pStyle w:val="ListParagraph"/>
        <w:numPr>
          <w:ilvl w:val="0"/>
          <w:numId w:val="1"/>
        </w:numPr>
        <w:rPr>
          <w:rFonts w:ascii="Segoe UI" w:hAnsi="Segoe UI" w:cs="Segoe UI"/>
          <w:color w:val="24292F"/>
          <w:sz w:val="18"/>
          <w:szCs w:val="18"/>
          <w:shd w:val="clear" w:color="auto" w:fill="FFFFFF"/>
        </w:rPr>
      </w:pPr>
      <w:proofErr w:type="spellStart"/>
      <w:r w:rsidRPr="00FF602D">
        <w:rPr>
          <w:rFonts w:ascii="Segoe UI" w:hAnsi="Segoe UI" w:cs="Segoe UI"/>
          <w:b/>
          <w:bCs/>
          <w:color w:val="24292F"/>
          <w:sz w:val="18"/>
          <w:szCs w:val="18"/>
          <w:shd w:val="clear" w:color="auto" w:fill="FFFFFF"/>
        </w:rPr>
        <w:t>WW_Weight</w:t>
      </w:r>
      <w:proofErr w:type="spellEnd"/>
      <w:r w:rsidRPr="00FF602D">
        <w:rPr>
          <w:rFonts w:ascii="Segoe UI" w:hAnsi="Segoe UI" w:cs="Segoe UI"/>
          <w:b/>
          <w:bCs/>
          <w:color w:val="24292F"/>
          <w:sz w:val="18"/>
          <w:szCs w:val="18"/>
          <w:shd w:val="clear" w:color="auto" w:fill="FFFFFF"/>
        </w:rPr>
        <w:t>:</w:t>
      </w:r>
      <w:r w:rsidRPr="00FF602D">
        <w:rPr>
          <w:rFonts w:ascii="Segoe UI" w:hAnsi="Segoe UI" w:cs="Segoe UI"/>
          <w:color w:val="24292F"/>
          <w:sz w:val="18"/>
          <w:szCs w:val="18"/>
          <w:shd w:val="clear" w:color="auto" w:fill="FFFFFF"/>
        </w:rPr>
        <w:t xml:space="preserve"> a weighting variable which exactly balances out males and females within adult and teen quotas</w:t>
      </w:r>
      <w:r w:rsidR="00383795">
        <w:rPr>
          <w:rFonts w:ascii="Segoe UI" w:hAnsi="Segoe UI" w:cs="Segoe UI"/>
          <w:color w:val="24292F"/>
          <w:sz w:val="18"/>
          <w:szCs w:val="18"/>
          <w:shd w:val="clear" w:color="auto" w:fill="FFFFFF"/>
        </w:rPr>
        <w:t xml:space="preserve"> in each country</w:t>
      </w:r>
      <w:r>
        <w:rPr>
          <w:rFonts w:ascii="Segoe UI" w:hAnsi="Segoe UI" w:cs="Segoe UI"/>
          <w:color w:val="24292F"/>
          <w:sz w:val="18"/>
          <w:szCs w:val="18"/>
          <w:shd w:val="clear" w:color="auto" w:fill="FFFFFF"/>
        </w:rPr>
        <w:t xml:space="preserve">. </w:t>
      </w:r>
      <w:r>
        <w:rPr>
          <w:rFonts w:ascii="Segoe UI" w:hAnsi="Segoe UI" w:cs="Segoe UI"/>
          <w:color w:val="24292F"/>
          <w:sz w:val="18"/>
          <w:szCs w:val="18"/>
          <w:shd w:val="clear" w:color="auto" w:fill="FFFFFF"/>
        </w:rPr>
        <w:t>Useful</w:t>
      </w:r>
      <w:r>
        <w:rPr>
          <w:rFonts w:ascii="Segoe UI" w:hAnsi="Segoe UI" w:cs="Segoe UI"/>
          <w:color w:val="24292F"/>
          <w:sz w:val="18"/>
          <w:szCs w:val="18"/>
          <w:shd w:val="clear" w:color="auto" w:fill="FFFFFF"/>
        </w:rPr>
        <w:t xml:space="preserve"> for comparisons between </w:t>
      </w:r>
      <w:r>
        <w:rPr>
          <w:rFonts w:ascii="Segoe UI" w:hAnsi="Segoe UI" w:cs="Segoe UI"/>
          <w:color w:val="24292F"/>
          <w:sz w:val="18"/>
          <w:szCs w:val="18"/>
          <w:shd w:val="clear" w:color="auto" w:fill="FFFFFF"/>
        </w:rPr>
        <w:t>groups or waves when the unweighted number of males vs females may</w:t>
      </w:r>
      <w:r>
        <w:rPr>
          <w:rFonts w:ascii="Segoe UI" w:hAnsi="Segoe UI" w:cs="Segoe UI"/>
          <w:color w:val="24292F"/>
          <w:sz w:val="18"/>
          <w:szCs w:val="18"/>
          <w:shd w:val="clear" w:color="auto" w:fill="FFFFFF"/>
        </w:rPr>
        <w:t xml:space="preserve"> </w:t>
      </w:r>
      <w:r>
        <w:rPr>
          <w:rFonts w:ascii="Segoe UI" w:hAnsi="Segoe UI" w:cs="Segoe UI"/>
          <w:color w:val="24292F"/>
          <w:sz w:val="18"/>
          <w:szCs w:val="18"/>
          <w:shd w:val="clear" w:color="auto" w:fill="FFFFFF"/>
        </w:rPr>
        <w:t>be different</w:t>
      </w:r>
      <w:r w:rsidR="00383795">
        <w:rPr>
          <w:rFonts w:ascii="Segoe UI" w:hAnsi="Segoe UI" w:cs="Segoe UI"/>
          <w:color w:val="24292F"/>
          <w:sz w:val="18"/>
          <w:szCs w:val="18"/>
          <w:shd w:val="clear" w:color="auto" w:fill="FFFFFF"/>
        </w:rPr>
        <w:t>.</w:t>
      </w:r>
    </w:p>
    <w:p w14:paraId="279685F2" w14:textId="41911FF5" w:rsidR="007C705B" w:rsidRPr="00971BBA" w:rsidRDefault="007C705B" w:rsidP="00BE2F9C">
      <w:pPr>
        <w:pStyle w:val="ListParagraph"/>
      </w:pPr>
    </w:p>
    <w:sectPr w:rsidR="007C705B" w:rsidRPr="00971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66DDD"/>
    <w:multiLevelType w:val="hybridMultilevel"/>
    <w:tmpl w:val="0412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E5C"/>
    <w:rsid w:val="002C77A7"/>
    <w:rsid w:val="00383795"/>
    <w:rsid w:val="004152CB"/>
    <w:rsid w:val="00725E5C"/>
    <w:rsid w:val="007C705B"/>
    <w:rsid w:val="00971BBA"/>
    <w:rsid w:val="00BE2F9C"/>
    <w:rsid w:val="00FF07ED"/>
    <w:rsid w:val="00FF6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D0EF"/>
  <w15:chartTrackingRefBased/>
  <w15:docId w15:val="{6806D58C-6503-4B3C-8207-95C518D4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3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2022-02-01T22:41:00Z</dcterms:created>
  <dcterms:modified xsi:type="dcterms:W3CDTF">2022-02-01T23:19:00Z</dcterms:modified>
</cp:coreProperties>
</file>