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5D0A" w14:paraId="504CD423" w14:textId="77777777" w:rsidTr="00485D0A">
        <w:tc>
          <w:tcPr>
            <w:tcW w:w="4675" w:type="dxa"/>
            <w:shd w:val="clear" w:color="auto" w:fill="C00000"/>
          </w:tcPr>
          <w:p w14:paraId="249FC723" w14:textId="78E63894" w:rsidR="00485D0A" w:rsidRPr="00485D0A" w:rsidRDefault="00485D0A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bookmarkStart w:id="0" w:name="_Hlk93347547"/>
            <w:r w:rsidRPr="00485D0A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KPI</w:t>
            </w:r>
          </w:p>
        </w:tc>
        <w:tc>
          <w:tcPr>
            <w:tcW w:w="4675" w:type="dxa"/>
            <w:shd w:val="clear" w:color="auto" w:fill="C00000"/>
          </w:tcPr>
          <w:p w14:paraId="20A7614F" w14:textId="5BF80E77" w:rsidR="00485D0A" w:rsidRPr="00485D0A" w:rsidRDefault="00485D0A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485D0A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Timing/Frequency (of Data Collection/Retrieval)</w:t>
            </w:r>
          </w:p>
        </w:tc>
      </w:tr>
      <w:tr w:rsidR="00485D0A" w14:paraId="63F17A8E" w14:textId="77777777" w:rsidTr="00485D0A">
        <w:tc>
          <w:tcPr>
            <w:tcW w:w="4675" w:type="dxa"/>
          </w:tcPr>
          <w:p w14:paraId="2E7324A6" w14:textId="7BEA328E" w:rsidR="00485D0A" w:rsidRPr="00485D0A" w:rsidRDefault="00485D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85D0A">
              <w:rPr>
                <w:rFonts w:ascii="Times New Roman" w:hAnsi="Times New Roman" w:cs="Times New Roman"/>
                <w:sz w:val="26"/>
                <w:szCs w:val="26"/>
              </w:rPr>
              <w:t>Employee Churn Rate</w:t>
            </w:r>
          </w:p>
        </w:tc>
        <w:tc>
          <w:tcPr>
            <w:tcW w:w="4675" w:type="dxa"/>
          </w:tcPr>
          <w:p w14:paraId="1251B74B" w14:textId="217B1B17" w:rsidR="00485D0A" w:rsidRPr="00485D0A" w:rsidRDefault="00485D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85D0A">
              <w:rPr>
                <w:rFonts w:ascii="Times New Roman" w:hAnsi="Times New Roman" w:cs="Times New Roman"/>
                <w:sz w:val="26"/>
                <w:szCs w:val="26"/>
              </w:rPr>
              <w:t>Monthly</w:t>
            </w:r>
          </w:p>
        </w:tc>
      </w:tr>
      <w:tr w:rsidR="00485D0A" w14:paraId="688DE65C" w14:textId="77777777" w:rsidTr="00485D0A">
        <w:tc>
          <w:tcPr>
            <w:tcW w:w="4675" w:type="dxa"/>
          </w:tcPr>
          <w:p w14:paraId="41F79046" w14:textId="759E6819" w:rsidR="00485D0A" w:rsidRPr="00485D0A" w:rsidRDefault="00485D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85D0A">
              <w:rPr>
                <w:rFonts w:ascii="Times New Roman" w:hAnsi="Times New Roman" w:cs="Times New Roman"/>
                <w:sz w:val="26"/>
                <w:szCs w:val="26"/>
              </w:rPr>
              <w:t>Employee Satisfaction Index</w:t>
            </w:r>
          </w:p>
        </w:tc>
        <w:tc>
          <w:tcPr>
            <w:tcW w:w="4675" w:type="dxa"/>
          </w:tcPr>
          <w:p w14:paraId="51669C7A" w14:textId="21CF1C3D" w:rsidR="00485D0A" w:rsidRPr="00485D0A" w:rsidRDefault="00485D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85D0A">
              <w:rPr>
                <w:rFonts w:ascii="Times New Roman" w:hAnsi="Times New Roman" w:cs="Times New Roman"/>
                <w:sz w:val="26"/>
                <w:szCs w:val="26"/>
              </w:rPr>
              <w:t>Monthly</w:t>
            </w:r>
          </w:p>
        </w:tc>
      </w:tr>
      <w:tr w:rsidR="00485D0A" w14:paraId="2B167BE5" w14:textId="77777777" w:rsidTr="00485D0A">
        <w:tc>
          <w:tcPr>
            <w:tcW w:w="4675" w:type="dxa"/>
          </w:tcPr>
          <w:p w14:paraId="26CB42CC" w14:textId="1CC02E45" w:rsidR="00485D0A" w:rsidRPr="00485D0A" w:rsidRDefault="00485D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85D0A">
              <w:rPr>
                <w:rFonts w:ascii="Times New Roman" w:hAnsi="Times New Roman" w:cs="Times New Roman"/>
                <w:sz w:val="26"/>
                <w:szCs w:val="26"/>
              </w:rPr>
              <w:t>OFCT</w:t>
            </w:r>
          </w:p>
        </w:tc>
        <w:tc>
          <w:tcPr>
            <w:tcW w:w="4675" w:type="dxa"/>
          </w:tcPr>
          <w:p w14:paraId="5ECE4ABF" w14:textId="3C22E59A" w:rsidR="00485D0A" w:rsidRPr="00485D0A" w:rsidRDefault="00485D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85D0A">
              <w:rPr>
                <w:rFonts w:ascii="Times New Roman" w:hAnsi="Times New Roman" w:cs="Times New Roman"/>
                <w:sz w:val="26"/>
                <w:szCs w:val="26"/>
              </w:rPr>
              <w:t>Monthly</w:t>
            </w:r>
          </w:p>
        </w:tc>
      </w:tr>
      <w:tr w:rsidR="00485D0A" w14:paraId="2BA8EC24" w14:textId="77777777" w:rsidTr="00485D0A">
        <w:tc>
          <w:tcPr>
            <w:tcW w:w="4675" w:type="dxa"/>
          </w:tcPr>
          <w:p w14:paraId="189BD95C" w14:textId="41D133B5" w:rsidR="00485D0A" w:rsidRPr="00485D0A" w:rsidRDefault="00485D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85D0A">
              <w:rPr>
                <w:rFonts w:ascii="Times New Roman" w:hAnsi="Times New Roman" w:cs="Times New Roman"/>
                <w:sz w:val="26"/>
                <w:szCs w:val="26"/>
              </w:rPr>
              <w:t>FPY</w:t>
            </w:r>
          </w:p>
        </w:tc>
        <w:tc>
          <w:tcPr>
            <w:tcW w:w="4675" w:type="dxa"/>
          </w:tcPr>
          <w:p w14:paraId="2DEE57BE" w14:textId="6BC33DB3" w:rsidR="00485D0A" w:rsidRPr="00485D0A" w:rsidRDefault="00485D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85D0A">
              <w:rPr>
                <w:rFonts w:ascii="Times New Roman" w:hAnsi="Times New Roman" w:cs="Times New Roman"/>
                <w:sz w:val="26"/>
                <w:szCs w:val="26"/>
              </w:rPr>
              <w:t>Monthly</w:t>
            </w:r>
          </w:p>
        </w:tc>
      </w:tr>
      <w:tr w:rsidR="00485D0A" w14:paraId="479A5441" w14:textId="77777777" w:rsidTr="00485D0A">
        <w:tc>
          <w:tcPr>
            <w:tcW w:w="4675" w:type="dxa"/>
          </w:tcPr>
          <w:p w14:paraId="0A77EBEF" w14:textId="0F1BEDE0" w:rsidR="00485D0A" w:rsidRPr="00485D0A" w:rsidRDefault="00485D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85D0A">
              <w:rPr>
                <w:rFonts w:ascii="Times New Roman" w:hAnsi="Times New Roman" w:cs="Times New Roman"/>
                <w:sz w:val="26"/>
                <w:szCs w:val="26"/>
              </w:rPr>
              <w:t>Quality Index</w:t>
            </w:r>
          </w:p>
        </w:tc>
        <w:tc>
          <w:tcPr>
            <w:tcW w:w="4675" w:type="dxa"/>
          </w:tcPr>
          <w:p w14:paraId="35A2F4E9" w14:textId="1C61B757" w:rsidR="00485D0A" w:rsidRPr="00485D0A" w:rsidRDefault="00485D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85D0A">
              <w:rPr>
                <w:rFonts w:ascii="Times New Roman" w:hAnsi="Times New Roman" w:cs="Times New Roman"/>
                <w:sz w:val="26"/>
                <w:szCs w:val="26"/>
              </w:rPr>
              <w:t>Monthly</w:t>
            </w:r>
          </w:p>
        </w:tc>
      </w:tr>
      <w:tr w:rsidR="00485D0A" w14:paraId="51898F46" w14:textId="77777777" w:rsidTr="00485D0A">
        <w:tc>
          <w:tcPr>
            <w:tcW w:w="4675" w:type="dxa"/>
          </w:tcPr>
          <w:p w14:paraId="069F11A4" w14:textId="25106C52" w:rsidR="00485D0A" w:rsidRPr="00485D0A" w:rsidRDefault="00485D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85D0A">
              <w:rPr>
                <w:rFonts w:ascii="Times New Roman" w:hAnsi="Times New Roman" w:cs="Times New Roman"/>
                <w:sz w:val="26"/>
                <w:szCs w:val="26"/>
              </w:rPr>
              <w:t>Customer Satisfaction Index</w:t>
            </w:r>
          </w:p>
        </w:tc>
        <w:tc>
          <w:tcPr>
            <w:tcW w:w="4675" w:type="dxa"/>
          </w:tcPr>
          <w:p w14:paraId="1F7473C2" w14:textId="2932C94F" w:rsidR="00485D0A" w:rsidRPr="00485D0A" w:rsidRDefault="00485D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85D0A">
              <w:rPr>
                <w:rFonts w:ascii="Times New Roman" w:hAnsi="Times New Roman" w:cs="Times New Roman"/>
                <w:sz w:val="26"/>
                <w:szCs w:val="26"/>
              </w:rPr>
              <w:t>Monthly</w:t>
            </w:r>
          </w:p>
        </w:tc>
      </w:tr>
      <w:tr w:rsidR="00485D0A" w14:paraId="675552A6" w14:textId="77777777" w:rsidTr="00485D0A">
        <w:tc>
          <w:tcPr>
            <w:tcW w:w="4675" w:type="dxa"/>
          </w:tcPr>
          <w:p w14:paraId="254A5A4E" w14:textId="761CADF3" w:rsidR="00485D0A" w:rsidRPr="00485D0A" w:rsidRDefault="00485D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85D0A">
              <w:rPr>
                <w:rFonts w:ascii="Times New Roman" w:hAnsi="Times New Roman" w:cs="Times New Roman"/>
                <w:sz w:val="26"/>
                <w:szCs w:val="26"/>
              </w:rPr>
              <w:t>Customer Complaints</w:t>
            </w:r>
          </w:p>
        </w:tc>
        <w:tc>
          <w:tcPr>
            <w:tcW w:w="4675" w:type="dxa"/>
          </w:tcPr>
          <w:p w14:paraId="30772F10" w14:textId="6F4AF1FF" w:rsidR="00485D0A" w:rsidRPr="00485D0A" w:rsidRDefault="00485D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85D0A">
              <w:rPr>
                <w:rFonts w:ascii="Times New Roman" w:hAnsi="Times New Roman" w:cs="Times New Roman"/>
                <w:sz w:val="26"/>
                <w:szCs w:val="26"/>
              </w:rPr>
              <w:t>Monthly</w:t>
            </w:r>
          </w:p>
        </w:tc>
      </w:tr>
      <w:bookmarkEnd w:id="0"/>
      <w:tr w:rsidR="00485D0A" w14:paraId="4791945F" w14:textId="77777777" w:rsidTr="00485D0A">
        <w:tc>
          <w:tcPr>
            <w:tcW w:w="4675" w:type="dxa"/>
          </w:tcPr>
          <w:p w14:paraId="2851510F" w14:textId="2293A239" w:rsidR="00485D0A" w:rsidRPr="00485D0A" w:rsidRDefault="00485D0A" w:rsidP="003760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85D0A">
              <w:rPr>
                <w:rFonts w:ascii="Times New Roman" w:hAnsi="Times New Roman" w:cs="Times New Roman"/>
                <w:sz w:val="26"/>
                <w:szCs w:val="26"/>
              </w:rPr>
              <w:t>Revenue Growth Rate</w:t>
            </w:r>
          </w:p>
        </w:tc>
        <w:tc>
          <w:tcPr>
            <w:tcW w:w="4675" w:type="dxa"/>
          </w:tcPr>
          <w:p w14:paraId="529F6279" w14:textId="4122CE23" w:rsidR="00485D0A" w:rsidRPr="00485D0A" w:rsidRDefault="00485D0A" w:rsidP="003760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85D0A">
              <w:rPr>
                <w:rFonts w:ascii="Times New Roman" w:hAnsi="Times New Roman" w:cs="Times New Roman"/>
                <w:sz w:val="26"/>
                <w:szCs w:val="26"/>
              </w:rPr>
              <w:t>Monthly</w:t>
            </w:r>
          </w:p>
        </w:tc>
      </w:tr>
      <w:tr w:rsidR="00485D0A" w14:paraId="418694BB" w14:textId="77777777" w:rsidTr="00485D0A">
        <w:tc>
          <w:tcPr>
            <w:tcW w:w="4675" w:type="dxa"/>
          </w:tcPr>
          <w:p w14:paraId="36F5E73D" w14:textId="0CB5D306" w:rsidR="00485D0A" w:rsidRPr="00485D0A" w:rsidRDefault="00485D0A" w:rsidP="003760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85D0A">
              <w:rPr>
                <w:rFonts w:ascii="Times New Roman" w:hAnsi="Times New Roman" w:cs="Times New Roman"/>
                <w:sz w:val="26"/>
                <w:szCs w:val="26"/>
              </w:rPr>
              <w:t>Operating Profit Margin</w:t>
            </w:r>
          </w:p>
        </w:tc>
        <w:tc>
          <w:tcPr>
            <w:tcW w:w="4675" w:type="dxa"/>
          </w:tcPr>
          <w:p w14:paraId="12B4EA20" w14:textId="0C19496F" w:rsidR="00485D0A" w:rsidRPr="00485D0A" w:rsidRDefault="00485D0A" w:rsidP="003760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85D0A">
              <w:rPr>
                <w:rFonts w:ascii="Times New Roman" w:hAnsi="Times New Roman" w:cs="Times New Roman"/>
                <w:sz w:val="26"/>
                <w:szCs w:val="26"/>
              </w:rPr>
              <w:t>Monthly</w:t>
            </w:r>
          </w:p>
        </w:tc>
      </w:tr>
      <w:tr w:rsidR="00485D0A" w14:paraId="3332263C" w14:textId="77777777" w:rsidTr="00485D0A">
        <w:tc>
          <w:tcPr>
            <w:tcW w:w="4675" w:type="dxa"/>
          </w:tcPr>
          <w:p w14:paraId="6304B23B" w14:textId="3B94A3B6" w:rsidR="00485D0A" w:rsidRPr="00485D0A" w:rsidRDefault="00485D0A" w:rsidP="003760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85D0A">
              <w:rPr>
                <w:rFonts w:ascii="Times New Roman" w:hAnsi="Times New Roman" w:cs="Times New Roman"/>
                <w:sz w:val="26"/>
                <w:szCs w:val="26"/>
              </w:rPr>
              <w:t>Net Profit</w:t>
            </w:r>
          </w:p>
        </w:tc>
        <w:tc>
          <w:tcPr>
            <w:tcW w:w="4675" w:type="dxa"/>
          </w:tcPr>
          <w:p w14:paraId="46367BA4" w14:textId="381EAE80" w:rsidR="00485D0A" w:rsidRPr="00485D0A" w:rsidRDefault="00485D0A" w:rsidP="003760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85D0A">
              <w:rPr>
                <w:rFonts w:ascii="Times New Roman" w:hAnsi="Times New Roman" w:cs="Times New Roman"/>
                <w:sz w:val="26"/>
                <w:szCs w:val="26"/>
              </w:rPr>
              <w:t>Monthly</w:t>
            </w:r>
          </w:p>
        </w:tc>
      </w:tr>
      <w:tr w:rsidR="00485D0A" w14:paraId="4C773303" w14:textId="77777777" w:rsidTr="00485D0A">
        <w:tc>
          <w:tcPr>
            <w:tcW w:w="4675" w:type="dxa"/>
          </w:tcPr>
          <w:p w14:paraId="58F90F87" w14:textId="0F96CCC3" w:rsidR="00485D0A" w:rsidRPr="00485D0A" w:rsidRDefault="00485D0A" w:rsidP="003760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85D0A">
              <w:rPr>
                <w:rFonts w:ascii="Times New Roman" w:hAnsi="Times New Roman" w:cs="Times New Roman"/>
                <w:sz w:val="26"/>
                <w:szCs w:val="26"/>
              </w:rPr>
              <w:t>Average Employee Tenure</w:t>
            </w:r>
          </w:p>
        </w:tc>
        <w:tc>
          <w:tcPr>
            <w:tcW w:w="4675" w:type="dxa"/>
          </w:tcPr>
          <w:p w14:paraId="65D58C60" w14:textId="5A0D4FB7" w:rsidR="00485D0A" w:rsidRPr="00485D0A" w:rsidRDefault="00485D0A" w:rsidP="003760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85D0A">
              <w:rPr>
                <w:rFonts w:ascii="Times New Roman" w:hAnsi="Times New Roman" w:cs="Times New Roman"/>
                <w:sz w:val="26"/>
                <w:szCs w:val="26"/>
              </w:rPr>
              <w:t>Semi-annual</w:t>
            </w:r>
          </w:p>
        </w:tc>
      </w:tr>
      <w:tr w:rsidR="00485D0A" w14:paraId="5846A658" w14:textId="77777777" w:rsidTr="00485D0A">
        <w:tc>
          <w:tcPr>
            <w:tcW w:w="4675" w:type="dxa"/>
          </w:tcPr>
          <w:p w14:paraId="13ECE8C3" w14:textId="72359F42" w:rsidR="00485D0A" w:rsidRPr="00485D0A" w:rsidRDefault="00485D0A" w:rsidP="003760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85D0A">
              <w:rPr>
                <w:rFonts w:ascii="Times New Roman" w:hAnsi="Times New Roman" w:cs="Times New Roman"/>
                <w:sz w:val="26"/>
                <w:szCs w:val="26"/>
              </w:rPr>
              <w:t>Customer Profitability Score</w:t>
            </w:r>
          </w:p>
        </w:tc>
        <w:tc>
          <w:tcPr>
            <w:tcW w:w="4675" w:type="dxa"/>
          </w:tcPr>
          <w:p w14:paraId="02AA3F2F" w14:textId="0DFC3427" w:rsidR="00485D0A" w:rsidRPr="00485D0A" w:rsidRDefault="00485D0A" w:rsidP="003760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85D0A">
              <w:rPr>
                <w:rFonts w:ascii="Times New Roman" w:hAnsi="Times New Roman" w:cs="Times New Roman"/>
                <w:sz w:val="26"/>
                <w:szCs w:val="26"/>
              </w:rPr>
              <w:t>Quarterly</w:t>
            </w:r>
          </w:p>
        </w:tc>
      </w:tr>
    </w:tbl>
    <w:p w14:paraId="58F98199" w14:textId="1F39C3B3" w:rsidR="00DE1318" w:rsidRDefault="00DE1318"/>
    <w:p w14:paraId="06157436" w14:textId="77777777" w:rsidR="00CE66D7" w:rsidRDefault="00CE66D7"/>
    <w:sectPr w:rsidR="00CE6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30"/>
    <w:rsid w:val="00485D0A"/>
    <w:rsid w:val="00633190"/>
    <w:rsid w:val="00CE66D7"/>
    <w:rsid w:val="00DE1318"/>
    <w:rsid w:val="00EC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8679F"/>
  <w15:chartTrackingRefBased/>
  <w15:docId w15:val="{AB0830AC-2603-4406-9115-F68D290DF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5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Johnson</dc:creator>
  <cp:keywords/>
  <dc:description/>
  <cp:lastModifiedBy>Jonathon Johnson</cp:lastModifiedBy>
  <cp:revision>4</cp:revision>
  <dcterms:created xsi:type="dcterms:W3CDTF">2022-01-18T05:31:00Z</dcterms:created>
  <dcterms:modified xsi:type="dcterms:W3CDTF">2022-01-18T05:50:00Z</dcterms:modified>
</cp:coreProperties>
</file>