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0BD0" w14:textId="77777777" w:rsidR="007F7B7D" w:rsidRPr="00054395" w:rsidRDefault="00655C6E" w:rsidP="007F7B7D">
      <w:pPr>
        <w:tabs>
          <w:tab w:val="right" w:pos="11088"/>
        </w:tabs>
        <w:spacing w:before="100" w:beforeAutospacing="1" w:after="0" w:line="252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Ethan Johnston</w:t>
      </w:r>
    </w:p>
    <w:p w14:paraId="73C3F4F7" w14:textId="77777777" w:rsidR="007F7B7D" w:rsidRPr="00A82284" w:rsidRDefault="007F7B7D" w:rsidP="007F7B7D">
      <w:pPr>
        <w:widowControl w:val="0"/>
        <w:tabs>
          <w:tab w:val="right" w:pos="11088"/>
        </w:tabs>
        <w:spacing w:before="0" w:after="0" w:line="252" w:lineRule="auto"/>
        <w:ind w:firstLine="7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(832) 799-9354 | </w:t>
      </w:r>
      <w:hyperlink r:id="rId7" w:history="1">
        <w:r>
          <w:rPr>
            <w:rStyle w:val="Hyperlink"/>
            <w:sz w:val="20"/>
            <w:szCs w:val="20"/>
          </w:rPr>
          <w:t>johnston.g.ethan@gmail.com</w:t>
        </w:r>
      </w:hyperlink>
      <w:r>
        <w:rPr>
          <w:sz w:val="20"/>
          <w:szCs w:val="20"/>
        </w:rPr>
        <w:t xml:space="preserve"> | </w:t>
      </w:r>
      <w:hyperlink r:id="rId8" w:history="1">
        <w:r>
          <w:rPr>
            <w:rStyle w:val="Hyperlink"/>
            <w:sz w:val="20"/>
            <w:szCs w:val="20"/>
          </w:rPr>
          <w:t>johnstoneg.github.io</w:t>
        </w:r>
      </w:hyperlink>
      <w:r>
        <w:rPr>
          <w:sz w:val="20"/>
          <w:szCs w:val="20"/>
        </w:rPr>
        <w:t xml:space="preserve"> | </w:t>
      </w:r>
      <w:hyperlink r:id="rId9" w:history="1">
        <w:r>
          <w:rPr>
            <w:rStyle w:val="Hyperlink"/>
            <w:sz w:val="20"/>
            <w:szCs w:val="20"/>
          </w:rPr>
          <w:t>linkedin.com/in/ethan-johnston-65b075243</w:t>
        </w:r>
      </w:hyperlink>
    </w:p>
    <w:p w14:paraId="3F998FBB" w14:textId="77777777" w:rsidR="002D4ACA" w:rsidRDefault="00000000">
      <w:pPr>
        <w:widowControl w:val="0"/>
        <w:pBdr>
          <w:bottom w:val="single" w:sz="12" w:space="1" w:color="000000"/>
        </w:pBdr>
        <w:tabs>
          <w:tab w:val="right" w:pos="11088"/>
        </w:tabs>
        <w:spacing w:before="4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>
        <w:rPr>
          <w:rFonts w:eastAsia="Times New Roman" w:cs="Calibri"/>
          <w:b/>
          <w:color w:val="000000" w:themeColor="text1"/>
          <w:sz w:val="22"/>
          <w:szCs w:val="22"/>
        </w:rPr>
        <w:t>EDUCATION</w:t>
      </w:r>
    </w:p>
    <w:p w14:paraId="012BD746" w14:textId="77777777" w:rsidR="002D4ACA" w:rsidRDefault="00000000">
      <w:pPr>
        <w:widowControl w:val="0"/>
        <w:tabs>
          <w:tab w:val="right" w:pos="11088"/>
        </w:tabs>
        <w:spacing w:line="252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Illinois State University</w:t>
      </w:r>
      <w:r>
        <w:rPr>
          <w:sz w:val="20"/>
          <w:szCs w:val="20"/>
        </w:rPr>
        <w:t xml:space="preserve">, College of Arts and Sciences </w:t>
      </w:r>
      <w:r>
        <w:tab/>
      </w:r>
      <w:r>
        <w:rPr>
          <w:b/>
          <w:bCs/>
          <w:sz w:val="20"/>
          <w:szCs w:val="20"/>
        </w:rPr>
        <w:t>Expected December 2026</w:t>
      </w:r>
    </w:p>
    <w:p w14:paraId="09EE3FD8" w14:textId="77777777" w:rsidR="002D4ACA" w:rsidRDefault="00000000">
      <w:pPr>
        <w:widowControl w:val="0"/>
        <w:tabs>
          <w:tab w:val="right" w:pos="11088"/>
          <w:tab w:val="right" w:pos="11430"/>
        </w:tabs>
        <w:spacing w:before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Master of Science in Quantitative Economics</w:t>
      </w:r>
      <w:r>
        <w:rPr>
          <w:rFonts w:eastAsia="Times New Roman" w:cs="Calibri"/>
          <w:color w:val="000000" w:themeColor="text1"/>
          <w:sz w:val="20"/>
          <w:szCs w:val="20"/>
        </w:rPr>
        <w:tab/>
        <w:t>Cumulative GPA: 3.70/4.0</w:t>
      </w:r>
    </w:p>
    <w:p w14:paraId="141409C7" w14:textId="10B62BA0" w:rsidR="002D4ACA" w:rsidRDefault="00000000">
      <w:pPr>
        <w:widowControl w:val="0"/>
        <w:tabs>
          <w:tab w:val="right" w:pos="11088"/>
          <w:tab w:val="right" w:pos="11430"/>
        </w:tabs>
        <w:spacing w:before="0" w:line="252" w:lineRule="auto"/>
        <w:rPr>
          <w:rFonts w:eastAsia="Times New Roman" w:cs="Calibri"/>
          <w:i/>
          <w:iCs/>
          <w:color w:val="000000" w:themeColor="text1"/>
          <w:sz w:val="20"/>
          <w:szCs w:val="20"/>
        </w:rPr>
      </w:pPr>
      <w:r>
        <w:rPr>
          <w:rFonts w:eastAsia="Times New Roman" w:cs="Calibri"/>
          <w:i/>
          <w:iCs/>
          <w:color w:val="000000" w:themeColor="text1"/>
          <w:sz w:val="20"/>
          <w:szCs w:val="20"/>
        </w:rPr>
        <w:t xml:space="preserve">Relevant Coursework: Real Analysis, Advanced Linear Algebra, </w:t>
      </w:r>
      <w:proofErr w:type="spellStart"/>
      <w:r>
        <w:rPr>
          <w:rFonts w:eastAsia="Times New Roman" w:cs="Calibri"/>
          <w:i/>
          <w:iCs/>
          <w:color w:val="000000" w:themeColor="text1"/>
          <w:sz w:val="20"/>
          <w:szCs w:val="20"/>
        </w:rPr>
        <w:t>Microeconometrics</w:t>
      </w:r>
      <w:proofErr w:type="spellEnd"/>
      <w:r>
        <w:rPr>
          <w:rFonts w:eastAsia="Times New Roman" w:cs="Calibri"/>
          <w:i/>
          <w:iCs/>
          <w:color w:val="000000" w:themeColor="text1"/>
          <w:sz w:val="20"/>
          <w:szCs w:val="20"/>
        </w:rPr>
        <w:t>, Advanced Microeconomic Theory</w:t>
      </w:r>
      <w:r w:rsidR="001813CE">
        <w:rPr>
          <w:rFonts w:eastAsia="Times New Roman" w:cs="Calibri"/>
          <w:i/>
          <w:iCs/>
          <w:color w:val="000000" w:themeColor="text1"/>
          <w:sz w:val="20"/>
          <w:szCs w:val="20"/>
        </w:rPr>
        <w:t>, Advanced Macroeconomic Theory</w:t>
      </w:r>
    </w:p>
    <w:p w14:paraId="5FC7E122" w14:textId="77777777" w:rsidR="002D4ACA" w:rsidRDefault="00000000">
      <w:pPr>
        <w:widowControl w:val="0"/>
        <w:tabs>
          <w:tab w:val="right" w:pos="11088"/>
        </w:tabs>
        <w:spacing w:line="252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Stephen F. Austin State University</w:t>
      </w:r>
      <w:r>
        <w:rPr>
          <w:sz w:val="20"/>
          <w:szCs w:val="20"/>
        </w:rPr>
        <w:t xml:space="preserve">, Rusche College of Business </w:t>
      </w:r>
      <w:r>
        <w:tab/>
      </w:r>
      <w:r>
        <w:rPr>
          <w:b/>
          <w:bCs/>
          <w:sz w:val="20"/>
          <w:szCs w:val="20"/>
        </w:rPr>
        <w:t>May 2025</w:t>
      </w:r>
    </w:p>
    <w:p w14:paraId="1214C2A3" w14:textId="77777777" w:rsidR="002D4ACA" w:rsidRDefault="00000000">
      <w:pPr>
        <w:widowControl w:val="0"/>
        <w:tabs>
          <w:tab w:val="right" w:pos="11088"/>
          <w:tab w:val="right" w:pos="11430"/>
        </w:tabs>
        <w:spacing w:before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Bachelor of Business Administration, Finance; Minors in Economics and Mathematics</w:t>
      </w:r>
      <w:r>
        <w:rPr>
          <w:rFonts w:eastAsia="Times New Roman" w:cs="Calibri"/>
          <w:color w:val="000000" w:themeColor="text1"/>
          <w:sz w:val="20"/>
          <w:szCs w:val="20"/>
        </w:rPr>
        <w:tab/>
        <w:t>Cumulative GPA: 3.967/4.0</w:t>
      </w:r>
    </w:p>
    <w:p w14:paraId="417BAAF3" w14:textId="77777777" w:rsidR="002D4ACA" w:rsidRDefault="00000000">
      <w:pPr>
        <w:widowControl w:val="0"/>
        <w:tabs>
          <w:tab w:val="right" w:pos="11088"/>
          <w:tab w:val="right" w:pos="11430"/>
        </w:tabs>
        <w:spacing w:before="0" w:line="252" w:lineRule="auto"/>
        <w:rPr>
          <w:rFonts w:eastAsia="Times New Roman" w:cs="Calibri"/>
          <w:i/>
          <w:iCs/>
          <w:color w:val="000000" w:themeColor="text1"/>
          <w:sz w:val="20"/>
          <w:szCs w:val="20"/>
        </w:rPr>
      </w:pPr>
      <w:r>
        <w:rPr>
          <w:rFonts w:eastAsia="Times New Roman" w:cs="Calibri"/>
          <w:i/>
          <w:iCs/>
          <w:color w:val="000000" w:themeColor="text1"/>
          <w:sz w:val="20"/>
          <w:szCs w:val="20"/>
        </w:rPr>
        <w:t>Relevant Coursework: Calculus I-III, Ordinary Differential Equations, Linear Algebra, Speculative Markets</w:t>
      </w:r>
    </w:p>
    <w:p w14:paraId="405A0DE9" w14:textId="77777777" w:rsidR="002D4ACA" w:rsidRDefault="00000000">
      <w:pPr>
        <w:widowControl w:val="0"/>
        <w:pBdr>
          <w:bottom w:val="single" w:sz="12" w:space="1" w:color="000000"/>
        </w:pBdr>
        <w:tabs>
          <w:tab w:val="right" w:pos="11088"/>
        </w:tabs>
        <w:spacing w:before="4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>
        <w:rPr>
          <w:rFonts w:eastAsia="Times New Roman" w:cs="Calibri"/>
          <w:b/>
          <w:color w:val="000000" w:themeColor="text1"/>
          <w:sz w:val="22"/>
          <w:szCs w:val="22"/>
        </w:rPr>
        <w:t>RESEARCH INTERESTS</w:t>
      </w:r>
    </w:p>
    <w:p w14:paraId="59D4711E" w14:textId="0B7FCFD9" w:rsidR="002D4ACA" w:rsidRPr="001275C3" w:rsidRDefault="00000000">
      <w:pPr>
        <w:widowControl w:val="0"/>
        <w:tabs>
          <w:tab w:val="right" w:pos="11088"/>
        </w:tabs>
        <w:spacing w:before="0" w:line="252" w:lineRule="auto"/>
      </w:pPr>
      <w:r>
        <w:rPr>
          <w:rFonts w:eastAsia="Times New Roman" w:cs="Calibri"/>
          <w:color w:val="000000" w:themeColor="text1"/>
          <w:sz w:val="20"/>
          <w:szCs w:val="20"/>
        </w:rPr>
        <w:t xml:space="preserve">Labor Economics, Industrial Organization, </w:t>
      </w:r>
      <w:r w:rsidR="00EB4139" w:rsidRPr="00EB4139">
        <w:rPr>
          <w:rFonts w:eastAsia="Times New Roman" w:cs="Calibri"/>
          <w:color w:val="000000" w:themeColor="text1"/>
          <w:sz w:val="20"/>
          <w:szCs w:val="20"/>
        </w:rPr>
        <w:t>Technology and Digital Markets</w:t>
      </w:r>
      <w:r w:rsidR="001275C3">
        <w:rPr>
          <w:rFonts w:eastAsia="Times New Roman" w:cs="Calibri"/>
          <w:color w:val="000000" w:themeColor="text1"/>
          <w:sz w:val="20"/>
          <w:szCs w:val="20"/>
        </w:rPr>
        <w:t>,</w:t>
      </w:r>
      <w:r w:rsidR="001275C3" w:rsidRPr="001275C3">
        <w:t xml:space="preserve"> </w:t>
      </w:r>
      <w:r w:rsidR="001275C3" w:rsidRPr="001275C3">
        <w:rPr>
          <w:rFonts w:eastAsia="Times New Roman" w:cs="Calibri"/>
          <w:color w:val="000000" w:themeColor="text1"/>
          <w:sz w:val="20"/>
          <w:szCs w:val="20"/>
        </w:rPr>
        <w:t>Macroeconomics</w:t>
      </w:r>
    </w:p>
    <w:p w14:paraId="4604850F" w14:textId="77777777" w:rsidR="002D4ACA" w:rsidRDefault="00000000">
      <w:pPr>
        <w:widowControl w:val="0"/>
        <w:pBdr>
          <w:bottom w:val="single" w:sz="12" w:space="1" w:color="000000"/>
        </w:pBdr>
        <w:tabs>
          <w:tab w:val="right" w:pos="11088"/>
        </w:tabs>
        <w:spacing w:before="4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>
        <w:rPr>
          <w:rFonts w:eastAsia="Times New Roman" w:cs="Calibri"/>
          <w:b/>
          <w:color w:val="000000" w:themeColor="text1"/>
          <w:sz w:val="22"/>
          <w:szCs w:val="22"/>
        </w:rPr>
        <w:t>RESEARCH EXPERIENCE</w:t>
      </w:r>
    </w:p>
    <w:p w14:paraId="36715F46" w14:textId="77777777" w:rsidR="002D4ACA" w:rsidRDefault="00000000">
      <w:pPr>
        <w:widowControl w:val="0"/>
        <w:tabs>
          <w:tab w:val="right" w:pos="11088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Graduate Research Assistant, </w:t>
      </w:r>
      <w:r>
        <w:rPr>
          <w:rFonts w:eastAsia="Times New Roman" w:cs="Calibri"/>
          <w:color w:val="000000" w:themeColor="text1"/>
          <w:sz w:val="20"/>
          <w:szCs w:val="20"/>
        </w:rPr>
        <w:t>Illinois State University</w:t>
      </w:r>
      <w:r>
        <w:rPr>
          <w:rStyle w:val="Strong"/>
          <w:color w:val="000000" w:themeColor="text1"/>
          <w:sz w:val="20"/>
          <w:szCs w:val="20"/>
          <w:shd w:val="clear" w:color="auto" w:fill="FFFFFF"/>
        </w:rPr>
        <w:tab/>
        <w:t>August 2025 – December 2025</w:t>
      </w:r>
    </w:p>
    <w:p w14:paraId="3660DD91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 xml:space="preserve">Designed a reusable Python pipeline to query the </w:t>
      </w:r>
      <w:proofErr w:type="spellStart"/>
      <w:r>
        <w:rPr>
          <w:rFonts w:eastAsia="Times New Roman" w:cs="Calibri"/>
          <w:color w:val="000000" w:themeColor="text1"/>
          <w:sz w:val="20"/>
          <w:szCs w:val="20"/>
        </w:rPr>
        <w:t>OpenAlex</w:t>
      </w:r>
      <w:proofErr w:type="spellEnd"/>
      <w:r>
        <w:rPr>
          <w:rFonts w:eastAsia="Times New Roman" w:cs="Calibri"/>
          <w:color w:val="000000" w:themeColor="text1"/>
          <w:sz w:val="20"/>
          <w:szCs w:val="20"/>
        </w:rPr>
        <w:t xml:space="preserve"> API for publication data, resolving 2,922 publications from 215 authors via ORCID-first with article-title fallback</w:t>
      </w:r>
    </w:p>
    <w:p w14:paraId="3D20D50C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Compiled and organized a dataset of 606 individuals from the 2025 graduating cohort of U.S. Economics PhD programs</w:t>
      </w:r>
    </w:p>
    <w:p w14:paraId="2F9A113D" w14:textId="77777777" w:rsidR="002D4ACA" w:rsidRDefault="00000000">
      <w:pPr>
        <w:widowControl w:val="0"/>
        <w:pBdr>
          <w:bottom w:val="single" w:sz="12" w:space="1" w:color="000000"/>
        </w:pBdr>
        <w:tabs>
          <w:tab w:val="right" w:pos="11088"/>
        </w:tabs>
        <w:spacing w:before="4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>
        <w:rPr>
          <w:rFonts w:eastAsia="Times New Roman" w:cs="Calibri"/>
          <w:b/>
          <w:color w:val="000000" w:themeColor="text1"/>
          <w:sz w:val="22"/>
          <w:szCs w:val="22"/>
        </w:rPr>
        <w:t>WORKING PAPERS</w:t>
      </w:r>
    </w:p>
    <w:p w14:paraId="44942FDF" w14:textId="77777777" w:rsidR="002D4ACA" w:rsidRDefault="00000000">
      <w:pPr>
        <w:widowControl w:val="0"/>
        <w:tabs>
          <w:tab w:val="right" w:pos="11088"/>
          <w:tab w:val="right" w:pos="11232"/>
          <w:tab w:val="right" w:pos="11430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Displacement and Task Reallocation: Evidence from the PSID</w:t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ab/>
        <w:t>January 2026 – Present</w:t>
      </w:r>
    </w:p>
    <w:p w14:paraId="03FD4845" w14:textId="6573ACCD" w:rsidR="002D4ACA" w:rsidRDefault="00000000">
      <w:pPr>
        <w:widowControl w:val="0"/>
        <w:tabs>
          <w:tab w:val="right" w:pos="11088"/>
        </w:tabs>
        <w:spacing w:before="0" w:after="0" w:line="252" w:lineRule="auto"/>
        <w:rPr>
          <w:rFonts w:eastAsia="Times New Roman" w:cs="Calibri"/>
          <w:i/>
          <w:iCs/>
          <w:color w:val="000000" w:themeColor="text1"/>
          <w:sz w:val="20"/>
          <w:szCs w:val="20"/>
        </w:rPr>
      </w:pPr>
      <w:r>
        <w:rPr>
          <w:rFonts w:eastAsia="Times New Roman" w:cs="Calibri"/>
          <w:i/>
          <w:iCs/>
          <w:color w:val="000000" w:themeColor="text1"/>
          <w:sz w:val="20"/>
          <w:szCs w:val="20"/>
        </w:rPr>
        <w:t xml:space="preserve">with Ali Yousuf </w:t>
      </w:r>
    </w:p>
    <w:p w14:paraId="26CA32C5" w14:textId="1A2FB172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Estimate</w:t>
      </w:r>
      <w:r w:rsidR="00E6287A">
        <w:rPr>
          <w:rFonts w:eastAsia="Times New Roman" w:cs="Calibri"/>
          <w:color w:val="000000" w:themeColor="text1"/>
          <w:sz w:val="20"/>
          <w:szCs w:val="20"/>
        </w:rPr>
        <w:t>d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the causal effect of involuntary job displacement on task composition using PSID panel data, identifying displacement via plant closures matched with O*NET task measures through Census-to-SOC crosswalks</w:t>
      </w:r>
    </w:p>
    <w:p w14:paraId="360A6FC8" w14:textId="3AD5AD36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F</w:t>
      </w:r>
      <w:r w:rsidR="00E6287A">
        <w:rPr>
          <w:rFonts w:eastAsia="Times New Roman" w:cs="Calibri"/>
          <w:color w:val="000000" w:themeColor="text1"/>
          <w:sz w:val="20"/>
          <w:szCs w:val="20"/>
        </w:rPr>
        <w:t>ound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abstract task content drops 0.041 at displacement while routine increases 0.038, with partial persistence over 4–6 years</w:t>
      </w:r>
    </w:p>
    <w:p w14:paraId="496F18AF" w14:textId="11E9C898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Employ</w:t>
      </w:r>
      <w:r w:rsidR="00E6287A">
        <w:rPr>
          <w:rFonts w:eastAsia="Times New Roman" w:cs="Calibri"/>
          <w:color w:val="000000" w:themeColor="text1"/>
          <w:sz w:val="20"/>
          <w:szCs w:val="20"/>
        </w:rPr>
        <w:t>ed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Callaway-Sant’Anna, Sun–Abraham, propensity score matching, inverse probability weighting, and Lee bounds for robustness</w:t>
      </w:r>
    </w:p>
    <w:p w14:paraId="4612C0EC" w14:textId="77777777" w:rsidR="002D4ACA" w:rsidRDefault="00000000">
      <w:pPr>
        <w:widowControl w:val="0"/>
        <w:tabs>
          <w:tab w:val="right" w:pos="11088"/>
          <w:tab w:val="right" w:pos="11232"/>
          <w:tab w:val="right" w:pos="11430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Displacement and Task Composition: A Macroeconomic Perspective</w:t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ab/>
        <w:t>February 2026 – Present</w:t>
      </w:r>
    </w:p>
    <w:p w14:paraId="58800549" w14:textId="1E17846C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Extend</w:t>
      </w:r>
      <w:r w:rsidR="00E6287A">
        <w:rPr>
          <w:rFonts w:eastAsia="Times New Roman" w:cs="Calibri"/>
          <w:color w:val="000000" w:themeColor="text1"/>
          <w:sz w:val="20"/>
          <w:szCs w:val="20"/>
        </w:rPr>
        <w:t>ed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eastAsia="Times New Roman" w:cs="Calibri"/>
          <w:color w:val="000000" w:themeColor="text1"/>
          <w:sz w:val="20"/>
          <w:szCs w:val="20"/>
        </w:rPr>
        <w:t>Jaimovich</w:t>
      </w:r>
      <w:proofErr w:type="spellEnd"/>
      <w:r>
        <w:rPr>
          <w:rFonts w:eastAsia="Times New Roman" w:cs="Calibri"/>
          <w:color w:val="000000" w:themeColor="text1"/>
          <w:sz w:val="20"/>
          <w:szCs w:val="20"/>
        </w:rPr>
        <w:t xml:space="preserve"> and Siu (2020) using a Bartik shift-share local projections IV approach on CPS data spanning 1976–2026 (~64 million observations)</w:t>
      </w:r>
    </w:p>
    <w:p w14:paraId="42579C68" w14:textId="073FE7CC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Achieve</w:t>
      </w:r>
      <w:r w:rsidR="00E6287A">
        <w:rPr>
          <w:rFonts w:eastAsia="Times New Roman" w:cs="Calibri"/>
          <w:color w:val="000000" w:themeColor="text1"/>
          <w:sz w:val="20"/>
          <w:szCs w:val="20"/>
        </w:rPr>
        <w:t>d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a first-stage F-statistic of 28.6; document routine task content falling at displacement with approximately 62% reversion by horizon 5</w:t>
      </w:r>
    </w:p>
    <w:p w14:paraId="36182849" w14:textId="1EF8CED9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Construct</w:t>
      </w:r>
      <w:r w:rsidR="00E6287A">
        <w:rPr>
          <w:rFonts w:eastAsia="Times New Roman" w:cs="Calibri"/>
          <w:color w:val="000000" w:themeColor="text1"/>
          <w:sz w:val="20"/>
          <w:szCs w:val="20"/>
        </w:rPr>
        <w:t>ed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state-level Bartik instruments from CPS industry employment shares mapped to 13 CES </w:t>
      </w:r>
      <w:proofErr w:type="spellStart"/>
      <w:r>
        <w:rPr>
          <w:rFonts w:eastAsia="Times New Roman" w:cs="Calibri"/>
          <w:color w:val="000000" w:themeColor="text1"/>
          <w:sz w:val="20"/>
          <w:szCs w:val="20"/>
        </w:rPr>
        <w:t>supersectors</w:t>
      </w:r>
      <w:proofErr w:type="spellEnd"/>
    </w:p>
    <w:p w14:paraId="57CE3E94" w14:textId="77777777" w:rsidR="002D4ACA" w:rsidRDefault="00000000">
      <w:pPr>
        <w:widowControl w:val="0"/>
        <w:tabs>
          <w:tab w:val="right" w:pos="11088"/>
          <w:tab w:val="right" w:pos="11232"/>
          <w:tab w:val="right" w:pos="11430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Service Quality and Digital Piracy: Evidence from </w:t>
      </w:r>
      <w:proofErr w:type="spellStart"/>
      <w:r>
        <w:rPr>
          <w:rFonts w:eastAsia="Times New Roman" w:cs="Calibri"/>
          <w:b/>
          <w:bCs/>
          <w:color w:val="000000" w:themeColor="text1"/>
          <w:sz w:val="20"/>
          <w:szCs w:val="20"/>
        </w:rPr>
        <w:t>Denuvo</w:t>
      </w:r>
      <w:proofErr w:type="spellEnd"/>
      <w:r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 DRM</w:t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ab/>
        <w:t>January 2025 – Present</w:t>
      </w:r>
    </w:p>
    <w:p w14:paraId="1E43873D" w14:textId="4A240B63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Estimate</w:t>
      </w:r>
      <w:r w:rsidR="00E6287A">
        <w:rPr>
          <w:rFonts w:eastAsia="Times New Roman" w:cs="Calibri"/>
          <w:color w:val="000000" w:themeColor="text1"/>
          <w:sz w:val="20"/>
          <w:szCs w:val="20"/>
        </w:rPr>
        <w:t>d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the effect of anti-piracy DRM on piracy demand (ln</w:t>
      </w:r>
      <w:r w:rsidR="009A569E">
        <w:rPr>
          <w:rFonts w:eastAsia="Times New Roman" w:cs="Calibri"/>
          <w:color w:val="000000" w:themeColor="text1"/>
          <w:sz w:val="20"/>
          <w:szCs w:val="20"/>
        </w:rPr>
        <w:t>[</w:t>
      </w:r>
      <w:proofErr w:type="spellStart"/>
      <w:r>
        <w:rPr>
          <w:rFonts w:eastAsia="Times New Roman" w:cs="Calibri"/>
          <w:color w:val="000000" w:themeColor="text1"/>
          <w:sz w:val="20"/>
          <w:szCs w:val="20"/>
        </w:rPr>
        <w:t>leechers</w:t>
      </w:r>
      <w:proofErr w:type="spellEnd"/>
      <w:r w:rsidR="009A569E">
        <w:rPr>
          <w:rFonts w:eastAsia="Times New Roman" w:cs="Calibri"/>
          <w:color w:val="000000" w:themeColor="text1"/>
          <w:sz w:val="20"/>
          <w:szCs w:val="20"/>
        </w:rPr>
        <w:t>]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) using a leave-one-out publisher </w:t>
      </w:r>
      <w:proofErr w:type="spellStart"/>
      <w:r>
        <w:rPr>
          <w:rFonts w:eastAsia="Times New Roman" w:cs="Calibri"/>
          <w:color w:val="000000" w:themeColor="text1"/>
          <w:sz w:val="20"/>
          <w:szCs w:val="20"/>
        </w:rPr>
        <w:t>Denuvo</w:t>
      </w:r>
      <w:proofErr w:type="spellEnd"/>
      <w:r>
        <w:rPr>
          <w:rFonts w:eastAsia="Times New Roman" w:cs="Calibri"/>
          <w:color w:val="000000" w:themeColor="text1"/>
          <w:sz w:val="20"/>
          <w:szCs w:val="20"/>
        </w:rPr>
        <w:t xml:space="preserve"> adoption rate as an instrument with publisher fixed effects (N = 10,258)</w:t>
      </w:r>
    </w:p>
    <w:p w14:paraId="1FA7EFFA" w14:textId="57DA57F0" w:rsidR="002D4ACA" w:rsidRDefault="00E6287A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Found</w:t>
      </w:r>
      <w:r w:rsidR="00000000">
        <w:rPr>
          <w:rFonts w:eastAsia="Times New Roman" w:cs="Calibri"/>
          <w:color w:val="000000" w:themeColor="text1"/>
          <w:sz w:val="20"/>
          <w:szCs w:val="20"/>
        </w:rPr>
        <w:t xml:space="preserve"> DRM increases active piracy demand by approximately 91% (IV = 0.647, F = 73.1) in the preferred cross-genre IV specification with HC1 robust standard errors and wild cluster bootstrap</w:t>
      </w:r>
    </w:p>
    <w:p w14:paraId="08AE01DF" w14:textId="2D68586E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Document</w:t>
      </w:r>
      <w:r w:rsidR="00E6287A">
        <w:rPr>
          <w:rFonts w:eastAsia="Times New Roman" w:cs="Calibri"/>
          <w:color w:val="000000" w:themeColor="text1"/>
          <w:sz w:val="20"/>
          <w:szCs w:val="20"/>
        </w:rPr>
        <w:t>ed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a null effect on piracy supply (torrent count), consistent with scene group behavior driven by prestige rather than consumer demand</w:t>
      </w:r>
    </w:p>
    <w:p w14:paraId="168A7665" w14:textId="77777777" w:rsidR="002D4ACA" w:rsidRDefault="00000000">
      <w:pPr>
        <w:widowControl w:val="0"/>
        <w:tabs>
          <w:tab w:val="right" w:pos="11088"/>
          <w:tab w:val="right" w:pos="11232"/>
          <w:tab w:val="right" w:pos="11430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>Sports Betting Legalization Spillover Effects</w:t>
      </w:r>
      <w:r>
        <w:rPr>
          <w:rFonts w:eastAsia="Times New Roman" w:cs="Calibri"/>
          <w:b/>
          <w:bCs/>
          <w:color w:val="000000" w:themeColor="text1"/>
          <w:sz w:val="20"/>
          <w:szCs w:val="20"/>
        </w:rPr>
        <w:tab/>
        <w:t>August 2025 – May 2026</w:t>
      </w:r>
    </w:p>
    <w:p w14:paraId="58ECC4E0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 xml:space="preserve">Created a 2.5 million match dataset using JavaScript to web scrape data from </w:t>
      </w:r>
      <w:proofErr w:type="spellStart"/>
      <w:r>
        <w:rPr>
          <w:rFonts w:eastAsia="Times New Roman" w:cs="Calibri"/>
          <w:color w:val="000000" w:themeColor="text1"/>
          <w:sz w:val="20"/>
          <w:szCs w:val="20"/>
        </w:rPr>
        <w:t>OddsPortal</w:t>
      </w:r>
      <w:proofErr w:type="spellEnd"/>
      <w:r>
        <w:rPr>
          <w:rFonts w:eastAsia="Times New Roman" w:cs="Calibri"/>
          <w:color w:val="000000" w:themeColor="text1"/>
          <w:sz w:val="20"/>
          <w:szCs w:val="20"/>
        </w:rPr>
        <w:t xml:space="preserve"> including opening and closing odds, timestamps, and 600+ leagues</w:t>
      </w:r>
    </w:p>
    <w:p w14:paraId="0E49AA75" w14:textId="17153B72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Investigate</w:t>
      </w:r>
      <w:r w:rsidR="00E6287A">
        <w:rPr>
          <w:rFonts w:eastAsia="Times New Roman" w:cs="Calibri"/>
          <w:color w:val="000000" w:themeColor="text1"/>
          <w:sz w:val="20"/>
          <w:szCs w:val="20"/>
        </w:rPr>
        <w:t>d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whether the repeal of PASPA generated spillover effects in international sports betting markets</w:t>
      </w:r>
    </w:p>
    <w:p w14:paraId="3B1CFF41" w14:textId="338EA49F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Employ</w:t>
      </w:r>
      <w:r w:rsidR="00E6287A">
        <w:rPr>
          <w:rFonts w:eastAsia="Times New Roman" w:cs="Calibri"/>
          <w:color w:val="000000" w:themeColor="text1"/>
          <w:sz w:val="20"/>
          <w:szCs w:val="20"/>
        </w:rPr>
        <w:t>ed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a log-linear dynamic panel difference-in-differences design with event study on 73,652 bookmaker-sport-league-month observations across three European sportsbooks (Pinnacle, 888sport, bet-at-home)</w:t>
      </w:r>
    </w:p>
    <w:p w14:paraId="627935A8" w14:textId="77777777" w:rsidR="002D4ACA" w:rsidRDefault="00000000">
      <w:pPr>
        <w:widowControl w:val="0"/>
        <w:pBdr>
          <w:bottom w:val="single" w:sz="12" w:space="1" w:color="000000"/>
        </w:pBdr>
        <w:tabs>
          <w:tab w:val="right" w:pos="11088"/>
        </w:tabs>
        <w:spacing w:before="4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>
        <w:rPr>
          <w:rFonts w:eastAsia="Times New Roman" w:cs="Calibri"/>
          <w:b/>
          <w:color w:val="000000" w:themeColor="text1"/>
          <w:sz w:val="22"/>
          <w:szCs w:val="22"/>
        </w:rPr>
        <w:t>DATA CONSTRUCTION</w:t>
      </w:r>
    </w:p>
    <w:p w14:paraId="5F0C4E16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proofErr w:type="spellStart"/>
      <w:r>
        <w:rPr>
          <w:rFonts w:eastAsia="Times New Roman" w:cs="Calibri"/>
          <w:color w:val="000000" w:themeColor="text1"/>
          <w:sz w:val="20"/>
          <w:szCs w:val="20"/>
        </w:rPr>
        <w:t>OddsPortal</w:t>
      </w:r>
      <w:proofErr w:type="spellEnd"/>
      <w:r>
        <w:rPr>
          <w:rFonts w:eastAsia="Times New Roman" w:cs="Calibri"/>
          <w:color w:val="000000" w:themeColor="text1"/>
          <w:sz w:val="20"/>
          <w:szCs w:val="20"/>
        </w:rPr>
        <w:t xml:space="preserve"> Web Scraping: Built a JavaScript pipeline to collect 2.5 million match-level observations across 600+ leagues, capturing opening/closing odds, timestamps, and bookmaker identifiers</w:t>
      </w:r>
    </w:p>
    <w:p w14:paraId="761C9CF2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 xml:space="preserve">CPS Microdata Pipeline: Extracted and processed ~64 million person-level observations from CPS fixed-width files (1976–2026), mapping IND1990 codes to CES </w:t>
      </w:r>
      <w:proofErr w:type="spellStart"/>
      <w:r>
        <w:rPr>
          <w:rFonts w:eastAsia="Times New Roman" w:cs="Calibri"/>
          <w:color w:val="000000" w:themeColor="text1"/>
          <w:sz w:val="20"/>
          <w:szCs w:val="20"/>
        </w:rPr>
        <w:t>supersectors</w:t>
      </w:r>
      <w:proofErr w:type="spellEnd"/>
      <w:r>
        <w:rPr>
          <w:rFonts w:eastAsia="Times New Roman" w:cs="Calibri"/>
          <w:color w:val="000000" w:themeColor="text1"/>
          <w:sz w:val="20"/>
          <w:szCs w:val="20"/>
        </w:rPr>
        <w:t xml:space="preserve"> for Bartik instrument construction</w:t>
      </w:r>
    </w:p>
    <w:p w14:paraId="42BDF2E4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PSID Panel Construction: Built a displacement event-study panel from biennial PSID waves, matching Census occupation codes to O*NET task ratings via Census-to-SOC crosswalks across 2000 and 2010 code vintages</w:t>
      </w:r>
    </w:p>
    <w:p w14:paraId="0C1BDBCA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 xml:space="preserve">Steam API Enrichment: Queried 3,938 game </w:t>
      </w:r>
      <w:proofErr w:type="spellStart"/>
      <w:r>
        <w:rPr>
          <w:rFonts w:eastAsia="Times New Roman" w:cs="Calibri"/>
          <w:color w:val="000000" w:themeColor="text1"/>
          <w:sz w:val="20"/>
          <w:szCs w:val="20"/>
        </w:rPr>
        <w:t>AppIDs</w:t>
      </w:r>
      <w:proofErr w:type="spellEnd"/>
      <w:r>
        <w:rPr>
          <w:rFonts w:eastAsia="Times New Roman" w:cs="Calibri"/>
          <w:color w:val="000000" w:themeColor="text1"/>
          <w:sz w:val="20"/>
          <w:szCs w:val="20"/>
        </w:rPr>
        <w:t xml:space="preserve"> for DRM notices, multiplayer flags, achievement counts, and 47 control </w:t>
      </w:r>
      <w:r>
        <w:rPr>
          <w:rFonts w:eastAsia="Times New Roman" w:cs="Calibri"/>
          <w:color w:val="000000" w:themeColor="text1"/>
          <w:sz w:val="20"/>
          <w:szCs w:val="20"/>
        </w:rPr>
        <w:lastRenderedPageBreak/>
        <w:t xml:space="preserve">variables; matched to </w:t>
      </w:r>
      <w:proofErr w:type="spellStart"/>
      <w:r>
        <w:rPr>
          <w:rFonts w:eastAsia="Times New Roman" w:cs="Calibri"/>
          <w:color w:val="000000" w:themeColor="text1"/>
          <w:sz w:val="20"/>
          <w:szCs w:val="20"/>
        </w:rPr>
        <w:t>PCGamingWiki</w:t>
      </w:r>
      <w:proofErr w:type="spellEnd"/>
      <w:r>
        <w:rPr>
          <w:rFonts w:eastAsia="Times New Roman" w:cs="Calibri"/>
          <w:color w:val="000000" w:themeColor="text1"/>
          <w:sz w:val="20"/>
          <w:szCs w:val="20"/>
        </w:rPr>
        <w:t xml:space="preserve"> for DRM classification (91.3% match rate)</w:t>
      </w:r>
    </w:p>
    <w:p w14:paraId="23CB8863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proofErr w:type="spellStart"/>
      <w:r>
        <w:rPr>
          <w:rFonts w:eastAsia="Times New Roman" w:cs="Calibri"/>
          <w:color w:val="000000" w:themeColor="text1"/>
          <w:sz w:val="20"/>
          <w:szCs w:val="20"/>
        </w:rPr>
        <w:t>OpenAlex</w:t>
      </w:r>
      <w:proofErr w:type="spellEnd"/>
      <w:r>
        <w:rPr>
          <w:rFonts w:eastAsia="Times New Roman" w:cs="Calibri"/>
          <w:color w:val="000000" w:themeColor="text1"/>
          <w:sz w:val="20"/>
          <w:szCs w:val="20"/>
        </w:rPr>
        <w:t xml:space="preserve"> Publication Pipeline: Resolved authors via ORCID-first with article-title fallback, yielding 2,922 publications from 215 of 606 PhD program graduates</w:t>
      </w:r>
    </w:p>
    <w:p w14:paraId="523BF3B0" w14:textId="77777777" w:rsidR="002D4ACA" w:rsidRDefault="00000000">
      <w:pPr>
        <w:widowControl w:val="0"/>
        <w:pBdr>
          <w:bottom w:val="single" w:sz="12" w:space="1" w:color="000000"/>
        </w:pBdr>
        <w:tabs>
          <w:tab w:val="right" w:pos="11088"/>
        </w:tabs>
        <w:spacing w:before="4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>
        <w:rPr>
          <w:rFonts w:eastAsia="Times New Roman" w:cs="Calibri"/>
          <w:b/>
          <w:color w:val="000000" w:themeColor="text1"/>
          <w:sz w:val="22"/>
          <w:szCs w:val="22"/>
        </w:rPr>
        <w:t>TEACHING EXPERIENCE</w:t>
      </w:r>
    </w:p>
    <w:p w14:paraId="610089D7" w14:textId="621165F2" w:rsidR="002D4ACA" w:rsidRDefault="00000000">
      <w:pPr>
        <w:widowControl w:val="0"/>
        <w:tabs>
          <w:tab w:val="right" w:pos="11088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Teaching Assistant, ECO 138: Economic Reasoning Using Statistics, </w:t>
      </w:r>
      <w:r>
        <w:rPr>
          <w:rFonts w:eastAsia="Times New Roman" w:cs="Calibri"/>
          <w:color w:val="000000" w:themeColor="text1"/>
          <w:sz w:val="20"/>
          <w:szCs w:val="20"/>
        </w:rPr>
        <w:t>Illinois State University</w:t>
      </w:r>
      <w:r>
        <w:rPr>
          <w:rStyle w:val="Strong"/>
          <w:color w:val="000000" w:themeColor="text1"/>
          <w:sz w:val="20"/>
          <w:szCs w:val="20"/>
          <w:shd w:val="clear" w:color="auto" w:fill="FFFFFF"/>
        </w:rPr>
        <w:tab/>
      </w:r>
      <w:r w:rsidR="00E6287A">
        <w:rPr>
          <w:rStyle w:val="Strong"/>
          <w:color w:val="000000" w:themeColor="text1"/>
          <w:sz w:val="20"/>
          <w:szCs w:val="20"/>
          <w:shd w:val="clear" w:color="auto" w:fill="FFFFFF"/>
        </w:rPr>
        <w:t>January</w:t>
      </w:r>
      <w:r>
        <w:rPr>
          <w:rStyle w:val="Strong"/>
          <w:color w:val="000000" w:themeColor="text1"/>
          <w:sz w:val="20"/>
          <w:szCs w:val="20"/>
          <w:shd w:val="clear" w:color="auto" w:fill="FFFFFF"/>
        </w:rPr>
        <w:t xml:space="preserve"> 202</w:t>
      </w:r>
      <w:r w:rsidR="00E6287A">
        <w:rPr>
          <w:rStyle w:val="Strong"/>
          <w:color w:val="000000" w:themeColor="text1"/>
          <w:sz w:val="20"/>
          <w:szCs w:val="20"/>
          <w:shd w:val="clear" w:color="auto" w:fill="FFFFFF"/>
        </w:rPr>
        <w:t>6</w:t>
      </w:r>
      <w:r>
        <w:rPr>
          <w:rStyle w:val="Strong"/>
          <w:color w:val="000000" w:themeColor="text1"/>
          <w:sz w:val="20"/>
          <w:szCs w:val="20"/>
          <w:shd w:val="clear" w:color="auto" w:fill="FFFFFF"/>
        </w:rPr>
        <w:t xml:space="preserve"> – Present</w:t>
      </w:r>
    </w:p>
    <w:p w14:paraId="6CB4F450" w14:textId="0D0068BC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Serve</w:t>
      </w:r>
      <w:r w:rsidR="00CA3014">
        <w:rPr>
          <w:rFonts w:eastAsia="Times New Roman" w:cs="Calibri"/>
          <w:color w:val="000000" w:themeColor="text1"/>
          <w:sz w:val="20"/>
          <w:szCs w:val="20"/>
        </w:rPr>
        <w:t>d</w:t>
      </w:r>
      <w:r>
        <w:rPr>
          <w:rFonts w:eastAsia="Times New Roman" w:cs="Calibri"/>
          <w:color w:val="000000" w:themeColor="text1"/>
          <w:sz w:val="20"/>
          <w:szCs w:val="20"/>
        </w:rPr>
        <w:t xml:space="preserve"> as instructor of record for Economic Reasoning Using Statistics (ECO 138), lecturing a section of 31 students on distributions, central limit theorem, hypothesis testing, and regression analysis</w:t>
      </w:r>
    </w:p>
    <w:p w14:paraId="750DA0E3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Designed review materials and graded coursework</w:t>
      </w:r>
    </w:p>
    <w:p w14:paraId="26E2202C" w14:textId="2B75A68B" w:rsidR="002D4ACA" w:rsidRDefault="00000000">
      <w:pPr>
        <w:widowControl w:val="0"/>
        <w:tabs>
          <w:tab w:val="right" w:pos="11088"/>
        </w:tabs>
        <w:spacing w:after="0" w:line="252" w:lineRule="auto"/>
        <w:rPr>
          <w:rFonts w:eastAsia="Times New Roman" w:cs="Calibri"/>
          <w:b/>
          <w:bCs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Teaching Assistant, Applied Calculus, </w:t>
      </w:r>
      <w:r>
        <w:rPr>
          <w:rFonts w:eastAsia="Times New Roman" w:cs="Calibri"/>
          <w:color w:val="000000" w:themeColor="text1"/>
          <w:sz w:val="20"/>
          <w:szCs w:val="20"/>
        </w:rPr>
        <w:t>Illinois State University</w:t>
      </w:r>
      <w:r>
        <w:rPr>
          <w:rStyle w:val="Strong"/>
          <w:color w:val="000000" w:themeColor="text1"/>
          <w:sz w:val="20"/>
          <w:szCs w:val="20"/>
          <w:shd w:val="clear" w:color="auto" w:fill="FFFFFF"/>
        </w:rPr>
        <w:tab/>
      </w:r>
      <w:r w:rsidR="00AD7DF3">
        <w:rPr>
          <w:rStyle w:val="Strong"/>
          <w:color w:val="000000" w:themeColor="text1"/>
          <w:sz w:val="20"/>
          <w:szCs w:val="20"/>
          <w:shd w:val="clear" w:color="auto" w:fill="FFFFFF"/>
        </w:rPr>
        <w:t>September</w:t>
      </w:r>
      <w:r>
        <w:rPr>
          <w:rStyle w:val="Strong"/>
          <w:color w:val="000000" w:themeColor="text1"/>
          <w:sz w:val="20"/>
          <w:szCs w:val="20"/>
          <w:shd w:val="clear" w:color="auto" w:fill="FFFFFF"/>
        </w:rPr>
        <w:t xml:space="preserve"> 2025 – December 2025</w:t>
      </w:r>
    </w:p>
    <w:p w14:paraId="4BF90DA1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Supported lectures and held office hours covering derivatives, integrals, and the Lagrange multiplier method</w:t>
      </w:r>
    </w:p>
    <w:p w14:paraId="2C8CA491" w14:textId="77777777" w:rsidR="002D4ACA" w:rsidRDefault="00000000">
      <w:pPr>
        <w:widowControl w:val="0"/>
        <w:pBdr>
          <w:bottom w:val="single" w:sz="12" w:space="1" w:color="000000"/>
        </w:pBdr>
        <w:tabs>
          <w:tab w:val="right" w:pos="11088"/>
        </w:tabs>
        <w:spacing w:before="4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>
        <w:rPr>
          <w:rFonts w:eastAsia="Times New Roman" w:cs="Calibri"/>
          <w:b/>
          <w:color w:val="000000" w:themeColor="text1"/>
          <w:sz w:val="22"/>
          <w:szCs w:val="22"/>
        </w:rPr>
        <w:t>PRESENTATIONS</w:t>
      </w:r>
    </w:p>
    <w:p w14:paraId="2A9228AB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“Sports Betting Legalization Spillover Effects in International Betting Markets,” Midwest Economics Association Annual Meeting (2026); Illinois Economics Association Conference (2025)</w:t>
      </w:r>
    </w:p>
    <w:p w14:paraId="442EE15E" w14:textId="77777777" w:rsidR="002D4ACA" w:rsidRDefault="00000000">
      <w:pPr>
        <w:widowControl w:val="0"/>
        <w:pBdr>
          <w:bottom w:val="single" w:sz="12" w:space="1" w:color="000000"/>
        </w:pBdr>
        <w:tabs>
          <w:tab w:val="right" w:pos="11088"/>
        </w:tabs>
        <w:spacing w:before="4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>
        <w:rPr>
          <w:rFonts w:eastAsia="Times New Roman" w:cs="Calibri"/>
          <w:b/>
          <w:color w:val="000000" w:themeColor="text1"/>
          <w:sz w:val="22"/>
          <w:szCs w:val="22"/>
        </w:rPr>
        <w:t>AWARDS</w:t>
      </w:r>
    </w:p>
    <w:p w14:paraId="5588A44B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Merit Fellow for Economics Department, Illinois State University (2025–2026)</w:t>
      </w:r>
    </w:p>
    <w:p w14:paraId="7613C695" w14:textId="77777777" w:rsidR="002D4ACA" w:rsidRDefault="00000000">
      <w:pPr>
        <w:pStyle w:val="ListParagraph"/>
        <w:widowControl w:val="0"/>
        <w:numPr>
          <w:ilvl w:val="0"/>
          <w:numId w:val="5"/>
        </w:numPr>
        <w:tabs>
          <w:tab w:val="right" w:pos="11088"/>
          <w:tab w:val="right" w:pos="11430"/>
        </w:tabs>
        <w:spacing w:before="0" w:after="0" w:line="252" w:lineRule="auto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color w:val="000000" w:themeColor="text1"/>
          <w:sz w:val="20"/>
          <w:szCs w:val="20"/>
        </w:rPr>
        <w:t>Highest Ranking Finance Senior Award, Stephen F. Austin State University (2023–2024)</w:t>
      </w:r>
    </w:p>
    <w:p w14:paraId="6FB62D33" w14:textId="77777777" w:rsidR="002D4ACA" w:rsidRDefault="00000000">
      <w:pPr>
        <w:widowControl w:val="0"/>
        <w:pBdr>
          <w:bottom w:val="single" w:sz="12" w:space="1" w:color="000000"/>
        </w:pBdr>
        <w:tabs>
          <w:tab w:val="right" w:pos="11088"/>
        </w:tabs>
        <w:spacing w:before="40" w:line="252" w:lineRule="auto"/>
        <w:rPr>
          <w:rFonts w:eastAsia="Times New Roman" w:cs="Calibri"/>
          <w:b/>
          <w:color w:val="000000" w:themeColor="text1"/>
          <w:sz w:val="22"/>
          <w:szCs w:val="22"/>
        </w:rPr>
      </w:pPr>
      <w:r>
        <w:rPr>
          <w:rFonts w:eastAsia="Times New Roman" w:cs="Calibri"/>
          <w:b/>
          <w:color w:val="000000" w:themeColor="text1"/>
          <w:sz w:val="22"/>
          <w:szCs w:val="22"/>
        </w:rPr>
        <w:t>SKILLS</w:t>
      </w:r>
    </w:p>
    <w:p w14:paraId="3AF0ED19" w14:textId="77777777" w:rsidR="002D4ACA" w:rsidRDefault="00000000">
      <w:pPr>
        <w:widowControl w:val="0"/>
        <w:tabs>
          <w:tab w:val="right" w:pos="11088"/>
        </w:tabs>
        <w:spacing w:before="0" w:line="252" w:lineRule="auto"/>
        <w:jc w:val="both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Programming: </w:t>
      </w:r>
      <w:r>
        <w:rPr>
          <w:rFonts w:eastAsia="Times New Roman" w:cs="Calibri"/>
          <w:color w:val="000000" w:themeColor="text1"/>
          <w:sz w:val="20"/>
          <w:szCs w:val="20"/>
        </w:rPr>
        <w:t>Python, R, Stata, MATLAB, JavaScript</w:t>
      </w:r>
    </w:p>
    <w:p w14:paraId="584B7E5C" w14:textId="151A09D5" w:rsidR="006A0DD0" w:rsidRPr="006A0DD0" w:rsidRDefault="006A0DD0">
      <w:pPr>
        <w:widowControl w:val="0"/>
        <w:tabs>
          <w:tab w:val="right" w:pos="11088"/>
        </w:tabs>
        <w:spacing w:before="0" w:line="252" w:lineRule="auto"/>
        <w:jc w:val="both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Methods: </w:t>
      </w:r>
      <w:r w:rsidRPr="006A0DD0">
        <w:rPr>
          <w:rFonts w:eastAsia="Times New Roman" w:cs="Calibri"/>
          <w:color w:val="000000" w:themeColor="text1"/>
          <w:sz w:val="20"/>
          <w:szCs w:val="20"/>
        </w:rPr>
        <w:t>Difference-in-Differences, Instrumental Variables, Panel Data Models, Event Studies</w:t>
      </w:r>
      <w:r>
        <w:rPr>
          <w:rFonts w:eastAsia="Times New Roman" w:cs="Calibri"/>
          <w:color w:val="000000" w:themeColor="text1"/>
          <w:sz w:val="20"/>
          <w:szCs w:val="20"/>
        </w:rPr>
        <w:t>, LP-IVs</w:t>
      </w:r>
    </w:p>
    <w:p w14:paraId="47C49D64" w14:textId="77777777" w:rsidR="002D4ACA" w:rsidRDefault="00000000">
      <w:pPr>
        <w:widowControl w:val="0"/>
        <w:tabs>
          <w:tab w:val="right" w:pos="11088"/>
        </w:tabs>
        <w:spacing w:before="0" w:line="252" w:lineRule="auto"/>
        <w:jc w:val="both"/>
        <w:rPr>
          <w:rFonts w:eastAsia="Times New Roman" w:cs="Calibri"/>
          <w:color w:val="000000" w:themeColor="text1"/>
          <w:sz w:val="20"/>
          <w:szCs w:val="20"/>
        </w:rPr>
      </w:pPr>
      <w:r>
        <w:rPr>
          <w:rFonts w:eastAsia="Times New Roman" w:cs="Calibri"/>
          <w:b/>
          <w:bCs/>
          <w:color w:val="000000" w:themeColor="text1"/>
          <w:sz w:val="20"/>
          <w:szCs w:val="20"/>
        </w:rPr>
        <w:t xml:space="preserve">Tools: </w:t>
      </w:r>
      <w:r>
        <w:rPr>
          <w:rFonts w:eastAsia="Times New Roman" w:cs="Calibri"/>
          <w:color w:val="000000" w:themeColor="text1"/>
          <w:sz w:val="20"/>
          <w:szCs w:val="20"/>
        </w:rPr>
        <w:t>LaTeX, Git/GitHub, Excel</w:t>
      </w:r>
    </w:p>
    <w:sectPr w:rsidR="002D4ACA" w:rsidSect="007F7B7D">
      <w:headerReference w:type="even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32" w:right="576" w:bottom="432" w:left="576" w:header="14" w:footer="1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C6B59" w14:textId="77777777" w:rsidR="0041518F" w:rsidRDefault="0041518F" w:rsidP="00C36252">
      <w:pPr>
        <w:spacing w:before="0" w:after="0" w:line="240" w:lineRule="auto"/>
      </w:pPr>
      <w:r>
        <w:separator/>
      </w:r>
    </w:p>
  </w:endnote>
  <w:endnote w:type="continuationSeparator" w:id="0">
    <w:p w14:paraId="4E84F8B4" w14:textId="77777777" w:rsidR="0041518F" w:rsidRDefault="0041518F" w:rsidP="00C3625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6B16D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587B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8CC04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A81B2" w14:textId="77777777" w:rsidR="0041518F" w:rsidRDefault="0041518F" w:rsidP="00C36252">
      <w:pPr>
        <w:spacing w:before="0" w:after="0" w:line="240" w:lineRule="auto"/>
      </w:pPr>
      <w:r>
        <w:separator/>
      </w:r>
    </w:p>
  </w:footnote>
  <w:footnote w:type="continuationSeparator" w:id="0">
    <w:p w14:paraId="451BF82D" w14:textId="77777777" w:rsidR="0041518F" w:rsidRDefault="0041518F" w:rsidP="00C3625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E04F3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90553" w14:textId="77777777" w:rsidR="007F7B7D" w:rsidRDefault="007F7B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34B"/>
    <w:multiLevelType w:val="hybridMultilevel"/>
    <w:tmpl w:val="35903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A4520"/>
    <w:multiLevelType w:val="hybridMultilevel"/>
    <w:tmpl w:val="9C003D70"/>
    <w:lvl w:ilvl="0" w:tplc="900475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D37396"/>
    <w:multiLevelType w:val="hybridMultilevel"/>
    <w:tmpl w:val="1950981C"/>
    <w:lvl w:ilvl="0" w:tplc="E780D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707CFB"/>
    <w:multiLevelType w:val="hybridMultilevel"/>
    <w:tmpl w:val="DED41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D242F1"/>
    <w:multiLevelType w:val="hybridMultilevel"/>
    <w:tmpl w:val="B7605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2342190">
    <w:abstractNumId w:val="2"/>
  </w:num>
  <w:num w:numId="2" w16cid:durableId="1662927656">
    <w:abstractNumId w:val="1"/>
  </w:num>
  <w:num w:numId="3" w16cid:durableId="658508565">
    <w:abstractNumId w:val="0"/>
  </w:num>
  <w:num w:numId="4" w16cid:durableId="465390094">
    <w:abstractNumId w:val="3"/>
  </w:num>
  <w:num w:numId="5" w16cid:durableId="1695351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7D"/>
    <w:rsid w:val="00012A72"/>
    <w:rsid w:val="000320B2"/>
    <w:rsid w:val="00042EBE"/>
    <w:rsid w:val="0008469D"/>
    <w:rsid w:val="0009471B"/>
    <w:rsid w:val="000A368A"/>
    <w:rsid w:val="000C1386"/>
    <w:rsid w:val="000E2162"/>
    <w:rsid w:val="00106F69"/>
    <w:rsid w:val="00125BC9"/>
    <w:rsid w:val="001275C3"/>
    <w:rsid w:val="00144ADF"/>
    <w:rsid w:val="001813CE"/>
    <w:rsid w:val="001D4001"/>
    <w:rsid w:val="00201358"/>
    <w:rsid w:val="00206F0B"/>
    <w:rsid w:val="00211F64"/>
    <w:rsid w:val="0027174E"/>
    <w:rsid w:val="002912DF"/>
    <w:rsid w:val="00291D9F"/>
    <w:rsid w:val="00292DA0"/>
    <w:rsid w:val="002D4ACA"/>
    <w:rsid w:val="003250F9"/>
    <w:rsid w:val="00352A4C"/>
    <w:rsid w:val="003639FD"/>
    <w:rsid w:val="00370160"/>
    <w:rsid w:val="00373EA1"/>
    <w:rsid w:val="00387A22"/>
    <w:rsid w:val="003D7DA5"/>
    <w:rsid w:val="004055C9"/>
    <w:rsid w:val="0041518F"/>
    <w:rsid w:val="00451CB9"/>
    <w:rsid w:val="0047615E"/>
    <w:rsid w:val="00480FF2"/>
    <w:rsid w:val="004903DF"/>
    <w:rsid w:val="004A3C14"/>
    <w:rsid w:val="004B26BF"/>
    <w:rsid w:val="004C71C4"/>
    <w:rsid w:val="00502A40"/>
    <w:rsid w:val="005B2FAC"/>
    <w:rsid w:val="00612444"/>
    <w:rsid w:val="00655C6E"/>
    <w:rsid w:val="00663B03"/>
    <w:rsid w:val="00667599"/>
    <w:rsid w:val="006922BD"/>
    <w:rsid w:val="006A0DD0"/>
    <w:rsid w:val="006A53C0"/>
    <w:rsid w:val="006D52A6"/>
    <w:rsid w:val="00730E4A"/>
    <w:rsid w:val="007412DD"/>
    <w:rsid w:val="00754158"/>
    <w:rsid w:val="0079675C"/>
    <w:rsid w:val="007E4FED"/>
    <w:rsid w:val="007F7B7D"/>
    <w:rsid w:val="00814953"/>
    <w:rsid w:val="0088340B"/>
    <w:rsid w:val="00891254"/>
    <w:rsid w:val="008E64BE"/>
    <w:rsid w:val="00926E90"/>
    <w:rsid w:val="009912C1"/>
    <w:rsid w:val="009A569E"/>
    <w:rsid w:val="009B5212"/>
    <w:rsid w:val="009B7B22"/>
    <w:rsid w:val="009F4FC2"/>
    <w:rsid w:val="00A06686"/>
    <w:rsid w:val="00A20CE5"/>
    <w:rsid w:val="00AA77E7"/>
    <w:rsid w:val="00AD7DF3"/>
    <w:rsid w:val="00B038FF"/>
    <w:rsid w:val="00B14923"/>
    <w:rsid w:val="00B4342C"/>
    <w:rsid w:val="00B44626"/>
    <w:rsid w:val="00B46A83"/>
    <w:rsid w:val="00B61454"/>
    <w:rsid w:val="00B912F1"/>
    <w:rsid w:val="00BA4F9B"/>
    <w:rsid w:val="00BE0CBA"/>
    <w:rsid w:val="00BF7AD5"/>
    <w:rsid w:val="00C24C40"/>
    <w:rsid w:val="00C277B5"/>
    <w:rsid w:val="00C279AB"/>
    <w:rsid w:val="00C27B86"/>
    <w:rsid w:val="00C36252"/>
    <w:rsid w:val="00C50763"/>
    <w:rsid w:val="00C51418"/>
    <w:rsid w:val="00CA3014"/>
    <w:rsid w:val="00CE4D61"/>
    <w:rsid w:val="00CE5149"/>
    <w:rsid w:val="00D02FD0"/>
    <w:rsid w:val="00D04F89"/>
    <w:rsid w:val="00D07570"/>
    <w:rsid w:val="00D4121D"/>
    <w:rsid w:val="00D504FC"/>
    <w:rsid w:val="00D54993"/>
    <w:rsid w:val="00D55D58"/>
    <w:rsid w:val="00D67056"/>
    <w:rsid w:val="00D904F4"/>
    <w:rsid w:val="00DB334B"/>
    <w:rsid w:val="00DE1826"/>
    <w:rsid w:val="00DF2943"/>
    <w:rsid w:val="00DF7C8A"/>
    <w:rsid w:val="00E35D2F"/>
    <w:rsid w:val="00E378C9"/>
    <w:rsid w:val="00E6287A"/>
    <w:rsid w:val="00E96C78"/>
    <w:rsid w:val="00E9701D"/>
    <w:rsid w:val="00EB4139"/>
    <w:rsid w:val="00ED6DF5"/>
    <w:rsid w:val="00EF15DE"/>
    <w:rsid w:val="00F36CC8"/>
    <w:rsid w:val="00F6000F"/>
    <w:rsid w:val="00F868CF"/>
    <w:rsid w:val="00FB1FC0"/>
    <w:rsid w:val="00FB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C5EBC"/>
  <w15:chartTrackingRefBased/>
  <w15:docId w15:val="{F33DC4F1-6CB6-4D0B-85E5-932AA6765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B7D"/>
    <w:pPr>
      <w:spacing w:before="120" w:after="3" w:line="259" w:lineRule="auto"/>
    </w:pPr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B7D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7F7B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F7B7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7D"/>
    <w:rPr>
      <w:rFonts w:ascii="Cambria" w:eastAsia="Cambria" w:hAnsi="Cambria" w:cs="Cambria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F7B7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CE514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5149"/>
    <w:rPr>
      <w:rFonts w:ascii="Cambria" w:eastAsia="Cambria" w:hAnsi="Cambria" w:cs="Cambria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55C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hnstoneg.github.io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johnston.g.ethan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ethan-johnston-65b075243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852</Words>
  <Characters>4857</Characters>
  <Application>Microsoft Office Word</Application>
  <DocSecurity>2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Ethan Johnston</cp:lastModifiedBy>
  <cp:revision>67</cp:revision>
  <dcterms:created xsi:type="dcterms:W3CDTF">2026-04-06T15:12:00Z</dcterms:created>
  <dcterms:modified xsi:type="dcterms:W3CDTF">2026-04-12T20:08:00Z</dcterms:modified>
</cp:coreProperties>
</file>