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b w:val="1"/>
          <w:sz w:val="20"/>
          <w:szCs w:val="20"/>
          <w:rtl w:val="0"/>
        </w:rPr>
        <w:t xml:space="preserve">TAMPILKAN ENAME SEBAGAI NAMA, DNAME SEBAGAI DEPARTEMEN, SAL SEBAGAI GAJI, GRADE SEBAGAI GOLONGAN . (10 Point)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DARI TABEL EMP, DEPT DAN SALGRADE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DIMANA DNAME ADALAH RESEARCH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 BERADA DIANTARA NILAI HISAL DAN LOSAL YANG ADA DITABEL SALGRADE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29013" cy="4441342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821" l="925" r="0" t="5561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444134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DENGAN MENGGUNAKAN SUBQUERY, TAMPILKAN EMPNO SEBAGAI NOMER PEGAWAI, ENAME SEBAGAI NAMA, DEPTNO SEBAGAI NOMER DEPARTEMEN. (10 Point)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DARI TABEL EMP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DIMANA PEGAWAI TERSEBUT BERADA DALAM DEPTNO YANG MEMILIKI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ENAME MENGANDUNG HURUF 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UNTUK NAMA FORD TIDAK DITAMPILKAN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DIURUTKAN BERDASARKAN ENAME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238500" cy="3000375"/>
            <wp:effectExtent b="12700" l="12700" r="12700" t="127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003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TAMPILKAN ENAME SEBAGAI NAMA, JOB SEBAGAI PEKERJAAN, HIREDATE SEBAGAI TGL MASUK, DAN SAL SEBAGAI GAJI DARI TABEL EMP DIMANA SAL LEBIH BESAR DARI 2500 DAN DIURUTKAN BERDASARKAN ENAME. (10 Point)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43250" cy="3223952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1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22395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120" w:w="104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