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9F" w:rsidRDefault="0086609F" w:rsidP="002B4ED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r w:rsidR="00644677">
        <w:rPr>
          <w:rFonts w:ascii="Times New Roman" w:hAnsi="Times New Roman" w:cs="Times New Roman"/>
          <w:b/>
          <w:sz w:val="24"/>
          <w:szCs w:val="24"/>
        </w:rPr>
        <w:t xml:space="preserve"> and Survey of Relevant Literature</w:t>
      </w:r>
    </w:p>
    <w:p w:rsidR="008A1574" w:rsidRDefault="00BD6B0F" w:rsidP="007F6D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Lending Club </w:t>
      </w:r>
      <w:r w:rsidR="0069047B">
        <w:rPr>
          <w:rFonts w:ascii="Times New Roman" w:hAnsi="Times New Roman" w:cs="Times New Roman"/>
          <w:sz w:val="24"/>
          <w:szCs w:val="24"/>
        </w:rPr>
        <w:t>is the pioneer of peer to peer lending, a new investment option</w:t>
      </w:r>
      <w:r w:rsidR="00F00C2B">
        <w:rPr>
          <w:rFonts w:ascii="Times New Roman" w:hAnsi="Times New Roman" w:cs="Times New Roman"/>
          <w:sz w:val="24"/>
          <w:szCs w:val="24"/>
        </w:rPr>
        <w:t xml:space="preserve"> with nearly $16 billion in loans funded and 887,440 loans from the company’s inception in 2007 dur</w:t>
      </w:r>
      <w:r w:rsidR="00F53E9D">
        <w:rPr>
          <w:rFonts w:ascii="Times New Roman" w:hAnsi="Times New Roman" w:cs="Times New Roman"/>
          <w:sz w:val="24"/>
          <w:szCs w:val="24"/>
        </w:rPr>
        <w:t>ing the global financial crisis as defined by NBER</w:t>
      </w:r>
      <w:r w:rsidR="009A5240">
        <w:rPr>
          <w:rFonts w:ascii="Times New Roman" w:hAnsi="Times New Roman" w:cs="Times New Roman"/>
          <w:sz w:val="24"/>
          <w:szCs w:val="24"/>
        </w:rPr>
        <w:t xml:space="preserve"> (2010)</w:t>
      </w:r>
      <w:r w:rsidR="00F53E9D">
        <w:rPr>
          <w:rFonts w:ascii="Times New Roman" w:hAnsi="Times New Roman" w:cs="Times New Roman"/>
          <w:sz w:val="24"/>
          <w:szCs w:val="24"/>
        </w:rPr>
        <w:t xml:space="preserve"> </w:t>
      </w:r>
      <w:r w:rsidR="00F00C2B">
        <w:rPr>
          <w:rFonts w:ascii="Times New Roman" w:hAnsi="Times New Roman" w:cs="Times New Roman"/>
          <w:sz w:val="24"/>
          <w:szCs w:val="24"/>
        </w:rPr>
        <w:t xml:space="preserve">to the end of 2015. Investors have been enticed by Lending Club’s promised returns even despite the macroeconomic situation in 2007; however, investors </w:t>
      </w:r>
      <w:r w:rsidR="00DE681A">
        <w:rPr>
          <w:rFonts w:ascii="Times New Roman" w:hAnsi="Times New Roman" w:cs="Times New Roman"/>
          <w:sz w:val="24"/>
          <w:szCs w:val="24"/>
        </w:rPr>
        <w:t xml:space="preserve">ultimately must assess the worthwhileness of investing in Lending Club. </w:t>
      </w:r>
      <w:r w:rsidR="00C467E6">
        <w:rPr>
          <w:rFonts w:ascii="Times New Roman" w:hAnsi="Times New Roman" w:cs="Times New Roman"/>
          <w:sz w:val="24"/>
          <w:szCs w:val="24"/>
        </w:rPr>
        <w:t xml:space="preserve">Asset pricing theory can be used to understand the value of claims to uncertain payments (Cochrane </w:t>
      </w:r>
      <w:r w:rsidR="008A1574">
        <w:rPr>
          <w:rFonts w:ascii="Times New Roman" w:hAnsi="Times New Roman" w:cs="Times New Roman"/>
          <w:sz w:val="24"/>
          <w:szCs w:val="24"/>
        </w:rPr>
        <w:t>2000</w:t>
      </w:r>
      <w:r w:rsidR="00C467E6">
        <w:rPr>
          <w:rFonts w:ascii="Times New Roman" w:hAnsi="Times New Roman" w:cs="Times New Roman"/>
          <w:sz w:val="24"/>
          <w:szCs w:val="24"/>
        </w:rPr>
        <w:t>), thus Lending Club assets can be assesse</w:t>
      </w:r>
      <w:r w:rsidR="00552FE1">
        <w:rPr>
          <w:rFonts w:ascii="Times New Roman" w:hAnsi="Times New Roman" w:cs="Times New Roman"/>
          <w:sz w:val="24"/>
          <w:szCs w:val="24"/>
        </w:rPr>
        <w:t>d within that broader context</w:t>
      </w:r>
      <w:r w:rsidR="00DE681A">
        <w:rPr>
          <w:rFonts w:ascii="Times New Roman" w:hAnsi="Times New Roman" w:cs="Times New Roman"/>
          <w:sz w:val="24"/>
          <w:szCs w:val="24"/>
        </w:rPr>
        <w:t xml:space="preserve"> of other forms of investment options</w:t>
      </w:r>
      <w:r w:rsidR="00552FE1">
        <w:rPr>
          <w:rFonts w:ascii="Times New Roman" w:hAnsi="Times New Roman" w:cs="Times New Roman"/>
          <w:sz w:val="24"/>
          <w:szCs w:val="24"/>
        </w:rPr>
        <w:t>.</w:t>
      </w:r>
      <w:r w:rsidR="00552FE1">
        <w:rPr>
          <w:rFonts w:ascii="Times New Roman" w:hAnsi="Times New Roman" w:cs="Times New Roman"/>
          <w:sz w:val="24"/>
          <w:szCs w:val="24"/>
        </w:rPr>
        <w:tab/>
      </w:r>
      <w:r w:rsidR="00552FE1">
        <w:rPr>
          <w:rFonts w:ascii="Times New Roman" w:hAnsi="Times New Roman" w:cs="Times New Roman"/>
          <w:sz w:val="24"/>
          <w:szCs w:val="24"/>
        </w:rPr>
        <w:tab/>
      </w:r>
    </w:p>
    <w:p w:rsidR="004A0FBC" w:rsidRDefault="00552FE1" w:rsidP="008A15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Williams </w:t>
      </w:r>
      <w:r w:rsidR="00C467E6">
        <w:rPr>
          <w:rFonts w:ascii="Times New Roman" w:hAnsi="Times New Roman" w:cs="Times New Roman"/>
          <w:sz w:val="24"/>
          <w:szCs w:val="24"/>
        </w:rPr>
        <w:t xml:space="preserve">(1938) originally emphasized the creation of a portfolio that maximizes the discounted value of future returns, so ultimately examining Lending Club’s expected returns would be sufficient; however, Markowitz rejects William’s method and instead emphasizes expected returns as </w:t>
      </w:r>
      <w:r w:rsidR="00577FD3">
        <w:rPr>
          <w:rFonts w:ascii="Times New Roman" w:hAnsi="Times New Roman" w:cs="Times New Roman"/>
          <w:sz w:val="24"/>
          <w:szCs w:val="24"/>
        </w:rPr>
        <w:t>desirable and variance of returns as undesirable, incorporating another a key element in assessing a portfolio. The mean-variance frontier stems from Markowitz’s use of expected returns and variance to construct a portfolio that simultaneously maximizes the expected returns while minimizing the variance within some attainable set (</w:t>
      </w:r>
      <w:r w:rsidR="00F53E9D">
        <w:rPr>
          <w:rFonts w:ascii="Times New Roman" w:hAnsi="Times New Roman" w:cs="Times New Roman"/>
          <w:sz w:val="24"/>
          <w:szCs w:val="24"/>
        </w:rPr>
        <w:t>1952</w:t>
      </w:r>
      <w:r w:rsidR="00577FD3">
        <w:rPr>
          <w:rFonts w:ascii="Times New Roman" w:hAnsi="Times New Roman" w:cs="Times New Roman"/>
          <w:sz w:val="24"/>
          <w:szCs w:val="24"/>
        </w:rPr>
        <w:t>) --- an efficient portfolio along the efficient mean-variance frontier line cannot do any better</w:t>
      </w:r>
      <w:r w:rsidR="00DE681A">
        <w:rPr>
          <w:rFonts w:ascii="Times New Roman" w:hAnsi="Times New Roman" w:cs="Times New Roman"/>
          <w:sz w:val="24"/>
          <w:szCs w:val="24"/>
        </w:rPr>
        <w:t xml:space="preserve"> in terms of expected returns for risk</w:t>
      </w:r>
      <w:r w:rsidR="00577FD3">
        <w:rPr>
          <w:rFonts w:ascii="Times New Roman" w:hAnsi="Times New Roman" w:cs="Times New Roman"/>
          <w:sz w:val="24"/>
          <w:szCs w:val="24"/>
        </w:rPr>
        <w:t xml:space="preserve">. </w:t>
      </w:r>
      <w:r w:rsidR="00DE681A">
        <w:rPr>
          <w:rFonts w:ascii="Times New Roman" w:hAnsi="Times New Roman" w:cs="Times New Roman"/>
          <w:sz w:val="24"/>
          <w:szCs w:val="24"/>
        </w:rPr>
        <w:t xml:space="preserve">For a portfolio to yield higher expected returns, there must be more risk associated with it, so there is a trade-off aspect for the mean-variance frontier. </w:t>
      </w:r>
      <w:r w:rsidR="00577FD3">
        <w:rPr>
          <w:rFonts w:ascii="Times New Roman" w:hAnsi="Times New Roman" w:cs="Times New Roman"/>
          <w:sz w:val="24"/>
          <w:szCs w:val="24"/>
        </w:rPr>
        <w:t xml:space="preserve">Only two frontier returns, as a result, are necessary in constructing the mean-variance frontier (Cochrane </w:t>
      </w:r>
      <w:r w:rsidR="008A1574">
        <w:rPr>
          <w:rFonts w:ascii="Times New Roman" w:hAnsi="Times New Roman" w:cs="Times New Roman"/>
          <w:sz w:val="24"/>
          <w:szCs w:val="24"/>
        </w:rPr>
        <w:t>2000</w:t>
      </w:r>
      <w:r w:rsidR="00577FD3">
        <w:rPr>
          <w:rFonts w:ascii="Times New Roman" w:hAnsi="Times New Roman" w:cs="Times New Roman"/>
          <w:sz w:val="24"/>
          <w:szCs w:val="24"/>
        </w:rPr>
        <w:t>); two assets that lie on the frontier are the Risk Free Rate, which is the 3-Month Treasury Bill, and S&amp;P 500 (</w:t>
      </w:r>
      <w:proofErr w:type="spellStart"/>
      <w:r w:rsidR="008A1574">
        <w:rPr>
          <w:rFonts w:ascii="Times New Roman" w:hAnsi="Times New Roman" w:cs="Times New Roman"/>
          <w:sz w:val="24"/>
          <w:szCs w:val="24"/>
        </w:rPr>
        <w:t>Zha</w:t>
      </w:r>
      <w:proofErr w:type="spellEnd"/>
      <w:r w:rsidR="008A1574">
        <w:rPr>
          <w:rFonts w:ascii="Times New Roman" w:hAnsi="Times New Roman" w:cs="Times New Roman"/>
          <w:sz w:val="24"/>
          <w:szCs w:val="24"/>
        </w:rPr>
        <w:t xml:space="preserve"> 2016</w:t>
      </w:r>
      <w:r w:rsidR="00577FD3">
        <w:rPr>
          <w:rFonts w:ascii="Times New Roman" w:hAnsi="Times New Roman" w:cs="Times New Roman"/>
          <w:sz w:val="24"/>
          <w:szCs w:val="24"/>
        </w:rPr>
        <w:t xml:space="preserve">). Examining Lending Club within the context of the mean-variance frontier </w:t>
      </w:r>
      <w:r w:rsidR="00577FD3">
        <w:rPr>
          <w:rFonts w:ascii="Times New Roman" w:hAnsi="Times New Roman" w:cs="Times New Roman"/>
          <w:sz w:val="24"/>
          <w:szCs w:val="24"/>
        </w:rPr>
        <w:lastRenderedPageBreak/>
        <w:t xml:space="preserve">is a case study </w:t>
      </w:r>
      <w:r w:rsidR="002535F3">
        <w:rPr>
          <w:rFonts w:ascii="Times New Roman" w:hAnsi="Times New Roman" w:cs="Times New Roman"/>
          <w:sz w:val="24"/>
          <w:szCs w:val="24"/>
        </w:rPr>
        <w:t>utilizing the theoretical model for empirical analysis</w:t>
      </w:r>
      <w:r w:rsidR="007F6D87">
        <w:rPr>
          <w:rFonts w:ascii="Times New Roman" w:hAnsi="Times New Roman" w:cs="Times New Roman"/>
          <w:sz w:val="24"/>
          <w:szCs w:val="24"/>
        </w:rPr>
        <w:t xml:space="preserve"> to assess the portfolio and highlight any discrepancies within the model</w:t>
      </w:r>
      <w:r w:rsidR="002535F3">
        <w:rPr>
          <w:rFonts w:ascii="Times New Roman" w:hAnsi="Times New Roman" w:cs="Times New Roman"/>
          <w:sz w:val="24"/>
          <w:szCs w:val="24"/>
        </w:rPr>
        <w:t>.</w:t>
      </w:r>
      <w:r w:rsidR="007F6D87">
        <w:rPr>
          <w:rFonts w:ascii="Times New Roman" w:hAnsi="Times New Roman" w:cs="Times New Roman"/>
          <w:sz w:val="24"/>
          <w:szCs w:val="24"/>
        </w:rPr>
        <w:t xml:space="preserve"> </w:t>
      </w:r>
    </w:p>
    <w:p w:rsidR="008A1574" w:rsidRDefault="00BC7764" w:rsidP="007F6D8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Lending Club classifies borrowers </w:t>
      </w:r>
      <w:r w:rsidR="004A0FBC">
        <w:rPr>
          <w:rFonts w:ascii="Times New Roman" w:hAnsi="Times New Roman" w:cs="Times New Roman"/>
          <w:sz w:val="24"/>
          <w:szCs w:val="24"/>
        </w:rPr>
        <w:t>using</w:t>
      </w:r>
      <w:r>
        <w:rPr>
          <w:rFonts w:ascii="Times New Roman" w:hAnsi="Times New Roman" w:cs="Times New Roman"/>
          <w:sz w:val="24"/>
          <w:szCs w:val="24"/>
        </w:rPr>
        <w:t xml:space="preserve"> credit score, debt-to-income ratio, credit history, and income into grades with “A” being the highest and “G” being the lowest. Interest rates for borrowers are based off of the grades with 7.26% for borrowers with “A” status ranging to a maximum of 25.72% for borrowers with “G” status; however, despite the stated interest rates, loans have unique characteristics of monthly compounding interest, early payments, late payments, and defaults.</w:t>
      </w:r>
      <w:r w:rsidR="007F6D87">
        <w:rPr>
          <w:rFonts w:ascii="Times New Roman" w:hAnsi="Times New Roman" w:cs="Times New Roman"/>
          <w:sz w:val="24"/>
          <w:szCs w:val="24"/>
        </w:rPr>
        <w:t xml:space="preserve"> This paper examines Lending Club loans in aggregate with respect to grade as a portfolio and contextualizes the portfolio with the</w:t>
      </w:r>
      <w:r w:rsidR="00ED4D8C">
        <w:rPr>
          <w:rFonts w:ascii="Times New Roman" w:hAnsi="Times New Roman" w:cs="Times New Roman"/>
          <w:sz w:val="24"/>
          <w:szCs w:val="24"/>
        </w:rPr>
        <w:t xml:space="preserve"> mean-</w:t>
      </w:r>
      <w:r w:rsidR="007F6D87">
        <w:rPr>
          <w:rFonts w:ascii="Times New Roman" w:hAnsi="Times New Roman" w:cs="Times New Roman"/>
          <w:sz w:val="24"/>
          <w:szCs w:val="24"/>
        </w:rPr>
        <w:t>variance frontier. Furthermore, the paper claims that under empirical analysis, portfolios containing a single grade will be along the mean-variance frontier’s efficient line</w:t>
      </w:r>
    </w:p>
    <w:p w:rsidR="002A08D5" w:rsidRDefault="007F6D87" w:rsidP="007F6D87">
      <w:pPr>
        <w:spacing w:after="0" w:line="480" w:lineRule="auto"/>
        <w:rPr>
          <w:rFonts w:ascii="Times New Roman" w:hAnsi="Times New Roman" w:cs="Times New Roman"/>
          <w:sz w:val="24"/>
          <w:szCs w:val="24"/>
        </w:rPr>
      </w:pPr>
      <w:r>
        <w:rPr>
          <w:rFonts w:ascii="Times New Roman" w:hAnsi="Times New Roman" w:cs="Times New Roman"/>
          <w:sz w:val="24"/>
          <w:szCs w:val="24"/>
        </w:rPr>
        <w:tab/>
        <w:t>The subsequent sections of the paper</w:t>
      </w:r>
      <w:r w:rsidR="002A08D5">
        <w:rPr>
          <w:rFonts w:ascii="Times New Roman" w:hAnsi="Times New Roman" w:cs="Times New Roman"/>
          <w:sz w:val="24"/>
          <w:szCs w:val="24"/>
        </w:rPr>
        <w:t xml:space="preserve"> are</w:t>
      </w:r>
      <w:r>
        <w:rPr>
          <w:rFonts w:ascii="Times New Roman" w:hAnsi="Times New Roman" w:cs="Times New Roman"/>
          <w:sz w:val="24"/>
          <w:szCs w:val="24"/>
        </w:rPr>
        <w:t xml:space="preserve"> organized to examine the e</w:t>
      </w:r>
      <w:r w:rsidR="00DE681A">
        <w:rPr>
          <w:rFonts w:ascii="Times New Roman" w:hAnsi="Times New Roman" w:cs="Times New Roman"/>
          <w:sz w:val="24"/>
          <w:szCs w:val="24"/>
        </w:rPr>
        <w:t>vidence surrounding the claim that</w:t>
      </w:r>
      <w:r>
        <w:rPr>
          <w:rFonts w:ascii="Times New Roman" w:hAnsi="Times New Roman" w:cs="Times New Roman"/>
          <w:sz w:val="24"/>
          <w:szCs w:val="24"/>
        </w:rPr>
        <w:t xml:space="preserve"> </w:t>
      </w:r>
      <w:r w:rsidR="002A08D5">
        <w:rPr>
          <w:rFonts w:ascii="Times New Roman" w:hAnsi="Times New Roman" w:cs="Times New Roman"/>
          <w:sz w:val="24"/>
          <w:szCs w:val="24"/>
        </w:rPr>
        <w:t xml:space="preserve">Lending Club portfolios with respect to grade </w:t>
      </w:r>
      <w:r w:rsidR="00DE681A">
        <w:rPr>
          <w:rFonts w:ascii="Times New Roman" w:hAnsi="Times New Roman" w:cs="Times New Roman"/>
          <w:sz w:val="24"/>
          <w:szCs w:val="24"/>
        </w:rPr>
        <w:t>are</w:t>
      </w:r>
      <w:r w:rsidR="002A08D5">
        <w:rPr>
          <w:rFonts w:ascii="Times New Roman" w:hAnsi="Times New Roman" w:cs="Times New Roman"/>
          <w:sz w:val="24"/>
          <w:szCs w:val="24"/>
        </w:rPr>
        <w:t xml:space="preserve"> along the efficient line in the mean</w:t>
      </w:r>
      <w:r w:rsidR="00ED4D8C">
        <w:rPr>
          <w:rFonts w:ascii="Times New Roman" w:hAnsi="Times New Roman" w:cs="Times New Roman"/>
          <w:sz w:val="24"/>
          <w:szCs w:val="24"/>
        </w:rPr>
        <w:t>-</w:t>
      </w:r>
      <w:r w:rsidR="002A08D5">
        <w:rPr>
          <w:rFonts w:ascii="Times New Roman" w:hAnsi="Times New Roman" w:cs="Times New Roman"/>
          <w:sz w:val="24"/>
          <w:szCs w:val="24"/>
        </w:rPr>
        <w:t>variance frontier. The Data and Methodology section will detail the sources of data, provide descriptions of the data, and highlight any manipulation with the data. The Results section will present the empirical evidence from the data and construct the mean</w:t>
      </w:r>
      <w:r w:rsidR="00ED4D8C">
        <w:rPr>
          <w:rFonts w:ascii="Times New Roman" w:hAnsi="Times New Roman" w:cs="Times New Roman"/>
          <w:sz w:val="24"/>
          <w:szCs w:val="24"/>
        </w:rPr>
        <w:t>-</w:t>
      </w:r>
      <w:r w:rsidR="002A08D5">
        <w:rPr>
          <w:rFonts w:ascii="Times New Roman" w:hAnsi="Times New Roman" w:cs="Times New Roman"/>
          <w:sz w:val="24"/>
          <w:szCs w:val="24"/>
        </w:rPr>
        <w:t xml:space="preserve">variance frontier with Lending Club portfolios with respect to grade placed </w:t>
      </w:r>
      <w:r w:rsidR="00DE681A">
        <w:rPr>
          <w:rFonts w:ascii="Times New Roman" w:hAnsi="Times New Roman" w:cs="Times New Roman"/>
          <w:sz w:val="24"/>
          <w:szCs w:val="24"/>
        </w:rPr>
        <w:t>in the graph</w:t>
      </w:r>
      <w:r w:rsidR="002A08D5">
        <w:rPr>
          <w:rFonts w:ascii="Times New Roman" w:hAnsi="Times New Roman" w:cs="Times New Roman"/>
          <w:sz w:val="24"/>
          <w:szCs w:val="24"/>
        </w:rPr>
        <w:t>. Finally, the empirical evidence will be used in evaluating the claim of Lending Club portfolios being efficient.</w:t>
      </w:r>
    </w:p>
    <w:p w:rsidR="00192D50" w:rsidRDefault="00192D50" w:rsidP="002B4ED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Methodology</w:t>
      </w:r>
    </w:p>
    <w:p w:rsidR="00192D50" w:rsidRDefault="00192D50" w:rsidP="005E51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43DA7">
        <w:rPr>
          <w:rFonts w:ascii="Times New Roman" w:hAnsi="Times New Roman" w:cs="Times New Roman"/>
          <w:sz w:val="24"/>
          <w:szCs w:val="24"/>
        </w:rPr>
        <w:t xml:space="preserve">The key data for the empirical analysis conducted is through Lending Club, utilizing the 2007-2011 and 2012-2013 data sets with 39,786 observations and 188,123 observations respectively. </w:t>
      </w:r>
      <w:r w:rsidR="004177C0">
        <w:rPr>
          <w:rFonts w:ascii="Times New Roman" w:hAnsi="Times New Roman" w:cs="Times New Roman"/>
          <w:sz w:val="24"/>
          <w:szCs w:val="24"/>
        </w:rPr>
        <w:t xml:space="preserve">The data </w:t>
      </w:r>
      <w:r w:rsidR="005B00FC">
        <w:rPr>
          <w:rFonts w:ascii="Times New Roman" w:hAnsi="Times New Roman" w:cs="Times New Roman"/>
          <w:sz w:val="24"/>
          <w:szCs w:val="24"/>
        </w:rPr>
        <w:t>year ranges</w:t>
      </w:r>
      <w:r w:rsidR="004177C0">
        <w:rPr>
          <w:rFonts w:ascii="Times New Roman" w:hAnsi="Times New Roman" w:cs="Times New Roman"/>
          <w:sz w:val="24"/>
          <w:szCs w:val="24"/>
        </w:rPr>
        <w:t xml:space="preserve"> mark the starting year</w:t>
      </w:r>
      <w:r w:rsidR="005B00FC">
        <w:rPr>
          <w:rFonts w:ascii="Times New Roman" w:hAnsi="Times New Roman" w:cs="Times New Roman"/>
          <w:sz w:val="24"/>
          <w:szCs w:val="24"/>
        </w:rPr>
        <w:t>s</w:t>
      </w:r>
      <w:r w:rsidR="004177C0">
        <w:rPr>
          <w:rFonts w:ascii="Times New Roman" w:hAnsi="Times New Roman" w:cs="Times New Roman"/>
          <w:sz w:val="24"/>
          <w:szCs w:val="24"/>
        </w:rPr>
        <w:t xml:space="preserve">, and the final year chosen for analysis </w:t>
      </w:r>
      <w:r w:rsidR="004177C0">
        <w:rPr>
          <w:rFonts w:ascii="Times New Roman" w:hAnsi="Times New Roman" w:cs="Times New Roman"/>
          <w:sz w:val="24"/>
          <w:szCs w:val="24"/>
        </w:rPr>
        <w:lastRenderedPageBreak/>
        <w:t>is 2015. The variables select</w:t>
      </w:r>
      <w:r w:rsidR="00DE681A">
        <w:rPr>
          <w:rFonts w:ascii="Times New Roman" w:hAnsi="Times New Roman" w:cs="Times New Roman"/>
          <w:sz w:val="24"/>
          <w:szCs w:val="24"/>
        </w:rPr>
        <w:t>ed for analysis are as follows:</w:t>
      </w:r>
      <w:r w:rsidR="001C75FD">
        <w:rPr>
          <w:rFonts w:ascii="Times New Roman" w:hAnsi="Times New Roman" w:cs="Times New Roman"/>
          <w:sz w:val="24"/>
          <w:szCs w:val="24"/>
        </w:rPr>
        <w:t xml:space="preserve"> </w:t>
      </w:r>
      <w:r w:rsidR="004177C0">
        <w:rPr>
          <w:rFonts w:ascii="Times New Roman" w:hAnsi="Times New Roman" w:cs="Times New Roman"/>
          <w:sz w:val="24"/>
          <w:szCs w:val="24"/>
        </w:rPr>
        <w:t xml:space="preserve">Grade, </w:t>
      </w:r>
      <w:r w:rsidR="001A7F88">
        <w:rPr>
          <w:rFonts w:ascii="Times New Roman" w:hAnsi="Times New Roman" w:cs="Times New Roman"/>
          <w:sz w:val="24"/>
          <w:szCs w:val="24"/>
        </w:rPr>
        <w:t xml:space="preserve">Loan Status, Loan Term, </w:t>
      </w:r>
      <w:r w:rsidR="004177C0">
        <w:rPr>
          <w:rFonts w:ascii="Times New Roman" w:hAnsi="Times New Roman" w:cs="Times New Roman"/>
          <w:sz w:val="24"/>
          <w:szCs w:val="24"/>
        </w:rPr>
        <w:t>Interest Rate (Annual), Funded Amount, and Total Payment</w:t>
      </w:r>
      <w:r w:rsidR="00864C22">
        <w:rPr>
          <w:rFonts w:ascii="Times New Roman" w:hAnsi="Times New Roman" w:cs="Times New Roman"/>
          <w:sz w:val="24"/>
          <w:szCs w:val="24"/>
        </w:rPr>
        <w:t xml:space="preserve"> with Issued date used for identifying separating loans that finished before 2015</w:t>
      </w:r>
      <w:r w:rsidR="004177C0">
        <w:rPr>
          <w:rFonts w:ascii="Times New Roman" w:hAnsi="Times New Roman" w:cs="Times New Roman"/>
          <w:sz w:val="24"/>
          <w:szCs w:val="24"/>
        </w:rPr>
        <w:t>; these variables can be summarized below in Table 1</w:t>
      </w:r>
      <w:r w:rsidR="005E5435">
        <w:rPr>
          <w:rFonts w:ascii="Times New Roman" w:hAnsi="Times New Roman" w:cs="Times New Roman"/>
          <w:sz w:val="24"/>
          <w:szCs w:val="24"/>
        </w:rPr>
        <w:t xml:space="preserve"> with the averages representing loans completed before 2015</w:t>
      </w:r>
      <w:r w:rsidR="004177C0">
        <w:rPr>
          <w:rFonts w:ascii="Times New Roman" w:hAnsi="Times New Roman" w:cs="Times New Roman"/>
          <w:sz w:val="24"/>
          <w:szCs w:val="24"/>
        </w:rPr>
        <w:t xml:space="preserve">.  </w:t>
      </w:r>
    </w:p>
    <w:p w:rsidR="0086609F" w:rsidRPr="00BF0507" w:rsidRDefault="00C63E21" w:rsidP="009A7767">
      <w:pPr>
        <w:spacing w:after="0" w:line="480" w:lineRule="auto"/>
        <w:jc w:val="center"/>
        <w:rPr>
          <w:rFonts w:ascii="Times New Roman" w:hAnsi="Times New Roman" w:cs="Times New Roman"/>
          <w:i/>
          <w:sz w:val="24"/>
          <w:szCs w:val="24"/>
        </w:rPr>
      </w:pPr>
      <w:r w:rsidRPr="00BF0507">
        <w:rPr>
          <w:rFonts w:ascii="Times New Roman" w:hAnsi="Times New Roman" w:cs="Times New Roman"/>
          <w:i/>
          <w:sz w:val="24"/>
          <w:szCs w:val="24"/>
        </w:rPr>
        <w:t>Table 1</w:t>
      </w:r>
      <w:r w:rsidR="009A7767">
        <w:rPr>
          <w:rFonts w:ascii="Times New Roman" w:hAnsi="Times New Roman" w:cs="Times New Roman"/>
          <w:i/>
          <w:sz w:val="24"/>
          <w:szCs w:val="24"/>
        </w:rPr>
        <w:t>: Lending Club Data Summary</w:t>
      </w:r>
    </w:p>
    <w:tbl>
      <w:tblPr>
        <w:tblpPr w:leftFromText="180" w:rightFromText="180" w:vertAnchor="page" w:horzAnchor="margin" w:tblpXSpec="center" w:tblpY="4401"/>
        <w:tblW w:w="7265" w:type="dxa"/>
        <w:tblLook w:val="04A0" w:firstRow="1" w:lastRow="0" w:firstColumn="1" w:lastColumn="0" w:noHBand="0" w:noVBand="1"/>
      </w:tblPr>
      <w:tblGrid>
        <w:gridCol w:w="875"/>
        <w:gridCol w:w="886"/>
        <w:gridCol w:w="1218"/>
        <w:gridCol w:w="1056"/>
        <w:gridCol w:w="1056"/>
        <w:gridCol w:w="1056"/>
        <w:gridCol w:w="1118"/>
      </w:tblGrid>
      <w:tr w:rsidR="00864C22" w:rsidRPr="00C63E21" w:rsidTr="00864C22">
        <w:trPr>
          <w:trHeight w:val="1160"/>
        </w:trPr>
        <w:tc>
          <w:tcPr>
            <w:tcW w:w="875"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Grade</w:t>
            </w:r>
          </w:p>
        </w:tc>
        <w:tc>
          <w:tcPr>
            <w:tcW w:w="886"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Total Loans</w:t>
            </w:r>
          </w:p>
        </w:tc>
        <w:tc>
          <w:tcPr>
            <w:tcW w:w="1218"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 xml:space="preserve">Completed Loans   </w:t>
            </w:r>
            <w:proofErr w:type="gramStart"/>
            <w:r w:rsidRPr="00C63E21">
              <w:rPr>
                <w:rFonts w:ascii="Calibri" w:eastAsia="Times New Roman" w:hAnsi="Calibri" w:cs="Times New Roman"/>
                <w:b/>
                <w:bCs/>
                <w:color w:val="3F3F3F"/>
              </w:rPr>
              <w:t xml:space="preserve">   (</w:t>
            </w:r>
            <w:proofErr w:type="gramEnd"/>
            <w:r w:rsidRPr="00C63E21">
              <w:rPr>
                <w:rFonts w:ascii="Calibri" w:eastAsia="Times New Roman" w:hAnsi="Calibri" w:cs="Times New Roman"/>
                <w:b/>
                <w:bCs/>
                <w:color w:val="3F3F3F"/>
              </w:rPr>
              <w:t>by 2015)</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proofErr w:type="spellStart"/>
            <w:r w:rsidRPr="00C63E21">
              <w:rPr>
                <w:rFonts w:ascii="Calibri" w:eastAsia="Times New Roman" w:hAnsi="Calibri" w:cs="Times New Roman"/>
                <w:b/>
                <w:bCs/>
                <w:color w:val="3F3F3F"/>
              </w:rPr>
              <w:t>Avg</w:t>
            </w:r>
            <w:proofErr w:type="spellEnd"/>
            <w:r w:rsidRPr="00C63E21">
              <w:rPr>
                <w:rFonts w:ascii="Calibri" w:eastAsia="Times New Roman" w:hAnsi="Calibri" w:cs="Times New Roman"/>
                <w:b/>
                <w:bCs/>
                <w:color w:val="3F3F3F"/>
              </w:rPr>
              <w:t xml:space="preserve"> Loan Term  </w:t>
            </w:r>
            <w:proofErr w:type="gramStart"/>
            <w:r w:rsidRPr="00C63E21">
              <w:rPr>
                <w:rFonts w:ascii="Calibri" w:eastAsia="Times New Roman" w:hAnsi="Calibri" w:cs="Times New Roman"/>
                <w:b/>
                <w:bCs/>
                <w:color w:val="3F3F3F"/>
              </w:rPr>
              <w:t xml:space="preserve">   (</w:t>
            </w:r>
            <w:proofErr w:type="gramEnd"/>
            <w:r w:rsidRPr="00C63E21">
              <w:rPr>
                <w:rFonts w:ascii="Calibri" w:eastAsia="Times New Roman" w:hAnsi="Calibri" w:cs="Times New Roman"/>
                <w:b/>
                <w:bCs/>
                <w:color w:val="3F3F3F"/>
              </w:rPr>
              <w:t>By 2015)</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proofErr w:type="spellStart"/>
            <w:r w:rsidRPr="00C63E21">
              <w:rPr>
                <w:rFonts w:ascii="Calibri" w:eastAsia="Times New Roman" w:hAnsi="Calibri" w:cs="Times New Roman"/>
                <w:b/>
                <w:bCs/>
                <w:color w:val="3F3F3F"/>
              </w:rPr>
              <w:t>Avg</w:t>
            </w:r>
            <w:proofErr w:type="spellEnd"/>
            <w:r w:rsidRPr="00C63E21">
              <w:rPr>
                <w:rFonts w:ascii="Calibri" w:eastAsia="Times New Roman" w:hAnsi="Calibri" w:cs="Times New Roman"/>
                <w:b/>
                <w:bCs/>
                <w:color w:val="3F3F3F"/>
              </w:rPr>
              <w:t xml:space="preserve"> </w:t>
            </w:r>
            <w:proofErr w:type="spellStart"/>
            <w:r w:rsidRPr="00C63E21">
              <w:rPr>
                <w:rFonts w:ascii="Calibri" w:eastAsia="Times New Roman" w:hAnsi="Calibri" w:cs="Times New Roman"/>
                <w:b/>
                <w:bCs/>
                <w:color w:val="3F3F3F"/>
              </w:rPr>
              <w:t>Int</w:t>
            </w:r>
            <w:proofErr w:type="spellEnd"/>
            <w:r w:rsidRPr="00C63E21">
              <w:rPr>
                <w:rFonts w:ascii="Calibri" w:eastAsia="Times New Roman" w:hAnsi="Calibri" w:cs="Times New Roman"/>
                <w:b/>
                <w:bCs/>
                <w:color w:val="3F3F3F"/>
              </w:rPr>
              <w:t xml:space="preserve"> Rate  </w:t>
            </w:r>
            <w:proofErr w:type="gramStart"/>
            <w:r w:rsidRPr="00C63E21">
              <w:rPr>
                <w:rFonts w:ascii="Calibri" w:eastAsia="Times New Roman" w:hAnsi="Calibri" w:cs="Times New Roman"/>
                <w:b/>
                <w:bCs/>
                <w:color w:val="3F3F3F"/>
              </w:rPr>
              <w:t xml:space="preserve">   (</w:t>
            </w:r>
            <w:proofErr w:type="gramEnd"/>
            <w:r w:rsidRPr="00C63E21">
              <w:rPr>
                <w:rFonts w:ascii="Calibri" w:eastAsia="Times New Roman" w:hAnsi="Calibri" w:cs="Times New Roman"/>
                <w:b/>
                <w:bCs/>
                <w:color w:val="3F3F3F"/>
              </w:rPr>
              <w:t>By 2015)</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proofErr w:type="spellStart"/>
            <w:r w:rsidRPr="00C63E21">
              <w:rPr>
                <w:rFonts w:ascii="Calibri" w:eastAsia="Times New Roman" w:hAnsi="Calibri" w:cs="Times New Roman"/>
                <w:b/>
                <w:bCs/>
                <w:color w:val="3F3F3F"/>
              </w:rPr>
              <w:t>Avg</w:t>
            </w:r>
            <w:proofErr w:type="spellEnd"/>
            <w:r w:rsidRPr="00C63E21">
              <w:rPr>
                <w:rFonts w:ascii="Calibri" w:eastAsia="Times New Roman" w:hAnsi="Calibri" w:cs="Times New Roman"/>
                <w:b/>
                <w:bCs/>
                <w:color w:val="3F3F3F"/>
              </w:rPr>
              <w:t xml:space="preserve"> Funded Amount (By 2015)</w:t>
            </w:r>
          </w:p>
        </w:tc>
        <w:tc>
          <w:tcPr>
            <w:tcW w:w="1118" w:type="dxa"/>
            <w:tcBorders>
              <w:top w:val="single" w:sz="4" w:space="0" w:color="3F3F3F"/>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proofErr w:type="spellStart"/>
            <w:r w:rsidRPr="00C63E21">
              <w:rPr>
                <w:rFonts w:ascii="Calibri" w:eastAsia="Times New Roman" w:hAnsi="Calibri" w:cs="Times New Roman"/>
                <w:b/>
                <w:bCs/>
                <w:color w:val="3F3F3F"/>
              </w:rPr>
              <w:t>Avg</w:t>
            </w:r>
            <w:proofErr w:type="spellEnd"/>
            <w:r w:rsidRPr="00C63E21">
              <w:rPr>
                <w:rFonts w:ascii="Calibri" w:eastAsia="Times New Roman" w:hAnsi="Calibri" w:cs="Times New Roman"/>
                <w:b/>
                <w:bCs/>
                <w:color w:val="3F3F3F"/>
              </w:rPr>
              <w:t xml:space="preserve"> Total Payments (By 2015)</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A</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38661</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20663</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36.30199</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7.466445</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9805.885</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10484.33</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B</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74640</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26997</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36.76542</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11.69818</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10636.35</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11686.69</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C</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58099</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16274</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36.91877</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14.54043</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10694.94</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11883.74</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D</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33206</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8878</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37.51115</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17.02485</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12551.97</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14150.7</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E</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15100</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2186</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41.74199</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17.02485</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15269.84</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17509.88</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F</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6760</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489</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44.58896</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19.51211</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15087.32</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17211.53</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G</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1443</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149</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47.11409</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21.14678</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18996.81</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22472.7</w:t>
            </w:r>
          </w:p>
        </w:tc>
      </w:tr>
      <w:tr w:rsidR="00864C22" w:rsidRPr="00C63E21" w:rsidTr="00864C22">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Overall</w:t>
            </w:r>
          </w:p>
        </w:tc>
        <w:tc>
          <w:tcPr>
            <w:tcW w:w="88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227909</w:t>
            </w:r>
          </w:p>
        </w:tc>
        <w:tc>
          <w:tcPr>
            <w:tcW w:w="12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75636</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36.97414</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12.04088</w:t>
            </w:r>
          </w:p>
        </w:tc>
        <w:tc>
          <w:tcPr>
            <w:tcW w:w="1056"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10826.09</w:t>
            </w:r>
          </w:p>
        </w:tc>
        <w:tc>
          <w:tcPr>
            <w:tcW w:w="1118" w:type="dxa"/>
            <w:tcBorders>
              <w:top w:val="nil"/>
              <w:left w:val="nil"/>
              <w:bottom w:val="single" w:sz="4" w:space="0" w:color="3F3F3F"/>
              <w:right w:val="single" w:sz="4" w:space="0" w:color="3F3F3F"/>
            </w:tcBorders>
            <w:shd w:val="clear" w:color="000000" w:fill="F2F2F2"/>
            <w:vAlign w:val="bottom"/>
            <w:hideMark/>
          </w:tcPr>
          <w:p w:rsidR="00864C22" w:rsidRPr="00C63E21" w:rsidRDefault="00864C22" w:rsidP="00864C22">
            <w:pPr>
              <w:spacing w:after="0" w:line="240" w:lineRule="auto"/>
              <w:jc w:val="center"/>
              <w:rPr>
                <w:rFonts w:ascii="Calibri" w:eastAsia="Times New Roman" w:hAnsi="Calibri" w:cs="Times New Roman"/>
                <w:b/>
                <w:bCs/>
                <w:color w:val="3F3F3F"/>
              </w:rPr>
            </w:pPr>
            <w:r w:rsidRPr="00C63E21">
              <w:rPr>
                <w:rFonts w:ascii="Calibri" w:eastAsia="Times New Roman" w:hAnsi="Calibri" w:cs="Times New Roman"/>
                <w:b/>
                <w:bCs/>
                <w:color w:val="3F3F3F"/>
              </w:rPr>
              <w:t>11915.1</w:t>
            </w:r>
          </w:p>
        </w:tc>
      </w:tr>
    </w:tbl>
    <w:p w:rsidR="00C63E21" w:rsidRDefault="00C63E21" w:rsidP="00DE681A">
      <w:pPr>
        <w:spacing w:after="0" w:line="480" w:lineRule="auto"/>
        <w:rPr>
          <w:rFonts w:ascii="Times New Roman" w:hAnsi="Times New Roman" w:cs="Times New Roman"/>
          <w:sz w:val="24"/>
          <w:szCs w:val="24"/>
        </w:rPr>
      </w:pPr>
    </w:p>
    <w:p w:rsidR="00C63E21" w:rsidRDefault="00C63E21" w:rsidP="00C63E21">
      <w:pPr>
        <w:spacing w:after="0" w:line="480" w:lineRule="auto"/>
        <w:jc w:val="center"/>
        <w:rPr>
          <w:rFonts w:ascii="Times New Roman" w:hAnsi="Times New Roman" w:cs="Times New Roman"/>
          <w:sz w:val="24"/>
          <w:szCs w:val="24"/>
        </w:rPr>
      </w:pPr>
    </w:p>
    <w:p w:rsidR="00C63E21" w:rsidRDefault="00C63E21" w:rsidP="00C63E21">
      <w:pPr>
        <w:spacing w:after="0" w:line="480" w:lineRule="auto"/>
        <w:jc w:val="center"/>
        <w:rPr>
          <w:rFonts w:ascii="Times New Roman" w:hAnsi="Times New Roman" w:cs="Times New Roman"/>
          <w:sz w:val="24"/>
          <w:szCs w:val="24"/>
        </w:rPr>
      </w:pPr>
    </w:p>
    <w:p w:rsidR="00C63E21" w:rsidRDefault="00C63E21" w:rsidP="00C63E21">
      <w:pPr>
        <w:spacing w:after="0" w:line="480" w:lineRule="auto"/>
        <w:jc w:val="center"/>
        <w:rPr>
          <w:rFonts w:ascii="Times New Roman" w:hAnsi="Times New Roman" w:cs="Times New Roman"/>
          <w:sz w:val="24"/>
          <w:szCs w:val="24"/>
        </w:rPr>
      </w:pPr>
    </w:p>
    <w:p w:rsidR="00C63E21" w:rsidRDefault="00C63E21" w:rsidP="00C63E21">
      <w:pPr>
        <w:spacing w:after="0" w:line="480" w:lineRule="auto"/>
        <w:jc w:val="center"/>
        <w:rPr>
          <w:rFonts w:ascii="Times New Roman" w:hAnsi="Times New Roman" w:cs="Times New Roman"/>
          <w:sz w:val="24"/>
          <w:szCs w:val="24"/>
        </w:rPr>
      </w:pPr>
    </w:p>
    <w:p w:rsidR="00C63E21" w:rsidRDefault="00C63E21" w:rsidP="00C63E21">
      <w:pPr>
        <w:spacing w:after="0" w:line="480" w:lineRule="auto"/>
        <w:jc w:val="center"/>
        <w:rPr>
          <w:rFonts w:ascii="Times New Roman" w:hAnsi="Times New Roman" w:cs="Times New Roman"/>
          <w:sz w:val="24"/>
          <w:szCs w:val="24"/>
        </w:rPr>
      </w:pPr>
    </w:p>
    <w:p w:rsidR="00DE42A4" w:rsidRDefault="00DE42A4" w:rsidP="00C87FAA">
      <w:pPr>
        <w:spacing w:after="0" w:line="480" w:lineRule="auto"/>
        <w:rPr>
          <w:rFonts w:ascii="Times New Roman" w:hAnsi="Times New Roman" w:cs="Times New Roman"/>
          <w:sz w:val="24"/>
          <w:szCs w:val="24"/>
        </w:rPr>
      </w:pPr>
    </w:p>
    <w:p w:rsidR="00DE42A4" w:rsidRDefault="00DE42A4" w:rsidP="00C63E21">
      <w:pPr>
        <w:spacing w:after="0" w:line="480" w:lineRule="auto"/>
        <w:rPr>
          <w:rFonts w:ascii="Times New Roman" w:hAnsi="Times New Roman" w:cs="Times New Roman"/>
          <w:sz w:val="24"/>
          <w:szCs w:val="24"/>
        </w:rPr>
      </w:pPr>
    </w:p>
    <w:p w:rsidR="00C87FAA" w:rsidRDefault="009060DC" w:rsidP="00C63E2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Time period for the empirical analysis is a limiting factor because Lending Club continues to grow in quantity of loans; however, any data used </w:t>
      </w:r>
      <w:proofErr w:type="gramStart"/>
      <w:r>
        <w:rPr>
          <w:rFonts w:ascii="Times New Roman" w:hAnsi="Times New Roman" w:cs="Times New Roman"/>
          <w:sz w:val="24"/>
          <w:szCs w:val="24"/>
        </w:rPr>
        <w:t>from  2016</w:t>
      </w:r>
      <w:proofErr w:type="gramEnd"/>
      <w:r>
        <w:rPr>
          <w:rFonts w:ascii="Times New Roman" w:hAnsi="Times New Roman" w:cs="Times New Roman"/>
          <w:sz w:val="24"/>
          <w:szCs w:val="24"/>
        </w:rPr>
        <w:t xml:space="preserve"> completion dates and onwards would be at risk for a significant amount of uncertainty due to their incomplete status. </w:t>
      </w:r>
      <w:r w:rsidR="00755E0F">
        <w:rPr>
          <w:rFonts w:ascii="Times New Roman" w:hAnsi="Times New Roman" w:cs="Times New Roman"/>
          <w:sz w:val="24"/>
          <w:szCs w:val="24"/>
        </w:rPr>
        <w:t>A</w:t>
      </w:r>
      <w:r>
        <w:rPr>
          <w:rFonts w:ascii="Times New Roman" w:hAnsi="Times New Roman" w:cs="Times New Roman"/>
          <w:sz w:val="24"/>
          <w:szCs w:val="24"/>
        </w:rPr>
        <w:t>nother</w:t>
      </w:r>
      <w:r w:rsidR="00755E0F">
        <w:rPr>
          <w:rFonts w:ascii="Times New Roman" w:hAnsi="Times New Roman" w:cs="Times New Roman"/>
          <w:sz w:val="24"/>
          <w:szCs w:val="24"/>
        </w:rPr>
        <w:t xml:space="preserve"> clear limitation with respect to Lending Club’s data is the quantity of loans that are not completed by 2015</w:t>
      </w:r>
      <w:r w:rsidR="00E83315">
        <w:rPr>
          <w:rFonts w:ascii="Times New Roman" w:hAnsi="Times New Roman" w:cs="Times New Roman"/>
          <w:sz w:val="24"/>
          <w:szCs w:val="24"/>
        </w:rPr>
        <w:t xml:space="preserve"> that started from 2013 and earlier</w:t>
      </w:r>
      <w:r w:rsidR="00755E0F">
        <w:rPr>
          <w:rFonts w:ascii="Times New Roman" w:hAnsi="Times New Roman" w:cs="Times New Roman"/>
          <w:sz w:val="24"/>
          <w:szCs w:val="24"/>
        </w:rPr>
        <w:t>: 75</w:t>
      </w:r>
      <w:r w:rsidR="00DE42A4">
        <w:rPr>
          <w:rFonts w:ascii="Times New Roman" w:hAnsi="Times New Roman" w:cs="Times New Roman"/>
          <w:sz w:val="24"/>
          <w:szCs w:val="24"/>
        </w:rPr>
        <w:t>,</w:t>
      </w:r>
      <w:r w:rsidR="00755E0F">
        <w:rPr>
          <w:rFonts w:ascii="Times New Roman" w:hAnsi="Times New Roman" w:cs="Times New Roman"/>
          <w:sz w:val="24"/>
          <w:szCs w:val="24"/>
        </w:rPr>
        <w:t>636 out of 227</w:t>
      </w:r>
      <w:r w:rsidR="00DE42A4">
        <w:rPr>
          <w:rFonts w:ascii="Times New Roman" w:hAnsi="Times New Roman" w:cs="Times New Roman"/>
          <w:sz w:val="24"/>
          <w:szCs w:val="24"/>
        </w:rPr>
        <w:t>,</w:t>
      </w:r>
      <w:r w:rsidR="00755E0F">
        <w:rPr>
          <w:rFonts w:ascii="Times New Roman" w:hAnsi="Times New Roman" w:cs="Times New Roman"/>
          <w:sz w:val="24"/>
          <w:szCs w:val="24"/>
        </w:rPr>
        <w:t>909 or approximately 33% of loans were c</w:t>
      </w:r>
      <w:r>
        <w:rPr>
          <w:rFonts w:ascii="Times New Roman" w:hAnsi="Times New Roman" w:cs="Times New Roman"/>
          <w:sz w:val="24"/>
          <w:szCs w:val="24"/>
        </w:rPr>
        <w:t xml:space="preserve">ompleted by the time of analysis. </w:t>
      </w:r>
      <w:r w:rsidR="00E83315">
        <w:rPr>
          <w:rFonts w:ascii="Times New Roman" w:hAnsi="Times New Roman" w:cs="Times New Roman"/>
          <w:sz w:val="24"/>
          <w:szCs w:val="24"/>
        </w:rPr>
        <w:t>A</w:t>
      </w:r>
      <w:r w:rsidR="00451A22">
        <w:rPr>
          <w:rFonts w:ascii="Times New Roman" w:hAnsi="Times New Roman" w:cs="Times New Roman"/>
          <w:sz w:val="24"/>
          <w:szCs w:val="24"/>
        </w:rPr>
        <w:t xml:space="preserve">nother complication appears when handling annualized interest rate for loans: loans have the nuances of late payments, defaults, and early payments. All are aspects that effect the annual interest rate to be different from before, and Table 2 highlights the significance of the issue within the data. </w:t>
      </w:r>
      <w:r w:rsidR="00464C2B">
        <w:rPr>
          <w:rFonts w:ascii="Times New Roman" w:hAnsi="Times New Roman" w:cs="Times New Roman"/>
          <w:sz w:val="24"/>
          <w:szCs w:val="24"/>
        </w:rPr>
        <w:t>As a note, c</w:t>
      </w:r>
      <w:r w:rsidR="00C87FAA">
        <w:rPr>
          <w:rFonts w:ascii="Times New Roman" w:hAnsi="Times New Roman" w:cs="Times New Roman"/>
          <w:sz w:val="24"/>
          <w:szCs w:val="24"/>
        </w:rPr>
        <w:t xml:space="preserve">lassifications for </w:t>
      </w:r>
      <w:r w:rsidR="00E83315">
        <w:rPr>
          <w:rFonts w:ascii="Times New Roman" w:hAnsi="Times New Roman" w:cs="Times New Roman"/>
          <w:sz w:val="24"/>
          <w:szCs w:val="24"/>
        </w:rPr>
        <w:lastRenderedPageBreak/>
        <w:t xml:space="preserve">Charged Off loans </w:t>
      </w:r>
      <w:proofErr w:type="spellStart"/>
      <w:r w:rsidR="00E83315">
        <w:rPr>
          <w:rFonts w:ascii="Times New Roman" w:hAnsi="Times New Roman" w:cs="Times New Roman"/>
          <w:sz w:val="24"/>
          <w:szCs w:val="24"/>
        </w:rPr>
        <w:t>includ</w:t>
      </w:r>
      <w:proofErr w:type="spellEnd"/>
      <w:r w:rsidR="00C87FAA">
        <w:rPr>
          <w:rFonts w:ascii="Times New Roman" w:hAnsi="Times New Roman" w:cs="Times New Roman"/>
          <w:sz w:val="24"/>
          <w:szCs w:val="24"/>
        </w:rPr>
        <w:t xml:space="preserve"> loan statuses of “Late (31-120 days)”, “In Grace Period”, and “Default,” which </w:t>
      </w:r>
      <w:r w:rsidR="00E83315">
        <w:rPr>
          <w:rFonts w:ascii="Times New Roman" w:hAnsi="Times New Roman" w:cs="Times New Roman"/>
          <w:sz w:val="24"/>
          <w:szCs w:val="24"/>
        </w:rPr>
        <w:t>add</w:t>
      </w:r>
      <w:r w:rsidR="00C87FAA">
        <w:rPr>
          <w:rFonts w:ascii="Times New Roman" w:hAnsi="Times New Roman" w:cs="Times New Roman"/>
          <w:sz w:val="24"/>
          <w:szCs w:val="24"/>
        </w:rPr>
        <w:t xml:space="preserve"> to 37 loans. The total amount of charged off loans is 9,794.</w:t>
      </w:r>
    </w:p>
    <w:p w:rsidR="00BA38C8" w:rsidRDefault="00BA38C8" w:rsidP="00C63E21">
      <w:pPr>
        <w:spacing w:after="0" w:line="480" w:lineRule="auto"/>
        <w:rPr>
          <w:rFonts w:ascii="Times New Roman" w:hAnsi="Times New Roman" w:cs="Times New Roman"/>
          <w:sz w:val="24"/>
          <w:szCs w:val="24"/>
        </w:rPr>
      </w:pPr>
    </w:p>
    <w:p w:rsidR="00BA38C8" w:rsidRPr="00BF0507" w:rsidRDefault="00BA38C8" w:rsidP="00BA38C8">
      <w:pPr>
        <w:spacing w:after="0" w:line="480" w:lineRule="auto"/>
        <w:jc w:val="center"/>
        <w:rPr>
          <w:rFonts w:ascii="Times New Roman" w:hAnsi="Times New Roman" w:cs="Times New Roman"/>
          <w:i/>
          <w:sz w:val="24"/>
          <w:szCs w:val="24"/>
        </w:rPr>
      </w:pPr>
      <w:r w:rsidRPr="00BF0507">
        <w:rPr>
          <w:rFonts w:ascii="Times New Roman" w:hAnsi="Times New Roman" w:cs="Times New Roman"/>
          <w:i/>
          <w:sz w:val="24"/>
          <w:szCs w:val="24"/>
        </w:rPr>
        <w:t>Table 2</w:t>
      </w:r>
      <w:r w:rsidR="00EC7B6C">
        <w:rPr>
          <w:rFonts w:ascii="Times New Roman" w:hAnsi="Times New Roman" w:cs="Times New Roman"/>
          <w:i/>
          <w:sz w:val="24"/>
          <w:szCs w:val="24"/>
        </w:rPr>
        <w:t>: Interest Rate Breakdown</w:t>
      </w:r>
    </w:p>
    <w:tbl>
      <w:tblPr>
        <w:tblW w:w="4154" w:type="dxa"/>
        <w:tblInd w:w="2593" w:type="dxa"/>
        <w:tblLook w:val="04A0" w:firstRow="1" w:lastRow="0" w:firstColumn="1" w:lastColumn="0" w:noHBand="0" w:noVBand="1"/>
      </w:tblPr>
      <w:tblGrid>
        <w:gridCol w:w="875"/>
        <w:gridCol w:w="1056"/>
        <w:gridCol w:w="1056"/>
        <w:gridCol w:w="1167"/>
      </w:tblGrid>
      <w:tr w:rsidR="00AB69C1" w:rsidRPr="00AB69C1" w:rsidTr="00AB69C1">
        <w:trPr>
          <w:trHeight w:val="1160"/>
        </w:trPr>
        <w:tc>
          <w:tcPr>
            <w:tcW w:w="875"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Grade</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Full Interest Paid</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Percent Partial Interest Rate Paid</w:t>
            </w:r>
          </w:p>
        </w:tc>
        <w:tc>
          <w:tcPr>
            <w:tcW w:w="1167" w:type="dxa"/>
            <w:tcBorders>
              <w:top w:val="single" w:sz="4" w:space="0" w:color="3F3F3F"/>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Percent Charged Off</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A</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91.49688</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8.50312</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6.606011</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B</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80.45709</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19.54291</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12.07912</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C</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72.40383</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27.59617</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16.707632</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D</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67.45889</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32.54111</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20.207254</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E</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62.76304</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37.23696</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22.186642</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F</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56.64622</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43.35378</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25.97137</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G</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49.66443</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50.33557</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28.85906</w:t>
            </w:r>
          </w:p>
        </w:tc>
      </w:tr>
      <w:tr w:rsidR="00AB69C1" w:rsidRPr="00AB69C1" w:rsidTr="00AB69C1">
        <w:trPr>
          <w:trHeight w:val="290"/>
        </w:trPr>
        <w:tc>
          <w:tcPr>
            <w:tcW w:w="875" w:type="dxa"/>
            <w:tcBorders>
              <w:top w:val="nil"/>
              <w:left w:val="single" w:sz="4" w:space="0" w:color="3F3F3F"/>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rPr>
                <w:rFonts w:ascii="Calibri" w:eastAsia="Times New Roman" w:hAnsi="Calibri" w:cs="Times New Roman"/>
                <w:b/>
                <w:bCs/>
                <w:color w:val="3F3F3F"/>
              </w:rPr>
            </w:pPr>
            <w:r w:rsidRPr="00AB69C1">
              <w:rPr>
                <w:rFonts w:ascii="Calibri" w:eastAsia="Times New Roman" w:hAnsi="Calibri" w:cs="Times New Roman"/>
                <w:b/>
                <w:bCs/>
                <w:color w:val="3F3F3F"/>
              </w:rPr>
              <w:t>Overall</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79.4886</w:t>
            </w:r>
          </w:p>
        </w:tc>
        <w:tc>
          <w:tcPr>
            <w:tcW w:w="1056"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20.5114</w:t>
            </w:r>
          </w:p>
        </w:tc>
        <w:tc>
          <w:tcPr>
            <w:tcW w:w="1167" w:type="dxa"/>
            <w:tcBorders>
              <w:top w:val="nil"/>
              <w:left w:val="nil"/>
              <w:bottom w:val="single" w:sz="4" w:space="0" w:color="3F3F3F"/>
              <w:right w:val="single" w:sz="4" w:space="0" w:color="3F3F3F"/>
            </w:tcBorders>
            <w:shd w:val="clear" w:color="000000" w:fill="F2F2F2"/>
            <w:vAlign w:val="bottom"/>
            <w:hideMark/>
          </w:tcPr>
          <w:p w:rsidR="00AB69C1" w:rsidRPr="00AB69C1" w:rsidRDefault="00AB69C1" w:rsidP="00AB69C1">
            <w:pPr>
              <w:spacing w:after="0" w:line="240" w:lineRule="auto"/>
              <w:jc w:val="right"/>
              <w:rPr>
                <w:rFonts w:ascii="Calibri" w:eastAsia="Times New Roman" w:hAnsi="Calibri" w:cs="Times New Roman"/>
                <w:b/>
                <w:bCs/>
                <w:color w:val="3F3F3F"/>
              </w:rPr>
            </w:pPr>
            <w:r w:rsidRPr="00AB69C1">
              <w:rPr>
                <w:rFonts w:ascii="Calibri" w:eastAsia="Times New Roman" w:hAnsi="Calibri" w:cs="Times New Roman"/>
                <w:b/>
                <w:bCs/>
                <w:color w:val="3F3F3F"/>
              </w:rPr>
              <w:t>12.94886</w:t>
            </w:r>
          </w:p>
        </w:tc>
      </w:tr>
    </w:tbl>
    <w:p w:rsidR="005B00FC" w:rsidRDefault="005B00FC" w:rsidP="00BA38C8">
      <w:pPr>
        <w:spacing w:after="0" w:line="480" w:lineRule="auto"/>
        <w:rPr>
          <w:rFonts w:ascii="Times New Roman" w:hAnsi="Times New Roman" w:cs="Times New Roman"/>
          <w:sz w:val="24"/>
          <w:szCs w:val="24"/>
        </w:rPr>
      </w:pPr>
    </w:p>
    <w:p w:rsidR="0064644E" w:rsidRDefault="005B00FC" w:rsidP="00581F5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With </w:t>
      </w:r>
      <w:r w:rsidR="00AB69C1">
        <w:rPr>
          <w:rFonts w:ascii="Times New Roman" w:hAnsi="Times New Roman" w:cs="Times New Roman"/>
          <w:sz w:val="24"/>
          <w:szCs w:val="24"/>
        </w:rPr>
        <w:t xml:space="preserve">approximately 20.5% of loans representing </w:t>
      </w:r>
      <w:r w:rsidR="00A722EC">
        <w:rPr>
          <w:rFonts w:ascii="Times New Roman" w:hAnsi="Times New Roman" w:cs="Times New Roman"/>
          <w:sz w:val="24"/>
          <w:szCs w:val="24"/>
        </w:rPr>
        <w:t xml:space="preserve">partial interest rates paid, the annualized interest rate provided </w:t>
      </w:r>
      <w:r w:rsidR="0064644E">
        <w:rPr>
          <w:rFonts w:ascii="Times New Roman" w:hAnsi="Times New Roman" w:cs="Times New Roman"/>
          <w:sz w:val="24"/>
          <w:szCs w:val="24"/>
        </w:rPr>
        <w:t>needs to recomputed to accurately reflect annualized interest rates.</w:t>
      </w:r>
    </w:p>
    <w:p w:rsidR="00581F53" w:rsidRPr="00AA5B86" w:rsidRDefault="00581F53" w:rsidP="00581F53">
      <w:pPr>
        <w:spacing w:after="0" w:line="480" w:lineRule="auto"/>
        <w:rPr>
          <w:rFonts w:ascii="Times New Roman" w:hAnsi="Times New Roman" w:cs="Times New Roman"/>
          <w:sz w:val="24"/>
          <w:szCs w:val="24"/>
        </w:rPr>
      </w:pPr>
      <w:r w:rsidRPr="00AA5B86">
        <w:rPr>
          <w:rFonts w:ascii="Times New Roman" w:hAnsi="Times New Roman" w:cs="Times New Roman"/>
          <w:sz w:val="24"/>
          <w:szCs w:val="24"/>
        </w:rPr>
        <w:t xml:space="preserve">In order to calculate the actual annualized interest rate, the following formula </w:t>
      </w:r>
      <w:r w:rsidR="00E83315">
        <w:rPr>
          <w:rFonts w:ascii="Times New Roman" w:hAnsi="Times New Roman" w:cs="Times New Roman"/>
          <w:sz w:val="24"/>
          <w:szCs w:val="24"/>
        </w:rPr>
        <w:t>is</w:t>
      </w:r>
      <w:r w:rsidRPr="00AA5B86">
        <w:rPr>
          <w:rFonts w:ascii="Times New Roman" w:hAnsi="Times New Roman" w:cs="Times New Roman"/>
          <w:sz w:val="24"/>
          <w:szCs w:val="24"/>
        </w:rPr>
        <w:t xml:space="preserve"> used with “r” as the monthly interest rate in decimal form, “P” as the funded amount on the loan, “N” as the total number of months for the loan, and total payment as “Total Loan Cost.”:</w:t>
      </w:r>
    </w:p>
    <w:p w:rsidR="00581F53" w:rsidRPr="00AA5B86" w:rsidRDefault="00581F53" w:rsidP="00581F53">
      <w:pPr>
        <w:spacing w:after="0" w:line="480" w:lineRule="auto"/>
        <w:jc w:val="center"/>
        <w:rPr>
          <w:rFonts w:ascii="Times New Roman" w:hAnsi="Times New Roman" w:cs="Times New Roman"/>
          <w:i/>
          <w:sz w:val="20"/>
          <w:szCs w:val="20"/>
        </w:rPr>
      </w:pPr>
      <w:r w:rsidRPr="00AA5B86">
        <w:rPr>
          <w:rFonts w:ascii="Times New Roman" w:hAnsi="Times New Roman" w:cs="Times New Roman"/>
          <w:i/>
          <w:sz w:val="20"/>
          <w:szCs w:val="20"/>
        </w:rPr>
        <w:t xml:space="preserve">Total Loan Cost = (r x P </w:t>
      </w:r>
      <w:proofErr w:type="gramStart"/>
      <w:r w:rsidRPr="00AA5B86">
        <w:rPr>
          <w:rFonts w:ascii="Times New Roman" w:hAnsi="Times New Roman" w:cs="Times New Roman"/>
          <w:i/>
          <w:sz w:val="20"/>
          <w:szCs w:val="20"/>
        </w:rPr>
        <w:t>x</w:t>
      </w:r>
      <w:proofErr w:type="gramEnd"/>
      <w:r w:rsidRPr="00AA5B86">
        <w:rPr>
          <w:rFonts w:ascii="Times New Roman" w:hAnsi="Times New Roman" w:cs="Times New Roman"/>
          <w:i/>
          <w:sz w:val="20"/>
          <w:szCs w:val="20"/>
        </w:rPr>
        <w:t xml:space="preserve"> N) / (1 - </w:t>
      </w:r>
      <m:oMath>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1+r)</m:t>
                </m:r>
              </m:e>
              <m:sup>
                <m:r>
                  <w:rPr>
                    <w:rFonts w:ascii="Cambria Math" w:hAnsi="Cambria Math" w:cs="Times New Roman"/>
                    <w:sz w:val="20"/>
                    <w:szCs w:val="20"/>
                  </w:rPr>
                  <m:t>-N</m:t>
                </m:r>
              </m:sup>
            </m:sSup>
          </m:e>
        </m:d>
        <m:r>
          <w:rPr>
            <w:rFonts w:ascii="Cambria Math" w:hAnsi="Cambria Math" w:cs="Times New Roman"/>
            <w:sz w:val="20"/>
            <w:szCs w:val="20"/>
          </w:rPr>
          <m:t>        </m:t>
        </m:r>
        <m:d>
          <m:dPr>
            <m:ctrlPr>
              <w:rPr>
                <w:rFonts w:ascii="Cambria Math" w:hAnsi="Cambria Math" w:cs="Times New Roman"/>
                <w:b/>
                <w:i/>
                <w:sz w:val="20"/>
                <w:szCs w:val="20"/>
              </w:rPr>
            </m:ctrlPr>
          </m:dPr>
          <m:e>
            <m:r>
              <m:rPr>
                <m:sty m:val="bi"/>
              </m:rPr>
              <w:rPr>
                <w:rFonts w:ascii="Cambria Math" w:hAnsi="Cambria Math" w:cs="Times New Roman"/>
                <w:sz w:val="20"/>
                <w:szCs w:val="20"/>
              </w:rPr>
              <m:t>1</m:t>
            </m:r>
          </m:e>
        </m:d>
      </m:oMath>
    </w:p>
    <w:p w:rsidR="0064644E" w:rsidRDefault="00581F53" w:rsidP="00BA38C8">
      <w:pPr>
        <w:spacing w:after="0" w:line="480" w:lineRule="auto"/>
        <w:rPr>
          <w:rFonts w:ascii="Times New Roman" w:hAnsi="Times New Roman" w:cs="Times New Roman"/>
          <w:sz w:val="24"/>
          <w:szCs w:val="24"/>
        </w:rPr>
      </w:pPr>
      <w:r w:rsidRPr="00AA5B86">
        <w:rPr>
          <w:rFonts w:ascii="Times New Roman" w:hAnsi="Times New Roman" w:cs="Times New Roman"/>
          <w:sz w:val="24"/>
          <w:szCs w:val="24"/>
        </w:rPr>
        <w:t xml:space="preserve">Given that Lending Club’s annualized interest rate did not reflect the nuances of the asset, an algorithm </w:t>
      </w:r>
      <w:r w:rsidR="00E83315">
        <w:rPr>
          <w:rFonts w:ascii="Times New Roman" w:hAnsi="Times New Roman" w:cs="Times New Roman"/>
          <w:sz w:val="24"/>
          <w:szCs w:val="24"/>
        </w:rPr>
        <w:t>is</w:t>
      </w:r>
      <w:r w:rsidRPr="00AA5B86">
        <w:rPr>
          <w:rFonts w:ascii="Times New Roman" w:hAnsi="Times New Roman" w:cs="Times New Roman"/>
          <w:sz w:val="24"/>
          <w:szCs w:val="24"/>
        </w:rPr>
        <w:t xml:space="preserve"> constructed</w:t>
      </w:r>
      <w:r>
        <w:rPr>
          <w:rFonts w:ascii="Times New Roman" w:hAnsi="Times New Roman" w:cs="Times New Roman"/>
          <w:sz w:val="24"/>
          <w:szCs w:val="24"/>
        </w:rPr>
        <w:t xml:space="preserve"> using total payments, term, and funded amount for the loan to derive an annualized interest rate.</w:t>
      </w:r>
      <w:r w:rsidR="00567186">
        <w:rPr>
          <w:rFonts w:ascii="Times New Roman" w:hAnsi="Times New Roman" w:cs="Times New Roman"/>
          <w:sz w:val="24"/>
          <w:szCs w:val="24"/>
        </w:rPr>
        <w:t xml:space="preserve"> Figure 1 demonstrates the code used for the algorithm</w:t>
      </w:r>
      <w:r w:rsidR="004F27C4">
        <w:rPr>
          <w:rFonts w:ascii="Times New Roman" w:hAnsi="Times New Roman" w:cs="Times New Roman"/>
          <w:sz w:val="24"/>
          <w:szCs w:val="24"/>
        </w:rPr>
        <w:t xml:space="preserve"> which used formula (1)</w:t>
      </w:r>
      <w:r w:rsidR="007142FE">
        <w:rPr>
          <w:rFonts w:ascii="Times New Roman" w:hAnsi="Times New Roman" w:cs="Times New Roman"/>
          <w:sz w:val="24"/>
          <w:szCs w:val="24"/>
        </w:rPr>
        <w:t xml:space="preserve"> (</w:t>
      </w:r>
      <w:proofErr w:type="spellStart"/>
      <w:r w:rsidR="007142FE">
        <w:rPr>
          <w:rFonts w:ascii="Times New Roman" w:hAnsi="Times New Roman" w:cs="Times New Roman"/>
          <w:sz w:val="24"/>
          <w:szCs w:val="24"/>
        </w:rPr>
        <w:t>Calcunation</w:t>
      </w:r>
      <w:proofErr w:type="spellEnd"/>
      <w:r w:rsidR="007142FE">
        <w:rPr>
          <w:rFonts w:ascii="Times New Roman" w:hAnsi="Times New Roman" w:cs="Times New Roman"/>
          <w:sz w:val="24"/>
          <w:szCs w:val="24"/>
        </w:rPr>
        <w:t xml:space="preserve"> 2016)</w:t>
      </w:r>
      <w:r w:rsidR="004F27C4">
        <w:rPr>
          <w:rFonts w:ascii="Times New Roman" w:hAnsi="Times New Roman" w:cs="Times New Roman"/>
          <w:sz w:val="24"/>
          <w:szCs w:val="24"/>
        </w:rPr>
        <w:t xml:space="preserve"> as the basis for its construction</w:t>
      </w:r>
      <w:r w:rsidR="00567186">
        <w:rPr>
          <w:rFonts w:ascii="Times New Roman" w:hAnsi="Times New Roman" w:cs="Times New Roman"/>
          <w:sz w:val="24"/>
          <w:szCs w:val="24"/>
        </w:rPr>
        <w:t>.</w:t>
      </w:r>
      <w:r w:rsidR="0064644E">
        <w:rPr>
          <w:rFonts w:ascii="Times New Roman" w:hAnsi="Times New Roman" w:cs="Times New Roman"/>
          <w:sz w:val="24"/>
          <w:szCs w:val="24"/>
        </w:rPr>
        <w:t xml:space="preserve"> Key components of the algorithm are that total payments of “0” are ignored, theoretical total payments are calculated </w:t>
      </w:r>
      <w:r w:rsidR="0064644E">
        <w:rPr>
          <w:rFonts w:ascii="Times New Roman" w:hAnsi="Times New Roman" w:cs="Times New Roman"/>
          <w:sz w:val="24"/>
          <w:szCs w:val="24"/>
        </w:rPr>
        <w:lastRenderedPageBreak/>
        <w:t>and checked to see whether they match the actual total payment within a degree of 10%, and computation begins with the actual interest rates and decrements by 0.1%.</w:t>
      </w:r>
    </w:p>
    <w:p w:rsidR="00BF0507" w:rsidRPr="00BF0507" w:rsidRDefault="00BF0507" w:rsidP="00BF0507">
      <w:pPr>
        <w:spacing w:after="0" w:line="480" w:lineRule="auto"/>
        <w:jc w:val="center"/>
        <w:rPr>
          <w:rFonts w:ascii="Times New Roman" w:hAnsi="Times New Roman" w:cs="Times New Roman"/>
          <w:i/>
          <w:sz w:val="24"/>
          <w:szCs w:val="24"/>
        </w:rPr>
      </w:pPr>
      <w:r w:rsidRPr="00BF0507">
        <w:rPr>
          <w:rFonts w:ascii="Times New Roman" w:hAnsi="Times New Roman" w:cs="Times New Roman"/>
          <w:i/>
          <w:sz w:val="24"/>
          <w:szCs w:val="24"/>
        </w:rPr>
        <w:t>Figure 1</w:t>
      </w:r>
      <w:r w:rsidR="00EC7B6C">
        <w:rPr>
          <w:rFonts w:ascii="Times New Roman" w:hAnsi="Times New Roman" w:cs="Times New Roman"/>
          <w:i/>
          <w:sz w:val="24"/>
          <w:szCs w:val="24"/>
        </w:rPr>
        <w:t>: Algorithm for Determining Actual Interest Rate</w:t>
      </w:r>
    </w:p>
    <w:p w:rsidR="00AA4B46" w:rsidRDefault="002A4B4E" w:rsidP="00AA4B46">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28381" cy="240425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4989" cy="2419749"/>
                    </a:xfrm>
                    <a:prstGeom prst="rect">
                      <a:avLst/>
                    </a:prstGeom>
                    <a:noFill/>
                    <a:ln>
                      <a:noFill/>
                    </a:ln>
                  </pic:spPr>
                </pic:pic>
              </a:graphicData>
            </a:graphic>
          </wp:inline>
        </w:drawing>
      </w:r>
    </w:p>
    <w:p w:rsidR="00357364" w:rsidRDefault="00BF0507" w:rsidP="002A4B4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data contains 21 loans with total payments of 0; these loans’ actual annualized interest rates are set to -250% from the lowest based off of the lowest computed interest rate of -213%. </w:t>
      </w:r>
      <w:r w:rsidR="00C00A55">
        <w:rPr>
          <w:rFonts w:ascii="Times New Roman" w:hAnsi="Times New Roman" w:cs="Times New Roman"/>
          <w:sz w:val="24"/>
          <w:szCs w:val="24"/>
        </w:rPr>
        <w:t xml:space="preserve">Table 3 provides a summary of the new actual interest rates computed through the algorithm. </w:t>
      </w:r>
    </w:p>
    <w:p w:rsidR="00357364" w:rsidRPr="00EC7B6C" w:rsidRDefault="00357364" w:rsidP="00357364">
      <w:pPr>
        <w:spacing w:after="0" w:line="480" w:lineRule="auto"/>
        <w:jc w:val="center"/>
        <w:rPr>
          <w:rFonts w:ascii="Times New Roman" w:hAnsi="Times New Roman" w:cs="Times New Roman"/>
          <w:i/>
          <w:sz w:val="24"/>
          <w:szCs w:val="24"/>
        </w:rPr>
      </w:pPr>
      <w:r w:rsidRPr="00EC7B6C">
        <w:rPr>
          <w:rFonts w:ascii="Times New Roman" w:hAnsi="Times New Roman" w:cs="Times New Roman"/>
          <w:i/>
          <w:sz w:val="24"/>
          <w:szCs w:val="24"/>
        </w:rPr>
        <w:t>Table 3</w:t>
      </w:r>
      <w:r w:rsidR="00EC7B6C">
        <w:rPr>
          <w:rFonts w:ascii="Times New Roman" w:hAnsi="Times New Roman" w:cs="Times New Roman"/>
          <w:i/>
          <w:sz w:val="24"/>
          <w:szCs w:val="24"/>
        </w:rPr>
        <w:t>: Actual Interest Rate Descriptive Statistics</w:t>
      </w:r>
    </w:p>
    <w:tbl>
      <w:tblPr>
        <w:tblW w:w="8240" w:type="dxa"/>
        <w:tblInd w:w="554" w:type="dxa"/>
        <w:tblLook w:val="04A0" w:firstRow="1" w:lastRow="0" w:firstColumn="1" w:lastColumn="0" w:noHBand="0" w:noVBand="1"/>
      </w:tblPr>
      <w:tblGrid>
        <w:gridCol w:w="959"/>
        <w:gridCol w:w="958"/>
        <w:gridCol w:w="1117"/>
        <w:gridCol w:w="959"/>
        <w:gridCol w:w="999"/>
        <w:gridCol w:w="1094"/>
        <w:gridCol w:w="1055"/>
        <w:gridCol w:w="1099"/>
      </w:tblGrid>
      <w:tr w:rsidR="00357364" w:rsidRPr="00357364" w:rsidTr="00357364">
        <w:trPr>
          <w:trHeight w:val="1160"/>
        </w:trPr>
        <w:tc>
          <w:tcPr>
            <w:tcW w:w="959"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Grade</w:t>
            </w:r>
          </w:p>
        </w:tc>
        <w:tc>
          <w:tcPr>
            <w:tcW w:w="958"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Min Actual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c>
          <w:tcPr>
            <w:tcW w:w="1117"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1st Quintile Actual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c>
          <w:tcPr>
            <w:tcW w:w="959"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Median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c>
          <w:tcPr>
            <w:tcW w:w="999"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3rd Quintile Actual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c>
          <w:tcPr>
            <w:tcW w:w="1094"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Max Actual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c>
          <w:tcPr>
            <w:tcW w:w="1055"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9C1627" w:rsidP="00357364">
            <w:pPr>
              <w:spacing w:after="0" w:line="240" w:lineRule="auto"/>
              <w:rPr>
                <w:rFonts w:ascii="Calibri" w:eastAsia="Times New Roman" w:hAnsi="Calibri" w:cs="Times New Roman"/>
                <w:b/>
                <w:bCs/>
                <w:color w:val="3F3F3F"/>
              </w:rPr>
            </w:pPr>
            <w:r>
              <w:rPr>
                <w:rFonts w:ascii="Calibri" w:eastAsia="Times New Roman" w:hAnsi="Calibri" w:cs="Times New Roman"/>
                <w:b/>
                <w:bCs/>
                <w:color w:val="3F3F3F"/>
              </w:rPr>
              <w:t xml:space="preserve">Expected </w:t>
            </w:r>
            <w:r w:rsidR="00357364" w:rsidRPr="00357364">
              <w:rPr>
                <w:rFonts w:ascii="Calibri" w:eastAsia="Times New Roman" w:hAnsi="Calibri" w:cs="Times New Roman"/>
                <w:b/>
                <w:bCs/>
                <w:color w:val="3F3F3F"/>
              </w:rPr>
              <w:t xml:space="preserve">Actual   </w:t>
            </w:r>
            <w:proofErr w:type="spellStart"/>
            <w:r w:rsidR="00357364" w:rsidRPr="00357364">
              <w:rPr>
                <w:rFonts w:ascii="Calibri" w:eastAsia="Times New Roman" w:hAnsi="Calibri" w:cs="Times New Roman"/>
                <w:b/>
                <w:bCs/>
                <w:color w:val="3F3F3F"/>
              </w:rPr>
              <w:t>Int</w:t>
            </w:r>
            <w:proofErr w:type="spellEnd"/>
            <w:r w:rsidR="00357364" w:rsidRPr="00357364">
              <w:rPr>
                <w:rFonts w:ascii="Calibri" w:eastAsia="Times New Roman" w:hAnsi="Calibri" w:cs="Times New Roman"/>
                <w:b/>
                <w:bCs/>
                <w:color w:val="3F3F3F"/>
              </w:rPr>
              <w:t xml:space="preserve"> Rate</w:t>
            </w:r>
          </w:p>
        </w:tc>
        <w:tc>
          <w:tcPr>
            <w:tcW w:w="1099" w:type="dxa"/>
            <w:tcBorders>
              <w:top w:val="single" w:sz="4" w:space="0" w:color="3F3F3F"/>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rPr>
                <w:rFonts w:ascii="Calibri" w:eastAsia="Times New Roman" w:hAnsi="Calibri" w:cs="Times New Roman"/>
                <w:b/>
                <w:bCs/>
                <w:color w:val="3F3F3F"/>
              </w:rPr>
            </w:pPr>
            <w:r w:rsidRPr="00357364">
              <w:rPr>
                <w:rFonts w:ascii="Calibri" w:eastAsia="Times New Roman" w:hAnsi="Calibri" w:cs="Times New Roman"/>
                <w:b/>
                <w:bCs/>
                <w:color w:val="3F3F3F"/>
              </w:rPr>
              <w:t xml:space="preserve">Standard Deviation Actual    </w:t>
            </w:r>
            <w:proofErr w:type="spellStart"/>
            <w:r w:rsidRPr="00357364">
              <w:rPr>
                <w:rFonts w:ascii="Calibri" w:eastAsia="Times New Roman" w:hAnsi="Calibri" w:cs="Times New Roman"/>
                <w:b/>
                <w:bCs/>
                <w:color w:val="3F3F3F"/>
              </w:rPr>
              <w:t>Int</w:t>
            </w:r>
            <w:proofErr w:type="spellEnd"/>
            <w:r w:rsidRPr="00357364">
              <w:rPr>
                <w:rFonts w:ascii="Calibri" w:eastAsia="Times New Roman" w:hAnsi="Calibri" w:cs="Times New Roman"/>
                <w:b/>
                <w:bCs/>
                <w:color w:val="3F3F3F"/>
              </w:rPr>
              <w:t xml:space="preserve"> Rate</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A</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-209.88</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6.54</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7.51</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7.9</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9.63</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4.61</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13.78332</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B</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-250</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10</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11.14</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12.12</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16.39</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6.175</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18.90166</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C</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-250</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12.355</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13.99</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15.31</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18.61</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6.207</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23.13609</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D</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-250</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12.69</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15</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17.77</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21.87</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6.603</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25.67282</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E</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-250</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11.35</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16.69</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19.03</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22.47</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6.771</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26.37926</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F</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-139.59</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8.21</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18.17</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19.04</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23.76</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6.631</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25.13945</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G</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-105.28</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4.44</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19.66</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20.9</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24.89</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24.89</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27.26007</w:t>
            </w:r>
          </w:p>
        </w:tc>
      </w:tr>
      <w:tr w:rsidR="00357364" w:rsidRPr="00357364" w:rsidTr="00357364">
        <w:trPr>
          <w:trHeight w:val="290"/>
        </w:trPr>
        <w:tc>
          <w:tcPr>
            <w:tcW w:w="959" w:type="dxa"/>
            <w:tcBorders>
              <w:top w:val="nil"/>
              <w:left w:val="single" w:sz="4" w:space="0" w:color="3F3F3F"/>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center"/>
              <w:rPr>
                <w:rFonts w:ascii="Calibri" w:eastAsia="Times New Roman" w:hAnsi="Calibri" w:cs="Times New Roman"/>
                <w:b/>
                <w:bCs/>
                <w:color w:val="3F3F3F"/>
              </w:rPr>
            </w:pPr>
            <w:r w:rsidRPr="00357364">
              <w:rPr>
                <w:rFonts w:ascii="Calibri" w:eastAsia="Times New Roman" w:hAnsi="Calibri" w:cs="Times New Roman"/>
                <w:b/>
                <w:bCs/>
                <w:color w:val="3F3F3F"/>
              </w:rPr>
              <w:t>Overall</w:t>
            </w:r>
          </w:p>
        </w:tc>
        <w:tc>
          <w:tcPr>
            <w:tcW w:w="958"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-250</w:t>
            </w:r>
          </w:p>
        </w:tc>
        <w:tc>
          <w:tcPr>
            <w:tcW w:w="1117"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7.51</w:t>
            </w:r>
          </w:p>
        </w:tc>
        <w:tc>
          <w:tcPr>
            <w:tcW w:w="95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10.78</w:t>
            </w:r>
          </w:p>
        </w:tc>
        <w:tc>
          <w:tcPr>
            <w:tcW w:w="9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13.71</w:t>
            </w:r>
          </w:p>
        </w:tc>
        <w:tc>
          <w:tcPr>
            <w:tcW w:w="1094"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24.89</w:t>
            </w:r>
          </w:p>
        </w:tc>
        <w:tc>
          <w:tcPr>
            <w:tcW w:w="1055"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5.824</w:t>
            </w:r>
          </w:p>
        </w:tc>
        <w:tc>
          <w:tcPr>
            <w:tcW w:w="1099" w:type="dxa"/>
            <w:tcBorders>
              <w:top w:val="nil"/>
              <w:left w:val="nil"/>
              <w:bottom w:val="single" w:sz="4" w:space="0" w:color="3F3F3F"/>
              <w:right w:val="single" w:sz="4" w:space="0" w:color="3F3F3F"/>
            </w:tcBorders>
            <w:shd w:val="clear" w:color="000000" w:fill="F2F2F2"/>
            <w:vAlign w:val="bottom"/>
            <w:hideMark/>
          </w:tcPr>
          <w:p w:rsidR="00357364" w:rsidRPr="00357364" w:rsidRDefault="00357364" w:rsidP="00357364">
            <w:pPr>
              <w:spacing w:after="0" w:line="240" w:lineRule="auto"/>
              <w:jc w:val="right"/>
              <w:rPr>
                <w:rFonts w:ascii="Calibri" w:eastAsia="Times New Roman" w:hAnsi="Calibri" w:cs="Times New Roman"/>
                <w:b/>
                <w:bCs/>
                <w:color w:val="3F3F3F"/>
              </w:rPr>
            </w:pPr>
            <w:r w:rsidRPr="00357364">
              <w:rPr>
                <w:rFonts w:ascii="Calibri" w:eastAsia="Times New Roman" w:hAnsi="Calibri" w:cs="Times New Roman"/>
                <w:b/>
                <w:bCs/>
                <w:color w:val="3F3F3F"/>
              </w:rPr>
              <w:t>19.96158</w:t>
            </w:r>
          </w:p>
        </w:tc>
      </w:tr>
    </w:tbl>
    <w:p w:rsidR="00357364" w:rsidRDefault="00357364" w:rsidP="00357364">
      <w:pPr>
        <w:spacing w:after="0" w:line="480" w:lineRule="auto"/>
        <w:jc w:val="center"/>
        <w:rPr>
          <w:rFonts w:ascii="Times New Roman" w:hAnsi="Times New Roman" w:cs="Times New Roman"/>
          <w:sz w:val="24"/>
          <w:szCs w:val="24"/>
        </w:rPr>
      </w:pPr>
    </w:p>
    <w:p w:rsidR="00464955" w:rsidRDefault="008F79B5" w:rsidP="0046495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Other data used for analysis include time series </w:t>
      </w:r>
      <w:r w:rsidR="001C75FD">
        <w:rPr>
          <w:rFonts w:ascii="Times New Roman" w:hAnsi="Times New Roman" w:cs="Times New Roman"/>
          <w:sz w:val="24"/>
          <w:szCs w:val="24"/>
        </w:rPr>
        <w:t xml:space="preserve">of yearly averages </w:t>
      </w:r>
      <w:r>
        <w:rPr>
          <w:rFonts w:ascii="Times New Roman" w:hAnsi="Times New Roman" w:cs="Times New Roman"/>
          <w:sz w:val="24"/>
          <w:szCs w:val="24"/>
        </w:rPr>
        <w:t xml:space="preserve">for the US Consumer Price Index, US 3-Month Treasury Bill, and S&amp;P 500 from 2007-2015 that can be found from </w:t>
      </w:r>
      <w:r>
        <w:rPr>
          <w:rFonts w:ascii="Times New Roman" w:hAnsi="Times New Roman" w:cs="Times New Roman"/>
          <w:sz w:val="24"/>
          <w:szCs w:val="24"/>
        </w:rPr>
        <w:lastRenderedPageBreak/>
        <w:t>the FRED</w:t>
      </w:r>
      <w:r w:rsidR="002269D9">
        <w:rPr>
          <w:rFonts w:ascii="Times New Roman" w:hAnsi="Times New Roman" w:cs="Times New Roman"/>
          <w:sz w:val="24"/>
          <w:szCs w:val="24"/>
        </w:rPr>
        <w:t xml:space="preserve">. </w:t>
      </w:r>
      <w:r>
        <w:rPr>
          <w:rFonts w:ascii="Times New Roman" w:hAnsi="Times New Roman" w:cs="Times New Roman"/>
          <w:sz w:val="24"/>
          <w:szCs w:val="24"/>
        </w:rPr>
        <w:t xml:space="preserve"> The CPI data </w:t>
      </w:r>
      <w:r w:rsidR="002269D9">
        <w:rPr>
          <w:rFonts w:ascii="Times New Roman" w:hAnsi="Times New Roman" w:cs="Times New Roman"/>
          <w:sz w:val="24"/>
          <w:szCs w:val="24"/>
        </w:rPr>
        <w:t>computes</w:t>
      </w:r>
      <w:r>
        <w:rPr>
          <w:rFonts w:ascii="Times New Roman" w:hAnsi="Times New Roman" w:cs="Times New Roman"/>
          <w:sz w:val="24"/>
          <w:szCs w:val="24"/>
        </w:rPr>
        <w:t xml:space="preserve"> US inflation rates during the time period </w:t>
      </w:r>
      <w:r w:rsidR="002269D9">
        <w:rPr>
          <w:rFonts w:ascii="Times New Roman" w:hAnsi="Times New Roman" w:cs="Times New Roman"/>
          <w:sz w:val="24"/>
          <w:szCs w:val="24"/>
        </w:rPr>
        <w:t xml:space="preserve">of </w:t>
      </w:r>
      <w:r>
        <w:rPr>
          <w:rFonts w:ascii="Times New Roman" w:hAnsi="Times New Roman" w:cs="Times New Roman"/>
          <w:sz w:val="24"/>
          <w:szCs w:val="24"/>
        </w:rPr>
        <w:t>Lending Club using formula (2)</w:t>
      </w:r>
      <w:r w:rsidR="007142FE">
        <w:rPr>
          <w:rFonts w:ascii="Times New Roman" w:hAnsi="Times New Roman" w:cs="Times New Roman"/>
          <w:sz w:val="24"/>
          <w:szCs w:val="24"/>
        </w:rPr>
        <w:t xml:space="preserve"> </w:t>
      </w:r>
      <w:r w:rsidR="007142FE" w:rsidRPr="007142FE">
        <w:rPr>
          <w:rFonts w:ascii="Times New Roman" w:hAnsi="Times New Roman" w:cs="Times New Roman"/>
          <w:sz w:val="24"/>
          <w:szCs w:val="24"/>
        </w:rPr>
        <w:t>(Mankiw 2009)</w:t>
      </w:r>
      <w:r>
        <w:rPr>
          <w:rFonts w:ascii="Times New Roman" w:hAnsi="Times New Roman" w:cs="Times New Roman"/>
          <w:sz w:val="24"/>
          <w:szCs w:val="24"/>
        </w:rPr>
        <w:t xml:space="preserve"> to provide a baseline of real returns instead nominal returns. </w:t>
      </w:r>
      <w:r w:rsidR="002269D9">
        <w:rPr>
          <w:rFonts w:ascii="Times New Roman" w:hAnsi="Times New Roman" w:cs="Times New Roman"/>
          <w:sz w:val="24"/>
          <w:szCs w:val="24"/>
        </w:rPr>
        <w:t>CPI data is incomplete for 2016, so averages from Jan. to March were used as an approximation for 2016.</w:t>
      </w:r>
      <w:r w:rsidR="0042194A">
        <w:rPr>
          <w:rFonts w:ascii="Times New Roman" w:hAnsi="Times New Roman" w:cs="Times New Roman"/>
          <w:sz w:val="24"/>
          <w:szCs w:val="24"/>
        </w:rPr>
        <w:t xml:space="preserve"> S&amp;P 500 lagged values are found using the </w:t>
      </w:r>
      <w:r w:rsidR="009C6768">
        <w:rPr>
          <w:rFonts w:ascii="Times New Roman" w:hAnsi="Times New Roman" w:cs="Times New Roman"/>
          <w:sz w:val="24"/>
          <w:szCs w:val="24"/>
        </w:rPr>
        <w:t xml:space="preserve">following </w:t>
      </w:r>
      <w:r w:rsidR="0042194A">
        <w:rPr>
          <w:rFonts w:ascii="Times New Roman" w:hAnsi="Times New Roman" w:cs="Times New Roman"/>
          <w:sz w:val="24"/>
          <w:szCs w:val="24"/>
        </w:rPr>
        <w:t xml:space="preserve">year, </w:t>
      </w:r>
      <w:r w:rsidR="009C6768">
        <w:rPr>
          <w:rFonts w:ascii="Times New Roman" w:hAnsi="Times New Roman" w:cs="Times New Roman"/>
          <w:sz w:val="24"/>
          <w:szCs w:val="24"/>
        </w:rPr>
        <w:t xml:space="preserve">and </w:t>
      </w:r>
      <w:r w:rsidR="0042194A">
        <w:rPr>
          <w:rFonts w:ascii="Times New Roman" w:hAnsi="Times New Roman" w:cs="Times New Roman"/>
          <w:sz w:val="24"/>
          <w:szCs w:val="24"/>
        </w:rPr>
        <w:t>similar</w:t>
      </w:r>
      <w:r w:rsidR="009C6768">
        <w:rPr>
          <w:rFonts w:ascii="Times New Roman" w:hAnsi="Times New Roman" w:cs="Times New Roman"/>
          <w:sz w:val="24"/>
          <w:szCs w:val="24"/>
        </w:rPr>
        <w:t>ly</w:t>
      </w:r>
      <w:r w:rsidR="0042194A">
        <w:rPr>
          <w:rFonts w:ascii="Times New Roman" w:hAnsi="Times New Roman" w:cs="Times New Roman"/>
          <w:sz w:val="24"/>
          <w:szCs w:val="24"/>
        </w:rPr>
        <w:t xml:space="preserve"> to CPI</w:t>
      </w:r>
      <w:r w:rsidR="009C6768">
        <w:rPr>
          <w:rFonts w:ascii="Times New Roman" w:hAnsi="Times New Roman" w:cs="Times New Roman"/>
          <w:sz w:val="24"/>
          <w:szCs w:val="24"/>
        </w:rPr>
        <w:t xml:space="preserve">, S&amp;P 500 data is incomplete for 2016, so averages from Jan. to March were used as an approximation for </w:t>
      </w:r>
      <w:proofErr w:type="gramStart"/>
      <w:r w:rsidR="009C6768">
        <w:rPr>
          <w:rFonts w:ascii="Times New Roman" w:hAnsi="Times New Roman" w:cs="Times New Roman"/>
          <w:sz w:val="24"/>
          <w:szCs w:val="24"/>
        </w:rPr>
        <w:t xml:space="preserve">2016 </w:t>
      </w:r>
      <w:r w:rsidR="0042194A">
        <w:rPr>
          <w:rFonts w:ascii="Times New Roman" w:hAnsi="Times New Roman" w:cs="Times New Roman"/>
          <w:sz w:val="24"/>
          <w:szCs w:val="24"/>
        </w:rPr>
        <w:t>.</w:t>
      </w:r>
      <w:proofErr w:type="gramEnd"/>
      <w:r w:rsidR="0042194A">
        <w:rPr>
          <w:rFonts w:ascii="Times New Roman" w:hAnsi="Times New Roman" w:cs="Times New Roman"/>
          <w:sz w:val="24"/>
          <w:szCs w:val="24"/>
        </w:rPr>
        <w:t xml:space="preserve"> </w:t>
      </w:r>
      <w:r w:rsidR="002269D9">
        <w:rPr>
          <w:rFonts w:ascii="Times New Roman" w:hAnsi="Times New Roman" w:cs="Times New Roman"/>
          <w:sz w:val="24"/>
          <w:szCs w:val="24"/>
        </w:rPr>
        <w:t xml:space="preserve"> A summary of data for CPI, 3-Month Treasury Bills, and S&amp;P 500 can be found in Table 4.</w:t>
      </w:r>
    </w:p>
    <w:p w:rsidR="008F79B5" w:rsidRDefault="008F79B5" w:rsidP="008F79B5">
      <w:pPr>
        <w:pStyle w:val="NormalWeb"/>
        <w:spacing w:before="0" w:beforeAutospacing="0" w:after="0" w:afterAutospacing="0" w:line="480" w:lineRule="auto"/>
        <w:jc w:val="center"/>
        <w:rPr>
          <w:rFonts w:ascii="Cambria Math" w:hAnsi="Cambria Math" w:cs="Cambria Math"/>
          <w:i/>
          <w:sz w:val="20"/>
          <w:szCs w:val="20"/>
        </w:rPr>
      </w:pPr>
      <w:r w:rsidRPr="00AA5B86">
        <w:rPr>
          <w:i/>
          <w:sz w:val="20"/>
          <w:szCs w:val="20"/>
        </w:rPr>
        <w:t>Rate of Inflation = (</w:t>
      </w:r>
      <w:r w:rsidRPr="00AA5B86">
        <w:rPr>
          <w:rFonts w:ascii="Cambria Math" w:hAnsi="Cambria Math" w:cs="Cambria Math"/>
          <w:i/>
          <w:sz w:val="20"/>
          <w:szCs w:val="20"/>
          <w:lang w:val=""/>
        </w:rPr>
        <w:t>𝐶𝑃</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r>
          <w:rPr>
            <w:rFonts w:ascii="Cambria Math" w:hAnsi="Cambria Math"/>
            <w:sz w:val="20"/>
            <w:szCs w:val="20"/>
          </w:rPr>
          <m:t> -CP</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 (CP</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        </m:t>
        </m:r>
        <m:r>
          <m:rPr>
            <m:sty m:val="bi"/>
          </m:rPr>
          <w:rPr>
            <w:rFonts w:ascii="Cambria Math" w:hAnsi="Cambria Math"/>
            <w:sz w:val="20"/>
            <w:szCs w:val="20"/>
          </w:rPr>
          <m:t>(2)</m:t>
        </m:r>
      </m:oMath>
    </w:p>
    <w:p w:rsidR="00EC7B6C" w:rsidRPr="00AA5B86" w:rsidRDefault="00EC7B6C" w:rsidP="008F79B5">
      <w:pPr>
        <w:pStyle w:val="NormalWeb"/>
        <w:spacing w:before="0" w:beforeAutospacing="0" w:after="0" w:afterAutospacing="0" w:line="480" w:lineRule="auto"/>
        <w:jc w:val="center"/>
        <w:rPr>
          <w:i/>
          <w:sz w:val="20"/>
          <w:szCs w:val="20"/>
        </w:rPr>
      </w:pPr>
    </w:p>
    <w:p w:rsidR="002269D9" w:rsidRPr="00EC7B6C" w:rsidRDefault="002269D9" w:rsidP="002269D9">
      <w:pPr>
        <w:spacing w:after="0" w:line="480" w:lineRule="auto"/>
        <w:jc w:val="center"/>
        <w:rPr>
          <w:rFonts w:ascii="Times New Roman" w:hAnsi="Times New Roman" w:cs="Times New Roman"/>
          <w:i/>
          <w:sz w:val="24"/>
          <w:szCs w:val="24"/>
        </w:rPr>
      </w:pPr>
      <w:r w:rsidRPr="00EC7B6C">
        <w:rPr>
          <w:rFonts w:ascii="Times New Roman" w:hAnsi="Times New Roman" w:cs="Times New Roman"/>
          <w:i/>
          <w:sz w:val="24"/>
          <w:szCs w:val="24"/>
        </w:rPr>
        <w:t>Table 4</w:t>
      </w:r>
      <w:r w:rsidR="00EC7B6C">
        <w:rPr>
          <w:rFonts w:ascii="Times New Roman" w:hAnsi="Times New Roman" w:cs="Times New Roman"/>
          <w:i/>
          <w:sz w:val="24"/>
          <w:szCs w:val="24"/>
        </w:rPr>
        <w:t>: Values for CPI, 3 Month T-Bill, and S&amp;P 500</w:t>
      </w:r>
    </w:p>
    <w:tbl>
      <w:tblPr>
        <w:tblW w:w="8380" w:type="dxa"/>
        <w:tblInd w:w="485" w:type="dxa"/>
        <w:tblLook w:val="04A0" w:firstRow="1" w:lastRow="0" w:firstColumn="1" w:lastColumn="0" w:noHBand="0" w:noVBand="1"/>
      </w:tblPr>
      <w:tblGrid>
        <w:gridCol w:w="910"/>
        <w:gridCol w:w="957"/>
        <w:gridCol w:w="1091"/>
        <w:gridCol w:w="1167"/>
        <w:gridCol w:w="973"/>
        <w:gridCol w:w="1074"/>
        <w:gridCol w:w="1041"/>
        <w:gridCol w:w="1167"/>
      </w:tblGrid>
      <w:tr w:rsidR="002269D9" w:rsidRPr="002269D9" w:rsidTr="002269D9">
        <w:trPr>
          <w:trHeight w:val="870"/>
        </w:trPr>
        <w:tc>
          <w:tcPr>
            <w:tcW w:w="910"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Year</w:t>
            </w:r>
          </w:p>
        </w:tc>
        <w:tc>
          <w:tcPr>
            <w:tcW w:w="957"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CPI1</w:t>
            </w:r>
          </w:p>
        </w:tc>
        <w:tc>
          <w:tcPr>
            <w:tcW w:w="1091"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CPI2</w:t>
            </w:r>
          </w:p>
        </w:tc>
        <w:tc>
          <w:tcPr>
            <w:tcW w:w="1167"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Inflation</w:t>
            </w:r>
          </w:p>
        </w:tc>
        <w:tc>
          <w:tcPr>
            <w:tcW w:w="973"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3 Month T-Bill</w:t>
            </w:r>
          </w:p>
        </w:tc>
        <w:tc>
          <w:tcPr>
            <w:tcW w:w="1074"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S&amp;P 500 Value</w:t>
            </w:r>
          </w:p>
        </w:tc>
        <w:tc>
          <w:tcPr>
            <w:tcW w:w="1041"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S&amp;P 500 Lagged Value</w:t>
            </w:r>
          </w:p>
        </w:tc>
        <w:tc>
          <w:tcPr>
            <w:tcW w:w="1167" w:type="dxa"/>
            <w:tcBorders>
              <w:top w:val="single" w:sz="4" w:space="0" w:color="3F3F3F"/>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rPr>
                <w:rFonts w:ascii="Calibri" w:eastAsia="Times New Roman" w:hAnsi="Calibri" w:cs="Times New Roman"/>
                <w:b/>
                <w:bCs/>
                <w:color w:val="3F3F3F"/>
              </w:rPr>
            </w:pPr>
            <w:r w:rsidRPr="002269D9">
              <w:rPr>
                <w:rFonts w:ascii="Calibri" w:eastAsia="Times New Roman" w:hAnsi="Calibri" w:cs="Times New Roman"/>
                <w:b/>
                <w:bCs/>
                <w:color w:val="3F3F3F"/>
              </w:rPr>
              <w:t xml:space="preserve"> S&amp;P 500 Returns</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2007</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207.344</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215.254</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3.8149163</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4.36</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1477.19</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1220.04</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-17.40805</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2008</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215.254</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214.565</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-0.320009</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1.37</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1220.04</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948.05</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-22.29353</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2009</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214.565</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218.076</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1.636334</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0.15</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948.05</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1139.97</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20.243658</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2010</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218.076</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224.923</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3.1397311</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0.14</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1139.97</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1267.64</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11.199418</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2011</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224.923</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229.596</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2.0775999</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0.05</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1267.64</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1379.35</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8.8812439</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2012</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229.596</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232.964</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1.4669245</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0.09</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1379.35</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1643.8</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19.172074</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2013</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232.964</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236.715</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1.61012</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0.06</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1643.8</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1931.38</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17.494829</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2014</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236.715</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236.995</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0.1182857</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0.03</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1931.38</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2061.07</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6.714888</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2015</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236.995</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237.911</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0.386506</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0.05</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2061.07</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1948.32</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5.47046</w:t>
            </w:r>
          </w:p>
        </w:tc>
      </w:tr>
      <w:tr w:rsidR="002269D9" w:rsidRPr="002269D9" w:rsidTr="002269D9">
        <w:trPr>
          <w:trHeight w:val="290"/>
        </w:trPr>
        <w:tc>
          <w:tcPr>
            <w:tcW w:w="910" w:type="dxa"/>
            <w:tcBorders>
              <w:top w:val="nil"/>
              <w:left w:val="single" w:sz="4" w:space="0" w:color="3F3F3F"/>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2016</w:t>
            </w:r>
          </w:p>
        </w:tc>
        <w:tc>
          <w:tcPr>
            <w:tcW w:w="95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237.911</w:t>
            </w:r>
          </w:p>
        </w:tc>
        <w:tc>
          <w:tcPr>
            <w:tcW w:w="109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w:t>
            </w:r>
          </w:p>
        </w:tc>
        <w:tc>
          <w:tcPr>
            <w:tcW w:w="973"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w:t>
            </w:r>
          </w:p>
        </w:tc>
        <w:tc>
          <w:tcPr>
            <w:tcW w:w="1074"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1948.32</w:t>
            </w:r>
          </w:p>
        </w:tc>
        <w:tc>
          <w:tcPr>
            <w:tcW w:w="1041"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w:t>
            </w:r>
          </w:p>
        </w:tc>
        <w:tc>
          <w:tcPr>
            <w:tcW w:w="1167" w:type="dxa"/>
            <w:tcBorders>
              <w:top w:val="nil"/>
              <w:left w:val="nil"/>
              <w:bottom w:val="single" w:sz="4" w:space="0" w:color="3F3F3F"/>
              <w:right w:val="single" w:sz="4" w:space="0" w:color="3F3F3F"/>
            </w:tcBorders>
            <w:shd w:val="clear" w:color="000000" w:fill="F2F2F2"/>
            <w:vAlign w:val="bottom"/>
            <w:hideMark/>
          </w:tcPr>
          <w:p w:rsidR="002269D9" w:rsidRPr="002269D9" w:rsidRDefault="002269D9" w:rsidP="002269D9">
            <w:pPr>
              <w:spacing w:after="0" w:line="240" w:lineRule="auto"/>
              <w:jc w:val="right"/>
              <w:rPr>
                <w:rFonts w:ascii="Calibri" w:eastAsia="Times New Roman" w:hAnsi="Calibri" w:cs="Times New Roman"/>
                <w:b/>
                <w:bCs/>
                <w:color w:val="3F3F3F"/>
              </w:rPr>
            </w:pPr>
            <w:r w:rsidRPr="002269D9">
              <w:rPr>
                <w:rFonts w:ascii="Calibri" w:eastAsia="Times New Roman" w:hAnsi="Calibri" w:cs="Times New Roman"/>
                <w:b/>
                <w:bCs/>
                <w:color w:val="3F3F3F"/>
              </w:rPr>
              <w:t>-</w:t>
            </w:r>
          </w:p>
        </w:tc>
      </w:tr>
    </w:tbl>
    <w:p w:rsidR="002269D9" w:rsidRDefault="002269D9" w:rsidP="002269D9">
      <w:pPr>
        <w:spacing w:after="0" w:line="480" w:lineRule="auto"/>
        <w:jc w:val="center"/>
        <w:rPr>
          <w:rFonts w:ascii="Times New Roman" w:hAnsi="Times New Roman" w:cs="Times New Roman"/>
          <w:sz w:val="24"/>
          <w:szCs w:val="24"/>
        </w:rPr>
      </w:pPr>
    </w:p>
    <w:p w:rsidR="008F79B5" w:rsidRDefault="001C75FD" w:rsidP="00464955">
      <w:pPr>
        <w:spacing w:after="0" w:line="480" w:lineRule="auto"/>
        <w:rPr>
          <w:rFonts w:ascii="Times New Roman" w:hAnsi="Times New Roman" w:cs="Times New Roman"/>
          <w:sz w:val="24"/>
          <w:szCs w:val="24"/>
        </w:rPr>
      </w:pPr>
      <w:r>
        <w:rPr>
          <w:rFonts w:ascii="Times New Roman" w:hAnsi="Times New Roman" w:cs="Times New Roman"/>
          <w:sz w:val="24"/>
          <w:szCs w:val="24"/>
        </w:rPr>
        <w:t>Furthermore, inflation varies for Lending Club loans because of different issued dates, so inflation is averaged for the term of the loan</w:t>
      </w:r>
      <w:r w:rsidR="00EC7B6C">
        <w:rPr>
          <w:rFonts w:ascii="Times New Roman" w:hAnsi="Times New Roman" w:cs="Times New Roman"/>
          <w:sz w:val="24"/>
          <w:szCs w:val="24"/>
        </w:rPr>
        <w:t xml:space="preserve"> as a way to accommodate the unique components of </w:t>
      </w:r>
      <w:proofErr w:type="gramStart"/>
      <w:r w:rsidR="00EC7B6C">
        <w:rPr>
          <w:rFonts w:ascii="Times New Roman" w:hAnsi="Times New Roman" w:cs="Times New Roman"/>
          <w:sz w:val="24"/>
          <w:szCs w:val="24"/>
        </w:rPr>
        <w:t>the each</w:t>
      </w:r>
      <w:proofErr w:type="gramEnd"/>
      <w:r w:rsidR="00EC7B6C">
        <w:rPr>
          <w:rFonts w:ascii="Times New Roman" w:hAnsi="Times New Roman" w:cs="Times New Roman"/>
          <w:sz w:val="24"/>
          <w:szCs w:val="24"/>
        </w:rPr>
        <w:t xml:space="preserve"> individual loan</w:t>
      </w:r>
      <w:r>
        <w:rPr>
          <w:rFonts w:ascii="Times New Roman" w:hAnsi="Times New Roman" w:cs="Times New Roman"/>
          <w:sz w:val="24"/>
          <w:szCs w:val="24"/>
        </w:rPr>
        <w:t xml:space="preserve">. </w:t>
      </w:r>
      <w:r w:rsidR="0001065B">
        <w:rPr>
          <w:rFonts w:ascii="Times New Roman" w:hAnsi="Times New Roman" w:cs="Times New Roman"/>
          <w:sz w:val="24"/>
          <w:szCs w:val="24"/>
        </w:rPr>
        <w:t>A</w:t>
      </w:r>
      <w:r w:rsidR="00EC7B6C">
        <w:rPr>
          <w:rFonts w:ascii="Times New Roman" w:hAnsi="Times New Roman" w:cs="Times New Roman"/>
          <w:sz w:val="24"/>
          <w:szCs w:val="24"/>
        </w:rPr>
        <w:t>ll portfolios</w:t>
      </w:r>
      <w:r w:rsidR="00BF415A">
        <w:rPr>
          <w:rFonts w:ascii="Times New Roman" w:hAnsi="Times New Roman" w:cs="Times New Roman"/>
          <w:sz w:val="24"/>
          <w:szCs w:val="24"/>
        </w:rPr>
        <w:t xml:space="preserve"> assets’ real returns are computed using formula (3)</w:t>
      </w:r>
      <w:r w:rsidR="00C912A0">
        <w:rPr>
          <w:rFonts w:ascii="Times New Roman" w:hAnsi="Times New Roman" w:cs="Times New Roman"/>
          <w:sz w:val="24"/>
          <w:szCs w:val="24"/>
        </w:rPr>
        <w:t xml:space="preserve"> (Mankiw 2009)</w:t>
      </w:r>
      <w:r w:rsidR="00EC7B6C">
        <w:rPr>
          <w:rFonts w:ascii="Times New Roman" w:hAnsi="Times New Roman" w:cs="Times New Roman"/>
          <w:sz w:val="24"/>
          <w:szCs w:val="24"/>
        </w:rPr>
        <w:t xml:space="preserve">. </w:t>
      </w:r>
      <w:r w:rsidR="005D1148">
        <w:rPr>
          <w:rFonts w:ascii="Times New Roman" w:hAnsi="Times New Roman" w:cs="Times New Roman"/>
          <w:sz w:val="24"/>
          <w:szCs w:val="24"/>
        </w:rPr>
        <w:t xml:space="preserve"> </w:t>
      </w:r>
    </w:p>
    <w:p w:rsidR="00DE42A4" w:rsidRPr="00DE42A4" w:rsidRDefault="00BF415A" w:rsidP="00DE42A4">
      <w:pPr>
        <w:pStyle w:val="NormalWeb"/>
        <w:spacing w:before="0" w:beforeAutospacing="0" w:after="0" w:afterAutospacing="0" w:line="480" w:lineRule="auto"/>
        <w:jc w:val="center"/>
        <w:rPr>
          <w:i/>
          <w:sz w:val="20"/>
          <w:szCs w:val="20"/>
        </w:rPr>
      </w:pPr>
      <w:r w:rsidRPr="00AA5B86">
        <w:rPr>
          <w:i/>
          <w:sz w:val="20"/>
          <w:szCs w:val="20"/>
        </w:rPr>
        <w:t xml:space="preserve">Real Return = (Nominal Return – </w:t>
      </w:r>
      <w:proofErr w:type="gramStart"/>
      <w:r w:rsidRPr="00AA5B86">
        <w:rPr>
          <w:i/>
          <w:sz w:val="20"/>
          <w:szCs w:val="20"/>
        </w:rPr>
        <w:t xml:space="preserve">Inflation)   </w:t>
      </w:r>
      <w:proofErr w:type="gramEnd"/>
      <w:r w:rsidRPr="00AA5B86">
        <w:rPr>
          <w:i/>
          <w:sz w:val="20"/>
          <w:szCs w:val="20"/>
        </w:rPr>
        <w:t xml:space="preserve">     </w:t>
      </w:r>
      <w:r w:rsidRPr="007142FE">
        <w:rPr>
          <w:b/>
          <w:i/>
          <w:sz w:val="20"/>
          <w:szCs w:val="20"/>
        </w:rPr>
        <w:t>(3)</w:t>
      </w:r>
    </w:p>
    <w:p w:rsidR="009C6768" w:rsidRDefault="009C6768" w:rsidP="00C912A0">
      <w:pPr>
        <w:spacing w:after="0" w:line="480" w:lineRule="auto"/>
        <w:rPr>
          <w:rFonts w:ascii="Times New Roman" w:hAnsi="Times New Roman" w:cs="Times New Roman"/>
          <w:b/>
          <w:sz w:val="24"/>
          <w:szCs w:val="24"/>
        </w:rPr>
      </w:pPr>
    </w:p>
    <w:p w:rsidR="0042194A" w:rsidRPr="0001065B" w:rsidRDefault="0001065B" w:rsidP="002B4ED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Results</w:t>
      </w:r>
    </w:p>
    <w:p w:rsidR="0083075E" w:rsidRPr="00BB7AE9" w:rsidRDefault="0083075E" w:rsidP="0083075E">
      <w:pPr>
        <w:spacing w:after="0" w:line="480" w:lineRule="auto"/>
        <w:jc w:val="center"/>
        <w:rPr>
          <w:rFonts w:ascii="Times New Roman" w:hAnsi="Times New Roman" w:cs="Times New Roman"/>
          <w:i/>
          <w:sz w:val="24"/>
          <w:szCs w:val="24"/>
        </w:rPr>
      </w:pPr>
      <w:r w:rsidRPr="00BB7AE9">
        <w:rPr>
          <w:rFonts w:ascii="Times New Roman" w:hAnsi="Times New Roman" w:cs="Times New Roman"/>
          <w:i/>
          <w:sz w:val="24"/>
          <w:szCs w:val="24"/>
        </w:rPr>
        <w:t xml:space="preserve">Table </w:t>
      </w:r>
      <w:r w:rsidR="0042194A" w:rsidRPr="00BB7AE9">
        <w:rPr>
          <w:rFonts w:ascii="Times New Roman" w:hAnsi="Times New Roman" w:cs="Times New Roman"/>
          <w:i/>
          <w:sz w:val="24"/>
          <w:szCs w:val="24"/>
        </w:rPr>
        <w:t>5</w:t>
      </w:r>
      <w:r w:rsidR="00BB7AE9">
        <w:rPr>
          <w:rFonts w:ascii="Times New Roman" w:hAnsi="Times New Roman" w:cs="Times New Roman"/>
          <w:i/>
          <w:sz w:val="24"/>
          <w:szCs w:val="24"/>
        </w:rPr>
        <w:t xml:space="preserve">: Portfolio Assets Expected </w:t>
      </w:r>
    </w:p>
    <w:tbl>
      <w:tblPr>
        <w:tblW w:w="6413" w:type="dxa"/>
        <w:tblInd w:w="1345" w:type="dxa"/>
        <w:tblLook w:val="04A0" w:firstRow="1" w:lastRow="0" w:firstColumn="1" w:lastColumn="0" w:noHBand="0" w:noVBand="1"/>
      </w:tblPr>
      <w:tblGrid>
        <w:gridCol w:w="1022"/>
        <w:gridCol w:w="1056"/>
        <w:gridCol w:w="1056"/>
        <w:gridCol w:w="1056"/>
        <w:gridCol w:w="1056"/>
        <w:gridCol w:w="1167"/>
      </w:tblGrid>
      <w:tr w:rsidR="0083075E" w:rsidRPr="0083075E" w:rsidTr="00AA6B75">
        <w:trPr>
          <w:trHeight w:val="870"/>
        </w:trPr>
        <w:tc>
          <w:tcPr>
            <w:tcW w:w="1022" w:type="dxa"/>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Asset</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 xml:space="preserve">Average Stated   </w:t>
            </w:r>
            <w:proofErr w:type="spellStart"/>
            <w:r w:rsidRPr="0083075E">
              <w:rPr>
                <w:rFonts w:ascii="Calibri" w:eastAsia="Times New Roman" w:hAnsi="Calibri" w:cs="Times New Roman"/>
                <w:b/>
                <w:bCs/>
                <w:color w:val="3F3F3F"/>
              </w:rPr>
              <w:t>Int</w:t>
            </w:r>
            <w:proofErr w:type="spellEnd"/>
            <w:r w:rsidRPr="0083075E">
              <w:rPr>
                <w:rFonts w:ascii="Calibri" w:eastAsia="Times New Roman" w:hAnsi="Calibri" w:cs="Times New Roman"/>
                <w:b/>
                <w:bCs/>
                <w:color w:val="3F3F3F"/>
              </w:rPr>
              <w:t xml:space="preserve"> Rate </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 xml:space="preserve">Nominal Expected </w:t>
            </w:r>
            <w:r w:rsidR="009C1627">
              <w:rPr>
                <w:rFonts w:ascii="Calibri" w:eastAsia="Times New Roman" w:hAnsi="Calibri" w:cs="Times New Roman"/>
                <w:b/>
                <w:bCs/>
                <w:color w:val="3F3F3F"/>
              </w:rPr>
              <w:t xml:space="preserve">Actual </w:t>
            </w:r>
            <w:proofErr w:type="spellStart"/>
            <w:r w:rsidRPr="0083075E">
              <w:rPr>
                <w:rFonts w:ascii="Calibri" w:eastAsia="Times New Roman" w:hAnsi="Calibri" w:cs="Times New Roman"/>
                <w:b/>
                <w:bCs/>
                <w:color w:val="3F3F3F"/>
              </w:rPr>
              <w:t>Int</w:t>
            </w:r>
            <w:proofErr w:type="spellEnd"/>
            <w:r w:rsidRPr="0083075E">
              <w:rPr>
                <w:rFonts w:ascii="Calibri" w:eastAsia="Times New Roman" w:hAnsi="Calibri" w:cs="Times New Roman"/>
                <w:b/>
                <w:bCs/>
                <w:color w:val="3F3F3F"/>
              </w:rPr>
              <w:t xml:space="preserve"> Rate</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 xml:space="preserve">Average Inflation </w:t>
            </w:r>
          </w:p>
        </w:tc>
        <w:tc>
          <w:tcPr>
            <w:tcW w:w="1056" w:type="dxa"/>
            <w:tcBorders>
              <w:top w:val="single" w:sz="4" w:space="0" w:color="3F3F3F"/>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Real Expected</w:t>
            </w:r>
            <w:r w:rsidR="009C1627">
              <w:rPr>
                <w:rFonts w:ascii="Calibri" w:eastAsia="Times New Roman" w:hAnsi="Calibri" w:cs="Times New Roman"/>
                <w:b/>
                <w:bCs/>
                <w:color w:val="3F3F3F"/>
              </w:rPr>
              <w:t xml:space="preserve"> Actual</w:t>
            </w:r>
            <w:r w:rsidRPr="0083075E">
              <w:rPr>
                <w:rFonts w:ascii="Calibri" w:eastAsia="Times New Roman" w:hAnsi="Calibri" w:cs="Times New Roman"/>
                <w:b/>
                <w:bCs/>
                <w:color w:val="3F3F3F"/>
              </w:rPr>
              <w:t xml:space="preserve"> </w:t>
            </w:r>
            <w:proofErr w:type="spellStart"/>
            <w:r w:rsidRPr="0083075E">
              <w:rPr>
                <w:rFonts w:ascii="Calibri" w:eastAsia="Times New Roman" w:hAnsi="Calibri" w:cs="Times New Roman"/>
                <w:b/>
                <w:bCs/>
                <w:color w:val="3F3F3F"/>
              </w:rPr>
              <w:t>Int</w:t>
            </w:r>
            <w:proofErr w:type="spellEnd"/>
            <w:r w:rsidRPr="0083075E">
              <w:rPr>
                <w:rFonts w:ascii="Calibri" w:eastAsia="Times New Roman" w:hAnsi="Calibri" w:cs="Times New Roman"/>
                <w:b/>
                <w:bCs/>
                <w:color w:val="3F3F3F"/>
              </w:rPr>
              <w:t xml:space="preserve"> Rate</w:t>
            </w:r>
          </w:p>
        </w:tc>
        <w:tc>
          <w:tcPr>
            <w:tcW w:w="1167" w:type="dxa"/>
            <w:tcBorders>
              <w:top w:val="single" w:sz="4" w:space="0" w:color="3F3F3F"/>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 xml:space="preserve">Standard Deviation of </w:t>
            </w:r>
            <w:r w:rsidR="009C1627">
              <w:rPr>
                <w:rFonts w:ascii="Calibri" w:eastAsia="Times New Roman" w:hAnsi="Calibri" w:cs="Times New Roman"/>
                <w:b/>
                <w:bCs/>
                <w:color w:val="3F3F3F"/>
              </w:rPr>
              <w:t xml:space="preserve">Actual </w:t>
            </w:r>
            <w:proofErr w:type="spellStart"/>
            <w:r w:rsidRPr="0083075E">
              <w:rPr>
                <w:rFonts w:ascii="Calibri" w:eastAsia="Times New Roman" w:hAnsi="Calibri" w:cs="Times New Roman"/>
                <w:b/>
                <w:bCs/>
                <w:color w:val="3F3F3F"/>
              </w:rPr>
              <w:t>Int</w:t>
            </w:r>
            <w:proofErr w:type="spellEnd"/>
            <w:r w:rsidRPr="0083075E">
              <w:rPr>
                <w:rFonts w:ascii="Calibri" w:eastAsia="Times New Roman" w:hAnsi="Calibri" w:cs="Times New Roman"/>
                <w:b/>
                <w:bCs/>
                <w:color w:val="3F3F3F"/>
              </w:rPr>
              <w:t xml:space="preserve"> Rate</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A</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7.466445</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4.610442</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1.469532</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3.14091</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13.71869</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B</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11.69818</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6.175417</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1.385317</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4.7901</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18.9229</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C</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14.54043</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6.206902</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1.412324</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4.794577</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23.11102</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D</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17.02485</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6.603112</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1.438259</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5.164853</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25.83946</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E</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17.02485</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6.770709</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1.588469</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5.181224</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26.20359</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F</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19.51211</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6.631329</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1.699662</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4.931667</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26.14608</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G</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21.14678</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5.66557</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1.742679</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3.922891</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28.43761</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proofErr w:type="spellStart"/>
            <w:r w:rsidRPr="0083075E">
              <w:rPr>
                <w:rFonts w:ascii="Calibri" w:eastAsia="Times New Roman" w:hAnsi="Calibri" w:cs="Times New Roman"/>
                <w:b/>
                <w:bCs/>
                <w:color w:val="3F3F3F"/>
              </w:rPr>
              <w:t>Rf</w:t>
            </w:r>
            <w:proofErr w:type="spellEnd"/>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0.7</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1.547815</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-0.84781</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0*</w:t>
            </w:r>
          </w:p>
        </w:tc>
      </w:tr>
      <w:tr w:rsidR="0083075E" w:rsidRPr="0083075E" w:rsidTr="00AA6B75">
        <w:trPr>
          <w:trHeight w:val="290"/>
        </w:trPr>
        <w:tc>
          <w:tcPr>
            <w:tcW w:w="1022" w:type="dxa"/>
            <w:tcBorders>
              <w:top w:val="nil"/>
              <w:left w:val="single" w:sz="4" w:space="0" w:color="3F3F3F"/>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S</w:t>
            </w:r>
            <w:r w:rsidR="00AA6B75">
              <w:rPr>
                <w:rFonts w:ascii="Calibri" w:eastAsia="Times New Roman" w:hAnsi="Calibri" w:cs="Times New Roman"/>
                <w:b/>
                <w:bCs/>
                <w:color w:val="3F3F3F"/>
              </w:rPr>
              <w:t>&amp;</w:t>
            </w:r>
            <w:r w:rsidRPr="0083075E">
              <w:rPr>
                <w:rFonts w:ascii="Calibri" w:eastAsia="Times New Roman" w:hAnsi="Calibri" w:cs="Times New Roman"/>
                <w:b/>
                <w:bCs/>
                <w:color w:val="3F3F3F"/>
              </w:rPr>
              <w:t>P</w:t>
            </w:r>
            <w:r w:rsidR="00AA6B75">
              <w:rPr>
                <w:rFonts w:ascii="Calibri" w:eastAsia="Times New Roman" w:hAnsi="Calibri" w:cs="Times New Roman"/>
                <w:b/>
                <w:bCs/>
                <w:color w:val="3F3F3F"/>
              </w:rPr>
              <w:t xml:space="preserve"> </w:t>
            </w:r>
            <w:r w:rsidRPr="0083075E">
              <w:rPr>
                <w:rFonts w:ascii="Calibri" w:eastAsia="Times New Roman" w:hAnsi="Calibri" w:cs="Times New Roman"/>
                <w:b/>
                <w:bCs/>
                <w:color w:val="3F3F3F"/>
              </w:rPr>
              <w:t>500</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rPr>
                <w:rFonts w:ascii="Calibri" w:eastAsia="Times New Roman" w:hAnsi="Calibri" w:cs="Times New Roman"/>
                <w:b/>
                <w:bCs/>
                <w:color w:val="3F3F3F"/>
              </w:rPr>
            </w:pPr>
            <w:r w:rsidRPr="0083075E">
              <w:rPr>
                <w:rFonts w:ascii="Calibri" w:eastAsia="Times New Roman" w:hAnsi="Calibri" w:cs="Times New Roman"/>
                <w:b/>
                <w:bCs/>
                <w:color w:val="3F3F3F"/>
              </w:rPr>
              <w:t>-</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4.273918</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1.547815</w:t>
            </w:r>
          </w:p>
        </w:tc>
        <w:tc>
          <w:tcPr>
            <w:tcW w:w="1056"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2.726104</w:t>
            </w:r>
          </w:p>
        </w:tc>
        <w:tc>
          <w:tcPr>
            <w:tcW w:w="1167" w:type="dxa"/>
            <w:tcBorders>
              <w:top w:val="nil"/>
              <w:left w:val="nil"/>
              <w:bottom w:val="single" w:sz="4" w:space="0" w:color="3F3F3F"/>
              <w:right w:val="single" w:sz="4" w:space="0" w:color="3F3F3F"/>
            </w:tcBorders>
            <w:shd w:val="clear" w:color="000000" w:fill="F2F2F2"/>
            <w:vAlign w:val="bottom"/>
            <w:hideMark/>
          </w:tcPr>
          <w:p w:rsidR="0083075E" w:rsidRPr="0083075E" w:rsidRDefault="0083075E" w:rsidP="0083075E">
            <w:pPr>
              <w:spacing w:after="0" w:line="240" w:lineRule="auto"/>
              <w:jc w:val="right"/>
              <w:rPr>
                <w:rFonts w:ascii="Calibri" w:eastAsia="Times New Roman" w:hAnsi="Calibri" w:cs="Times New Roman"/>
                <w:b/>
                <w:bCs/>
                <w:color w:val="3F3F3F"/>
              </w:rPr>
            </w:pPr>
            <w:r w:rsidRPr="0083075E">
              <w:rPr>
                <w:rFonts w:ascii="Calibri" w:eastAsia="Times New Roman" w:hAnsi="Calibri" w:cs="Times New Roman"/>
                <w:b/>
                <w:bCs/>
                <w:color w:val="3F3F3F"/>
              </w:rPr>
              <w:t>15.678514</w:t>
            </w:r>
          </w:p>
        </w:tc>
      </w:tr>
    </w:tbl>
    <w:p w:rsidR="009C1627" w:rsidRPr="009C1627" w:rsidRDefault="009C1627" w:rsidP="009C1627">
      <w:pPr>
        <w:spacing w:after="0" w:line="480" w:lineRule="auto"/>
        <w:rPr>
          <w:rFonts w:ascii="Times New Roman" w:hAnsi="Times New Roman" w:cs="Times New Roman"/>
          <w:sz w:val="24"/>
          <w:szCs w:val="24"/>
        </w:rPr>
      </w:pPr>
      <w:r>
        <w:rPr>
          <w:rFonts w:ascii="Times New Roman" w:hAnsi="Times New Roman" w:cs="Times New Roman"/>
          <w:i/>
          <w:sz w:val="24"/>
          <w:szCs w:val="24"/>
        </w:rPr>
        <w:t>*Assigned a standard deviation of 0 because it is the Risk</w:t>
      </w:r>
      <w:r w:rsidR="00336DDD">
        <w:rPr>
          <w:rFonts w:ascii="Times New Roman" w:hAnsi="Times New Roman" w:cs="Times New Roman"/>
          <w:i/>
          <w:sz w:val="24"/>
          <w:szCs w:val="24"/>
        </w:rPr>
        <w:t xml:space="preserve"> </w:t>
      </w:r>
      <w:r>
        <w:rPr>
          <w:rFonts w:ascii="Times New Roman" w:hAnsi="Times New Roman" w:cs="Times New Roman"/>
          <w:i/>
          <w:sz w:val="24"/>
          <w:szCs w:val="24"/>
        </w:rPr>
        <w:t>Free Rate</w:t>
      </w:r>
    </w:p>
    <w:p w:rsidR="009C1627" w:rsidRDefault="00AA6B75" w:rsidP="00AA6B7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01065B">
        <w:rPr>
          <w:rFonts w:ascii="Times New Roman" w:hAnsi="Times New Roman" w:cs="Times New Roman"/>
          <w:sz w:val="24"/>
          <w:szCs w:val="24"/>
        </w:rPr>
        <w:t xml:space="preserve"> summarizes the interest rates</w:t>
      </w:r>
      <w:r>
        <w:rPr>
          <w:rFonts w:ascii="Times New Roman" w:hAnsi="Times New Roman" w:cs="Times New Roman"/>
          <w:sz w:val="24"/>
          <w:szCs w:val="24"/>
        </w:rPr>
        <w:t xml:space="preserve"> or returns</w:t>
      </w:r>
      <w:r w:rsidR="0001065B">
        <w:rPr>
          <w:rFonts w:ascii="Times New Roman" w:hAnsi="Times New Roman" w:cs="Times New Roman"/>
          <w:sz w:val="24"/>
          <w:szCs w:val="24"/>
        </w:rPr>
        <w:t xml:space="preserve"> </w:t>
      </w:r>
      <w:r w:rsidR="009C1627">
        <w:rPr>
          <w:rFonts w:ascii="Times New Roman" w:hAnsi="Times New Roman" w:cs="Times New Roman"/>
          <w:sz w:val="24"/>
          <w:szCs w:val="24"/>
        </w:rPr>
        <w:t>as well as the standa</w:t>
      </w:r>
      <w:r>
        <w:rPr>
          <w:rFonts w:ascii="Times New Roman" w:hAnsi="Times New Roman" w:cs="Times New Roman"/>
          <w:sz w:val="24"/>
          <w:szCs w:val="24"/>
        </w:rPr>
        <w:t xml:space="preserve">rd deviations and for each portfolio with respect to grade, the Risk Free Rate, and S&amp;P 500. The nominal expected actual interest rate column is derived from the algorithm in Figure 2, and the values within the column provide a nuanced view of interest rates by accounting for all relevant factors for the unique aspects of a portfolio constructed out of loans. Inflation differs when examining different starting years, so the average inflation over the term of the loan were aggregated for use in calculating the real expected actual interest rate. The real returns and standard deviation are relevant in computing the mean-variance frontier positions of the various portfolios of Lending Club and the efficient frontier line slope using </w:t>
      </w:r>
      <w:r w:rsidR="00336DDD">
        <w:rPr>
          <w:rFonts w:ascii="Times New Roman" w:hAnsi="Times New Roman" w:cs="Times New Roman"/>
          <w:sz w:val="24"/>
          <w:szCs w:val="24"/>
        </w:rPr>
        <w:t>R</w:t>
      </w:r>
      <w:r>
        <w:rPr>
          <w:rFonts w:ascii="Times New Roman" w:hAnsi="Times New Roman" w:cs="Times New Roman"/>
          <w:sz w:val="24"/>
          <w:szCs w:val="24"/>
        </w:rPr>
        <w:t xml:space="preserve">isk Free Rate and S&amp;P 500. </w:t>
      </w:r>
    </w:p>
    <w:p w:rsidR="0083075E" w:rsidRDefault="002C3861" w:rsidP="000106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Construction of the mean-variance frontier utilizes S&amp;P 500’s avera</w:t>
      </w:r>
      <w:r w:rsidR="00AA6B75">
        <w:rPr>
          <w:rFonts w:ascii="Times New Roman" w:hAnsi="Times New Roman" w:cs="Times New Roman"/>
          <w:sz w:val="24"/>
          <w:szCs w:val="24"/>
        </w:rPr>
        <w:t>ge lagged real returns, which is an efficient portfolio</w:t>
      </w:r>
      <w:r>
        <w:rPr>
          <w:rFonts w:ascii="Times New Roman" w:hAnsi="Times New Roman" w:cs="Times New Roman"/>
          <w:sz w:val="24"/>
          <w:szCs w:val="24"/>
        </w:rPr>
        <w:t>, and the 3-Month Treasury</w:t>
      </w:r>
      <w:r w:rsidR="00336DDD">
        <w:rPr>
          <w:rFonts w:ascii="Times New Roman" w:hAnsi="Times New Roman" w:cs="Times New Roman"/>
          <w:sz w:val="24"/>
          <w:szCs w:val="24"/>
        </w:rPr>
        <w:t xml:space="preserve"> Bill average returns, which is the default Risk Free Rate because for no risk a certain amount of returns can be expected</w:t>
      </w:r>
      <w:r>
        <w:rPr>
          <w:rFonts w:ascii="Times New Roman" w:hAnsi="Times New Roman" w:cs="Times New Roman"/>
          <w:sz w:val="24"/>
          <w:szCs w:val="24"/>
        </w:rPr>
        <w:t>.</w:t>
      </w:r>
      <w:r w:rsidR="00336DDD">
        <w:rPr>
          <w:rFonts w:ascii="Times New Roman" w:hAnsi="Times New Roman" w:cs="Times New Roman"/>
          <w:sz w:val="24"/>
          <w:szCs w:val="24"/>
        </w:rPr>
        <w:t xml:space="preserve"> Using formula (4)</w:t>
      </w:r>
      <w:r w:rsidR="00D53408">
        <w:rPr>
          <w:rFonts w:ascii="Times New Roman" w:hAnsi="Times New Roman" w:cs="Times New Roman"/>
          <w:sz w:val="24"/>
          <w:szCs w:val="24"/>
        </w:rPr>
        <w:t xml:space="preserve"> (Cochrane 2000)</w:t>
      </w:r>
      <w:r w:rsidR="00336DDD">
        <w:rPr>
          <w:rFonts w:ascii="Times New Roman" w:hAnsi="Times New Roman" w:cs="Times New Roman"/>
          <w:sz w:val="24"/>
          <w:szCs w:val="24"/>
        </w:rPr>
        <w:t xml:space="preserve">, the mean-variance frontier can be constructed with </w:t>
      </w:r>
      <m:oMath>
        <m:r>
          <w:rPr>
            <w:rFonts w:ascii="Cambria Math" w:hAnsi="Cambria Math" w:cs="Times New Roman"/>
            <w:sz w:val="24"/>
            <w:szCs w:val="24"/>
            <w:lang w:val=""/>
          </w:rPr>
          <m:t>"</m:t>
        </m:r>
        <m:sSup>
          <m:sSupPr>
            <m:ctrlPr>
              <w:rPr>
                <w:rFonts w:ascii="Cambria Math" w:hAnsi="Cambria Math" w:cs="Times New Roman"/>
                <w:sz w:val="24"/>
                <w:szCs w:val="24"/>
                <w:lang w:val=""/>
              </w:rPr>
            </m:ctrlPr>
          </m:sSupPr>
          <m:e>
            <m:r>
              <w:rPr>
                <w:rFonts w:ascii="Cambria Math" w:hAnsi="Cambria Math" w:cs="Times New Roman"/>
                <w:sz w:val="24"/>
                <w:szCs w:val="24"/>
                <w:lang w:val=""/>
              </w:rPr>
              <m:t>R</m:t>
            </m:r>
          </m:e>
          <m:sup>
            <m:r>
              <w:rPr>
                <w:rFonts w:ascii="Cambria Math" w:hAnsi="Cambria Math" w:cs="Times New Roman"/>
                <w:sz w:val="24"/>
                <w:szCs w:val="24"/>
                <w:lang w:val=""/>
              </w:rPr>
              <m:t>i</m:t>
            </m:r>
          </m:sup>
        </m:sSup>
        <m:r>
          <w:rPr>
            <w:rFonts w:ascii="Cambria Math" w:eastAsiaTheme="minorEastAsia" w:hAnsi="Cambria Math" w:cs="Times New Roman"/>
            <w:sz w:val="24"/>
            <w:szCs w:val="24"/>
            <w:lang w:val=""/>
          </w:rPr>
          <m:t>,"</m:t>
        </m:r>
      </m:oMath>
      <w:r w:rsidR="00336DDD">
        <w:rPr>
          <w:rFonts w:ascii="Times New Roman" w:eastAsiaTheme="minorEastAsia" w:hAnsi="Times New Roman" w:cs="Times New Roman"/>
          <w:sz w:val="24"/>
          <w:szCs w:val="24"/>
          <w:lang w:val=""/>
        </w:rPr>
        <w:t xml:space="preserve">, as S&amp;P </w:t>
      </w:r>
      <w:r w:rsidR="00336DDD">
        <w:rPr>
          <w:rFonts w:ascii="Times New Roman" w:eastAsiaTheme="minorEastAsia" w:hAnsi="Times New Roman" w:cs="Times New Roman"/>
          <w:sz w:val="24"/>
          <w:szCs w:val="24"/>
          <w:lang w:val=""/>
        </w:rPr>
        <w:lastRenderedPageBreak/>
        <w:t xml:space="preserve">500 returns, and </w:t>
      </w:r>
      <m:oMath>
        <m:r>
          <w:rPr>
            <w:rFonts w:ascii="Cambria Math" w:eastAsia="Yu Gothic" w:hAnsi="Cambria Math" w:cs="Times New Roman"/>
            <w:sz w:val="24"/>
            <w:szCs w:val="24"/>
            <w:lang w:val=""/>
          </w:rPr>
          <m:t>"</m:t>
        </m:r>
        <m:sSup>
          <m:sSupPr>
            <m:ctrlPr>
              <w:rPr>
                <w:rFonts w:ascii="Cambria Math" w:eastAsia="Yu Gothic" w:hAnsi="Cambria Math" w:cs="Times New Roman"/>
                <w:i/>
                <w:iCs/>
                <w:sz w:val="24"/>
                <w:szCs w:val="24"/>
                <w:lang w:val=""/>
              </w:rPr>
            </m:ctrlPr>
          </m:sSupPr>
          <m:e>
            <m:r>
              <w:rPr>
                <w:rFonts w:ascii="Cambria Math" w:eastAsia="Yu Gothic" w:hAnsi="Cambria Math" w:cs="Times New Roman"/>
                <w:sz w:val="24"/>
                <w:szCs w:val="24"/>
                <w:lang w:val=""/>
              </w:rPr>
              <m:t>R</m:t>
            </m:r>
          </m:e>
          <m:sup>
            <m:r>
              <w:rPr>
                <w:rFonts w:ascii="Cambria Math" w:eastAsia="Yu Gothic" w:hAnsi="Cambria Math" w:cs="Times New Roman"/>
                <w:sz w:val="24"/>
                <w:szCs w:val="24"/>
                <w:lang w:val=""/>
              </w:rPr>
              <m:t>f</m:t>
            </m:r>
          </m:sup>
        </m:sSup>
        <m:r>
          <w:rPr>
            <w:rFonts w:ascii="Cambria Math" w:eastAsia="Yu Gothic" w:hAnsi="Cambria Math" w:cs="Times New Roman"/>
            <w:sz w:val="24"/>
            <w:szCs w:val="24"/>
            <w:lang w:val=""/>
          </w:rPr>
          <m:t>,"</m:t>
        </m:r>
        <m:r>
          <w:rPr>
            <w:rFonts w:ascii="Cambria Math" w:eastAsiaTheme="minorEastAsia" w:hAnsi="Cambria Math" w:cs="Times New Roman"/>
            <w:sz w:val="24"/>
            <w:szCs w:val="24"/>
            <w:lang w:val=""/>
          </w:rPr>
          <m:t> </m:t>
        </m:r>
      </m:oMath>
      <w:r w:rsidR="00336DDD">
        <w:rPr>
          <w:rFonts w:ascii="Times New Roman" w:eastAsiaTheme="minorEastAsia" w:hAnsi="Times New Roman" w:cs="Times New Roman"/>
          <w:iCs/>
          <w:sz w:val="24"/>
          <w:szCs w:val="24"/>
          <w:lang w:val=""/>
        </w:rPr>
        <w:t>as the 3-month Treasury bill returns</w:t>
      </w:r>
      <w:r w:rsidR="00336DDD">
        <w:rPr>
          <w:rFonts w:ascii="Times New Roman" w:eastAsiaTheme="minorEastAsia" w:hAnsi="Times New Roman" w:cs="Times New Roman"/>
          <w:sz w:val="24"/>
          <w:szCs w:val="24"/>
          <w:lang w:val=""/>
        </w:rPr>
        <w:t>, and “m” representing the stochastic discount factor, “</w:t>
      </w:r>
      <m:oMath>
        <m:sSub>
          <m:sSubPr>
            <m:ctrlPr>
              <w:rPr>
                <w:rFonts w:ascii="Cambria Math" w:eastAsia="Times New Roman" w:hAnsi="Cambria Math" w:cs="Times New Roman"/>
                <w:i/>
                <w:iCs/>
                <w:sz w:val="20"/>
                <w:szCs w:val="20"/>
                <w:lang w:val=""/>
              </w:rPr>
            </m:ctrlPr>
          </m:sSubPr>
          <m:e>
            <m:r>
              <w:rPr>
                <w:rFonts w:ascii="Cambria Math" w:eastAsia="Times New Roman" w:hAnsi="Cambria Math" w:cs="Times New Roman"/>
                <w:sz w:val="20"/>
                <w:szCs w:val="20"/>
                <w:lang w:val=""/>
              </w:rPr>
              <m:t>P</m:t>
            </m:r>
          </m:e>
          <m:sub>
            <m:r>
              <w:rPr>
                <w:rFonts w:ascii="Cambria Math" w:eastAsia="Times New Roman" w:hAnsi="Cambria Math" w:cs="Times New Roman"/>
                <w:sz w:val="20"/>
                <w:szCs w:val="20"/>
                <w:lang w:val=""/>
              </w:rPr>
              <m:t>m,</m:t>
            </m:r>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sub>
        </m:sSub>
      </m:oMath>
      <w:r w:rsidR="00336DDD">
        <w:rPr>
          <w:rFonts w:ascii="Times New Roman" w:eastAsiaTheme="minorEastAsia" w:hAnsi="Times New Roman" w:cs="Times New Roman"/>
          <w:sz w:val="24"/>
          <w:szCs w:val="24"/>
          <w:lang w:val=""/>
        </w:rPr>
        <w:t>” as the correlation between stochastic discount factor and returns.</w:t>
      </w:r>
    </w:p>
    <w:p w:rsidR="002C3861" w:rsidRPr="002C3861" w:rsidRDefault="002C3861" w:rsidP="00464955">
      <w:pPr>
        <w:spacing w:after="0" w:line="480" w:lineRule="auto"/>
        <w:rPr>
          <w:rFonts w:ascii="Times New Roman" w:eastAsia="Times New Roman" w:hAnsi="Times New Roman" w:cs="Times New Roman"/>
          <w:i/>
          <w:iCs/>
          <w:sz w:val="20"/>
          <w:szCs w:val="20"/>
          <w:lang w:val=""/>
        </w:rPr>
      </w:pPr>
      <m:oMathPara>
        <m:oMath>
          <m:r>
            <w:rPr>
              <w:rFonts w:ascii="Cambria Math" w:eastAsia="Times New Roman" w:hAnsi="Cambria Math" w:cs="Times New Roman"/>
              <w:sz w:val="20"/>
              <w:szCs w:val="20"/>
              <w:lang w:val=""/>
            </w:rPr>
            <m:t>E</m:t>
          </m:r>
          <m:d>
            <m:dPr>
              <m:ctrlPr>
                <w:rPr>
                  <w:rFonts w:ascii="Cambria Math" w:eastAsia="Times New Roman" w:hAnsi="Cambria Math" w:cs="Times New Roman"/>
                  <w:i/>
                  <w:iCs/>
                  <w:sz w:val="20"/>
                  <w:szCs w:val="20"/>
                  <w:lang w:val=""/>
                </w:rPr>
              </m:ctrlPr>
            </m:dPr>
            <m:e>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e>
          </m:d>
          <m:r>
            <w:rPr>
              <w:rFonts w:ascii="Cambria Math" w:eastAsia="Times New Roman" w:hAnsi="Cambria Math" w:cs="Times New Roman"/>
              <w:sz w:val="20"/>
              <w:szCs w:val="20"/>
              <w:lang w:val=""/>
            </w:rPr>
            <m:t>=</m:t>
          </m:r>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f</m:t>
              </m:r>
            </m:sup>
          </m:sSup>
          <m:r>
            <w:rPr>
              <w:rFonts w:ascii="Cambria Math" w:eastAsia="Times New Roman" w:hAnsi="Cambria Math" w:cs="Times New Roman"/>
              <w:sz w:val="20"/>
              <w:szCs w:val="20"/>
              <w:lang w:val=""/>
            </w:rPr>
            <m:t> - </m:t>
          </m:r>
          <m:sSub>
            <m:sSubPr>
              <m:ctrlPr>
                <w:rPr>
                  <w:rFonts w:ascii="Cambria Math" w:eastAsia="Times New Roman" w:hAnsi="Cambria Math" w:cs="Times New Roman"/>
                  <w:i/>
                  <w:iCs/>
                  <w:sz w:val="20"/>
                  <w:szCs w:val="20"/>
                  <w:lang w:val=""/>
                </w:rPr>
              </m:ctrlPr>
            </m:sSubPr>
            <m:e>
              <m:r>
                <w:rPr>
                  <w:rFonts w:ascii="Cambria Math" w:eastAsia="Times New Roman" w:hAnsi="Cambria Math" w:cs="Times New Roman"/>
                  <w:sz w:val="20"/>
                  <w:szCs w:val="20"/>
                  <w:lang w:val=""/>
                </w:rPr>
                <m:t>P</m:t>
              </m:r>
            </m:e>
            <m:sub>
              <m:r>
                <w:rPr>
                  <w:rFonts w:ascii="Cambria Math" w:eastAsia="Times New Roman" w:hAnsi="Cambria Math" w:cs="Times New Roman"/>
                  <w:sz w:val="20"/>
                  <w:szCs w:val="20"/>
                  <w:lang w:val=""/>
                </w:rPr>
                <m:t>m,</m:t>
              </m:r>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sub>
          </m:sSub>
          <m:d>
            <m:dPr>
              <m:ctrlPr>
                <w:rPr>
                  <w:rFonts w:ascii="Cambria Math" w:eastAsia="Times New Roman" w:hAnsi="Cambria Math" w:cs="Times New Roman"/>
                  <w:i/>
                  <w:iCs/>
                  <w:sz w:val="20"/>
                  <w:szCs w:val="20"/>
                  <w:lang w:val=""/>
                </w:rPr>
              </m:ctrlPr>
            </m:dPr>
            <m:e>
              <m:f>
                <m:fPr>
                  <m:ctrlPr>
                    <w:rPr>
                      <w:rFonts w:ascii="Cambria Math" w:eastAsia="Times New Roman" w:hAnsi="Cambria Math" w:cs="Times New Roman"/>
                      <w:i/>
                      <w:iCs/>
                      <w:sz w:val="20"/>
                      <w:szCs w:val="20"/>
                      <w:lang w:val=""/>
                    </w:rPr>
                  </m:ctrlPr>
                </m:fPr>
                <m:num>
                  <m:r>
                    <w:rPr>
                      <w:rFonts w:ascii="Cambria Math" w:eastAsia="Times New Roman" w:hAnsi="Cambria Math" w:cs="Times New Roman"/>
                      <w:sz w:val="20"/>
                      <w:szCs w:val="20"/>
                      <w:lang w:val=""/>
                    </w:rPr>
                    <m:t>σ</m:t>
                  </m:r>
                  <m:d>
                    <m:dPr>
                      <m:ctrlPr>
                        <w:rPr>
                          <w:rFonts w:ascii="Cambria Math" w:eastAsia="Times New Roman" w:hAnsi="Cambria Math" w:cs="Times New Roman"/>
                          <w:i/>
                          <w:iCs/>
                          <w:sz w:val="20"/>
                          <w:szCs w:val="20"/>
                          <w:lang w:val=""/>
                        </w:rPr>
                      </m:ctrlPr>
                    </m:dPr>
                    <m:e>
                      <m:r>
                        <w:rPr>
                          <w:rFonts w:ascii="Cambria Math" w:eastAsia="Times New Roman" w:hAnsi="Cambria Math" w:cs="Times New Roman"/>
                          <w:sz w:val="20"/>
                          <w:szCs w:val="20"/>
                          <w:lang w:val=""/>
                        </w:rPr>
                        <m:t>m</m:t>
                      </m:r>
                    </m:e>
                  </m:d>
                </m:num>
                <m:den>
                  <m:r>
                    <w:rPr>
                      <w:rFonts w:ascii="Cambria Math" w:eastAsia="Times New Roman" w:hAnsi="Cambria Math" w:cs="Times New Roman"/>
                      <w:sz w:val="20"/>
                      <w:szCs w:val="20"/>
                      <w:lang w:val=""/>
                    </w:rPr>
                    <m:t>E</m:t>
                  </m:r>
                  <m:d>
                    <m:dPr>
                      <m:ctrlPr>
                        <w:rPr>
                          <w:rFonts w:ascii="Cambria Math" w:eastAsia="Times New Roman" w:hAnsi="Cambria Math" w:cs="Times New Roman"/>
                          <w:i/>
                          <w:iCs/>
                          <w:sz w:val="20"/>
                          <w:szCs w:val="20"/>
                          <w:lang w:val=""/>
                        </w:rPr>
                      </m:ctrlPr>
                    </m:dPr>
                    <m:e>
                      <m:r>
                        <w:rPr>
                          <w:rFonts w:ascii="Cambria Math" w:eastAsia="Times New Roman" w:hAnsi="Cambria Math" w:cs="Times New Roman"/>
                          <w:sz w:val="20"/>
                          <w:szCs w:val="20"/>
                          <w:lang w:val=""/>
                        </w:rPr>
                        <m:t>m</m:t>
                      </m:r>
                    </m:e>
                  </m:d>
                </m:den>
              </m:f>
            </m:e>
          </m:d>
          <m:d>
            <m:dPr>
              <m:ctrlPr>
                <w:rPr>
                  <w:rFonts w:ascii="Cambria Math" w:eastAsia="Times New Roman" w:hAnsi="Cambria Math" w:cs="Times New Roman"/>
                  <w:i/>
                  <w:iCs/>
                  <w:sz w:val="20"/>
                  <w:szCs w:val="20"/>
                  <w:lang w:val=""/>
                </w:rPr>
              </m:ctrlPr>
            </m:dPr>
            <m:e>
              <m:r>
                <w:rPr>
                  <w:rFonts w:ascii="Cambria Math" w:eastAsia="Times New Roman" w:hAnsi="Cambria Math" w:cs="Times New Roman"/>
                  <w:sz w:val="20"/>
                  <w:szCs w:val="20"/>
                  <w:lang w:val=""/>
                </w:rPr>
                <m:t>σ</m:t>
              </m:r>
              <m:d>
                <m:dPr>
                  <m:ctrlPr>
                    <w:rPr>
                      <w:rFonts w:ascii="Cambria Math" w:eastAsia="Times New Roman" w:hAnsi="Cambria Math" w:cs="Times New Roman"/>
                      <w:i/>
                      <w:iCs/>
                      <w:sz w:val="20"/>
                      <w:szCs w:val="20"/>
                      <w:lang w:val=""/>
                    </w:rPr>
                  </m:ctrlPr>
                </m:dPr>
                <m:e>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e>
              </m:d>
            </m:e>
          </m:d>
          <m:r>
            <w:rPr>
              <w:rFonts w:ascii="Cambria Math" w:eastAsia="Times New Roman" w:hAnsi="Cambria Math" w:cs="Times New Roman"/>
              <w:sz w:val="20"/>
              <w:szCs w:val="20"/>
              <w:lang w:val=""/>
            </w:rPr>
            <m:t xml:space="preserve">        </m:t>
          </m:r>
          <m:d>
            <m:dPr>
              <m:ctrlPr>
                <w:rPr>
                  <w:rFonts w:ascii="Cambria Math" w:eastAsia="Times New Roman" w:hAnsi="Cambria Math" w:cs="Times New Roman"/>
                  <w:b/>
                  <w:i/>
                  <w:sz w:val="20"/>
                  <w:szCs w:val="20"/>
                  <w:lang w:val=""/>
                </w:rPr>
              </m:ctrlPr>
            </m:dPr>
            <m:e>
              <m:r>
                <m:rPr>
                  <m:sty m:val="bi"/>
                </m:rPr>
                <w:rPr>
                  <w:rFonts w:ascii="Cambria Math" w:eastAsia="Times New Roman" w:hAnsi="Cambria Math" w:cs="Times New Roman"/>
                  <w:sz w:val="20"/>
                  <w:szCs w:val="20"/>
                  <w:lang w:val=""/>
                </w:rPr>
                <m:t>4</m:t>
              </m:r>
            </m:e>
          </m:d>
        </m:oMath>
      </m:oMathPara>
      <w:bookmarkStart w:id="0" w:name="_GoBack"/>
      <w:bookmarkEnd w:id="0"/>
    </w:p>
    <w:p w:rsidR="006061B0" w:rsidRDefault="00336DDD" w:rsidP="006061B0">
      <w:pPr>
        <w:spacing w:after="0" w:line="480" w:lineRule="auto"/>
        <w:rPr>
          <w:rFonts w:ascii="Times New Roman" w:hAnsi="Times New Roman" w:cs="Times New Roman"/>
          <w:sz w:val="24"/>
          <w:szCs w:val="24"/>
        </w:rPr>
      </w:pPr>
      <w:r>
        <w:rPr>
          <w:rFonts w:ascii="Times New Roman" w:eastAsiaTheme="minorEastAsia" w:hAnsi="Times New Roman" w:cs="Times New Roman"/>
          <w:sz w:val="24"/>
          <w:szCs w:val="24"/>
          <w:lang w:val=""/>
        </w:rPr>
        <w:tab/>
        <w:t>Using the values derived from Table 5 for Risk Free Rate and S&amp;P 500 for expected returns and standard deviation, formula (4), and a value of -1 for “</w:t>
      </w:r>
      <m:oMath>
        <m:sSub>
          <m:sSubPr>
            <m:ctrlPr>
              <w:rPr>
                <w:rFonts w:ascii="Cambria Math" w:eastAsia="Times New Roman" w:hAnsi="Cambria Math" w:cs="Times New Roman"/>
                <w:i/>
                <w:iCs/>
                <w:sz w:val="20"/>
                <w:szCs w:val="20"/>
                <w:lang w:val=""/>
              </w:rPr>
            </m:ctrlPr>
          </m:sSubPr>
          <m:e>
            <m:r>
              <w:rPr>
                <w:rFonts w:ascii="Cambria Math" w:eastAsia="Times New Roman" w:hAnsi="Cambria Math" w:cs="Times New Roman"/>
                <w:sz w:val="20"/>
                <w:szCs w:val="20"/>
                <w:lang w:val=""/>
              </w:rPr>
              <m:t>P</m:t>
            </m:r>
          </m:e>
          <m:sub>
            <m:r>
              <w:rPr>
                <w:rFonts w:ascii="Cambria Math" w:eastAsia="Times New Roman" w:hAnsi="Cambria Math" w:cs="Times New Roman"/>
                <w:sz w:val="20"/>
                <w:szCs w:val="20"/>
                <w:lang w:val=""/>
              </w:rPr>
              <m:t>m,</m:t>
            </m:r>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sub>
        </m:sSub>
      </m:oMath>
      <w:r>
        <w:rPr>
          <w:rFonts w:ascii="Times New Roman" w:eastAsiaTheme="minorEastAsia" w:hAnsi="Times New Roman" w:cs="Times New Roman"/>
          <w:sz w:val="24"/>
          <w:szCs w:val="24"/>
          <w:lang w:val=""/>
        </w:rPr>
        <w:t xml:space="preserve">”, the efficienet line is constructed. </w:t>
      </w:r>
      <w:r w:rsidR="006061B0">
        <w:rPr>
          <w:rFonts w:ascii="Times New Roman" w:hAnsi="Times New Roman" w:cs="Times New Roman"/>
          <w:sz w:val="24"/>
          <w:szCs w:val="24"/>
        </w:rPr>
        <w:t xml:space="preserve">The efficient portfolio line for the mean-variance frontier can be represented by the equation: </w:t>
      </w:r>
      <m:oMath>
        <m:r>
          <w:rPr>
            <w:rFonts w:ascii="Cambria Math" w:eastAsia="Times New Roman" w:hAnsi="Cambria Math" w:cs="Times New Roman"/>
            <w:sz w:val="20"/>
            <w:szCs w:val="20"/>
            <w:lang w:val=""/>
          </w:rPr>
          <m:t>E</m:t>
        </m:r>
        <m:d>
          <m:dPr>
            <m:ctrlPr>
              <w:rPr>
                <w:rFonts w:ascii="Cambria Math" w:eastAsia="Times New Roman" w:hAnsi="Cambria Math" w:cs="Times New Roman"/>
                <w:i/>
                <w:iCs/>
                <w:sz w:val="20"/>
                <w:szCs w:val="20"/>
                <w:lang w:val=""/>
              </w:rPr>
            </m:ctrlPr>
          </m:dPr>
          <m:e>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e>
        </m:d>
      </m:oMath>
      <w:r w:rsidR="006061B0">
        <w:rPr>
          <w:rFonts w:ascii="Times New Roman" w:hAnsi="Times New Roman" w:cs="Times New Roman"/>
          <w:sz w:val="24"/>
          <w:szCs w:val="24"/>
        </w:rPr>
        <w:t>=0.228</w:t>
      </w:r>
      <m:oMath>
        <m:r>
          <w:rPr>
            <w:rFonts w:ascii="Cambria Math" w:eastAsia="Times New Roman" w:hAnsi="Cambria Math" w:cs="Times New Roman"/>
            <w:sz w:val="20"/>
            <w:szCs w:val="20"/>
            <w:lang w:val=""/>
          </w:rPr>
          <m:t xml:space="preserve"> σ</m:t>
        </m:r>
        <m:d>
          <m:dPr>
            <m:ctrlPr>
              <w:rPr>
                <w:rFonts w:ascii="Cambria Math" w:eastAsia="Times New Roman" w:hAnsi="Cambria Math" w:cs="Times New Roman"/>
                <w:i/>
                <w:iCs/>
                <w:sz w:val="20"/>
                <w:szCs w:val="20"/>
                <w:lang w:val=""/>
              </w:rPr>
            </m:ctrlPr>
          </m:dPr>
          <m:e>
            <m:sSup>
              <m:sSupPr>
                <m:ctrlPr>
                  <w:rPr>
                    <w:rFonts w:ascii="Cambria Math" w:eastAsia="Times New Roman" w:hAnsi="Cambria Math" w:cs="Times New Roman"/>
                    <w:i/>
                    <w:iCs/>
                    <w:sz w:val="20"/>
                    <w:szCs w:val="20"/>
                    <w:lang w:val=""/>
                  </w:rPr>
                </m:ctrlPr>
              </m:sSupPr>
              <m:e>
                <m:r>
                  <w:rPr>
                    <w:rFonts w:ascii="Cambria Math" w:eastAsia="Times New Roman" w:hAnsi="Cambria Math" w:cs="Times New Roman"/>
                    <w:sz w:val="20"/>
                    <w:szCs w:val="20"/>
                    <w:lang w:val=""/>
                  </w:rPr>
                  <m:t>R</m:t>
                </m:r>
              </m:e>
              <m:sup>
                <m:r>
                  <w:rPr>
                    <w:rFonts w:ascii="Cambria Math" w:eastAsia="Times New Roman" w:hAnsi="Cambria Math" w:cs="Times New Roman"/>
                    <w:sz w:val="20"/>
                    <w:szCs w:val="20"/>
                    <w:lang w:val=""/>
                  </w:rPr>
                  <m:t>i</m:t>
                </m:r>
              </m:sup>
            </m:sSup>
          </m:e>
        </m:d>
      </m:oMath>
      <w:r w:rsidR="006061B0">
        <w:rPr>
          <w:rFonts w:ascii="Times New Roman" w:hAnsi="Times New Roman" w:cs="Times New Roman"/>
          <w:sz w:val="24"/>
          <w:szCs w:val="24"/>
        </w:rPr>
        <w:t xml:space="preserve">-0.8478, and any portfolio that is efficient should be along the line. </w:t>
      </w:r>
    </w:p>
    <w:p w:rsidR="00336DDD" w:rsidRDefault="00336DDD" w:rsidP="00336DDD">
      <w:pPr>
        <w:spacing w:after="0" w:line="480" w:lineRule="auto"/>
        <w:rPr>
          <w:rFonts w:ascii="Times New Roman" w:eastAsiaTheme="minorEastAsia" w:hAnsi="Times New Roman" w:cs="Times New Roman"/>
          <w:sz w:val="24"/>
          <w:szCs w:val="24"/>
          <w:lang w:val=""/>
        </w:rPr>
      </w:pPr>
      <w:r>
        <w:rPr>
          <w:rFonts w:ascii="Times New Roman" w:eastAsiaTheme="minorEastAsia" w:hAnsi="Times New Roman" w:cs="Times New Roman"/>
          <w:sz w:val="24"/>
          <w:szCs w:val="24"/>
          <w:lang w:val=""/>
        </w:rPr>
        <w:t xml:space="preserve">When portfolios of Lending Club loans with respect to grade are </w:t>
      </w:r>
      <w:r w:rsidR="006061B0">
        <w:rPr>
          <w:rFonts w:ascii="Times New Roman" w:eastAsiaTheme="minorEastAsia" w:hAnsi="Times New Roman" w:cs="Times New Roman"/>
          <w:sz w:val="24"/>
          <w:szCs w:val="24"/>
          <w:lang w:val=""/>
        </w:rPr>
        <w:t xml:space="preserve">also </w:t>
      </w:r>
      <w:r>
        <w:rPr>
          <w:rFonts w:ascii="Times New Roman" w:eastAsiaTheme="minorEastAsia" w:hAnsi="Times New Roman" w:cs="Times New Roman"/>
          <w:sz w:val="24"/>
          <w:szCs w:val="24"/>
          <w:lang w:val=""/>
        </w:rPr>
        <w:t xml:space="preserve">plotted within the mean-variance frontier graph, Figure 2 is produced. </w:t>
      </w:r>
    </w:p>
    <w:p w:rsidR="00FB35AB" w:rsidRPr="00CA39CE" w:rsidRDefault="00FB35AB" w:rsidP="00FB35AB">
      <w:pPr>
        <w:spacing w:after="0" w:line="480" w:lineRule="auto"/>
        <w:ind w:firstLine="720"/>
        <w:jc w:val="center"/>
        <w:rPr>
          <w:rFonts w:ascii="Times New Roman" w:eastAsiaTheme="minorEastAsia" w:hAnsi="Times New Roman" w:cs="Times New Roman"/>
          <w:i/>
          <w:sz w:val="24"/>
          <w:szCs w:val="24"/>
          <w:lang w:val=""/>
        </w:rPr>
      </w:pPr>
      <w:r w:rsidRPr="00CA39CE">
        <w:rPr>
          <w:rFonts w:ascii="Times New Roman" w:eastAsiaTheme="minorEastAsia" w:hAnsi="Times New Roman" w:cs="Times New Roman"/>
          <w:i/>
          <w:sz w:val="24"/>
          <w:szCs w:val="24"/>
          <w:lang w:val=""/>
        </w:rPr>
        <w:t>Figure 2</w:t>
      </w:r>
      <w:r w:rsidR="00CA39CE">
        <w:rPr>
          <w:rFonts w:ascii="Times New Roman" w:eastAsiaTheme="minorEastAsia" w:hAnsi="Times New Roman" w:cs="Times New Roman"/>
          <w:i/>
          <w:sz w:val="24"/>
          <w:szCs w:val="24"/>
          <w:lang w:val=""/>
        </w:rPr>
        <w:t>: Mean-Variance Frontier 2007-2015</w:t>
      </w:r>
    </w:p>
    <w:p w:rsidR="00FB35AB" w:rsidRPr="00954DD3" w:rsidRDefault="00FB35AB" w:rsidP="00FB35AB">
      <w:pPr>
        <w:spacing w:after="0" w:line="480" w:lineRule="auto"/>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981450" cy="238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384425"/>
                    </a:xfrm>
                    <a:prstGeom prst="rect">
                      <a:avLst/>
                    </a:prstGeom>
                    <a:noFill/>
                    <a:ln>
                      <a:noFill/>
                    </a:ln>
                  </pic:spPr>
                </pic:pic>
              </a:graphicData>
            </a:graphic>
          </wp:inline>
        </w:drawing>
      </w:r>
    </w:p>
    <w:p w:rsidR="00786387" w:rsidRDefault="009C1152" w:rsidP="00464955">
      <w:pPr>
        <w:spacing w:after="0" w:line="480" w:lineRule="auto"/>
        <w:rPr>
          <w:rFonts w:ascii="Times New Roman" w:hAnsi="Times New Roman" w:cs="Times New Roman"/>
          <w:sz w:val="24"/>
          <w:szCs w:val="24"/>
        </w:rPr>
      </w:pPr>
      <w:r>
        <w:rPr>
          <w:rFonts w:ascii="Times New Roman" w:hAnsi="Times New Roman" w:cs="Times New Roman"/>
          <w:sz w:val="24"/>
          <w:szCs w:val="24"/>
        </w:rPr>
        <w:t>The mean-variance frontier graph’s glaring discrepancy is that multiple portfolios of “A”, “B”, and “C” are completely outside the scope of the mean-variance frontier</w:t>
      </w:r>
      <w:r w:rsidR="005C7C9F">
        <w:rPr>
          <w:rFonts w:ascii="Times New Roman" w:hAnsi="Times New Roman" w:cs="Times New Roman"/>
          <w:sz w:val="24"/>
          <w:szCs w:val="24"/>
        </w:rPr>
        <w:t xml:space="preserve"> efficient line, and the fundamental issue is that the theoretical model asserts there can be no portfolios that give a higher expected return for the same amount of standard deviation than the efficient line. In addition, the results highlight several portfolios of “D”, “E”, and “F” approximately lying along the mean-variance frontier, and “G” as the only portfolio outside the scope of the mean-variance </w:t>
      </w:r>
      <w:r w:rsidR="005C7C9F">
        <w:rPr>
          <w:rFonts w:ascii="Times New Roman" w:hAnsi="Times New Roman" w:cs="Times New Roman"/>
          <w:sz w:val="24"/>
          <w:szCs w:val="24"/>
        </w:rPr>
        <w:lastRenderedPageBreak/>
        <w:t>frontier. Another general trend is that portfolios consisting of grades that have borrowers with stronger</w:t>
      </w:r>
      <w:r w:rsidR="0032557F">
        <w:rPr>
          <w:rFonts w:ascii="Times New Roman" w:hAnsi="Times New Roman" w:cs="Times New Roman"/>
          <w:sz w:val="24"/>
          <w:szCs w:val="24"/>
        </w:rPr>
        <w:t xml:space="preserve"> characteristics have higher expected values for a given standard deviation. Overall, the mean-variance frontier construction in Figure 2 provides the empirical evidence in support of the claim that Lending Club portfolios are along the mean-variance frontier.</w:t>
      </w:r>
    </w:p>
    <w:p w:rsidR="003D09E8" w:rsidRDefault="003D09E8" w:rsidP="002B4ED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Development of Key Arguments</w:t>
      </w:r>
    </w:p>
    <w:p w:rsidR="003B7C5E" w:rsidRDefault="003D09E8" w:rsidP="00461A6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portfolio of Lending Club’s aggregated loans with respect to grade in the empirical analysis produces several key supporting evidence for the portfolios being “efficient.” </w:t>
      </w:r>
      <w:r w:rsidR="00786387">
        <w:rPr>
          <w:rFonts w:ascii="Times New Roman" w:hAnsi="Times New Roman" w:cs="Times New Roman"/>
          <w:sz w:val="24"/>
          <w:szCs w:val="24"/>
        </w:rPr>
        <w:t xml:space="preserve">Literature dictates that anything outside of the attainable set </w:t>
      </w:r>
      <w:r w:rsidR="00DE559C">
        <w:rPr>
          <w:rFonts w:ascii="Times New Roman" w:hAnsi="Times New Roman" w:cs="Times New Roman"/>
          <w:sz w:val="24"/>
          <w:szCs w:val="24"/>
        </w:rPr>
        <w:t>cannot exist because there is no way to obtain more expected returns for the same amount of risk, and the existence of Lending Club’s portfolio outside the characterization of the mean-variance frontier</w:t>
      </w:r>
      <w:r w:rsidR="00F51580">
        <w:rPr>
          <w:rFonts w:ascii="Times New Roman" w:hAnsi="Times New Roman" w:cs="Times New Roman"/>
          <w:sz w:val="24"/>
          <w:szCs w:val="24"/>
        </w:rPr>
        <w:t>’s efficient line</w:t>
      </w:r>
      <w:r w:rsidR="00DE559C">
        <w:rPr>
          <w:rFonts w:ascii="Times New Roman" w:hAnsi="Times New Roman" w:cs="Times New Roman"/>
          <w:sz w:val="24"/>
          <w:szCs w:val="24"/>
        </w:rPr>
        <w:t xml:space="preserve"> constructed from the years of 2007 to 2015 is noteworthy. Reconciliation with the theoretical model of the mean-variance frontier can occur through one of two ways</w:t>
      </w:r>
      <w:r w:rsidR="009C6768">
        <w:rPr>
          <w:rFonts w:ascii="Times New Roman" w:hAnsi="Times New Roman" w:cs="Times New Roman"/>
          <w:sz w:val="24"/>
          <w:szCs w:val="24"/>
        </w:rPr>
        <w:t>. One approach to reconcile an</w:t>
      </w:r>
      <w:r w:rsidR="00DE559C">
        <w:rPr>
          <w:rFonts w:ascii="Times New Roman" w:hAnsi="Times New Roman" w:cs="Times New Roman"/>
          <w:sz w:val="24"/>
          <w:szCs w:val="24"/>
        </w:rPr>
        <w:t xml:space="preserve"> efficient frontier of which all portfolios must fall along or within is through reclassification of S&amp;P 500 as a “non-efficie</w:t>
      </w:r>
      <w:r w:rsidR="00060858">
        <w:rPr>
          <w:rFonts w:ascii="Times New Roman" w:hAnsi="Times New Roman" w:cs="Times New Roman"/>
          <w:sz w:val="24"/>
          <w:szCs w:val="24"/>
        </w:rPr>
        <w:t>nt” portfolio</w:t>
      </w:r>
      <w:r w:rsidR="00F51580">
        <w:rPr>
          <w:rFonts w:ascii="Times New Roman" w:hAnsi="Times New Roman" w:cs="Times New Roman"/>
          <w:sz w:val="24"/>
          <w:szCs w:val="24"/>
        </w:rPr>
        <w:t>, meaning it no longer falls along the mean-variance frontier</w:t>
      </w:r>
      <w:r w:rsidR="003B7C5E">
        <w:rPr>
          <w:rFonts w:ascii="Times New Roman" w:hAnsi="Times New Roman" w:cs="Times New Roman"/>
          <w:sz w:val="24"/>
          <w:szCs w:val="24"/>
        </w:rPr>
        <w:t>.</w:t>
      </w:r>
      <w:r w:rsidR="00060858">
        <w:rPr>
          <w:rFonts w:ascii="Times New Roman" w:hAnsi="Times New Roman" w:cs="Times New Roman"/>
          <w:sz w:val="24"/>
          <w:szCs w:val="24"/>
        </w:rPr>
        <w:t xml:space="preserve"> </w:t>
      </w:r>
      <w:r w:rsidR="00F51580">
        <w:rPr>
          <w:rFonts w:ascii="Times New Roman" w:hAnsi="Times New Roman" w:cs="Times New Roman"/>
          <w:sz w:val="24"/>
          <w:szCs w:val="24"/>
        </w:rPr>
        <w:t>A reassessment of what is considered an efficient portfolio would logically include the portfolios of grade “A” and “B” along the mean-variance frontier</w:t>
      </w:r>
      <w:r w:rsidR="009C6768">
        <w:rPr>
          <w:rFonts w:ascii="Times New Roman" w:hAnsi="Times New Roman" w:cs="Times New Roman"/>
          <w:sz w:val="24"/>
          <w:szCs w:val="24"/>
        </w:rPr>
        <w:t xml:space="preserve"> efficient line. With S&amp;P 500 </w:t>
      </w:r>
      <w:r w:rsidR="00C77BF2">
        <w:rPr>
          <w:rFonts w:ascii="Times New Roman" w:hAnsi="Times New Roman" w:cs="Times New Roman"/>
          <w:sz w:val="24"/>
          <w:szCs w:val="24"/>
        </w:rPr>
        <w:t xml:space="preserve">formerly considered an efficient portfolio, construction of the mean-variance frontier would be at a max of the line produced by S&amp;P 500 and the Risk Free Rate, so in constructing a new mean-variance frontier, the best known expected returns and lowest standard deviations must be used, thus including “A”, and “B”. </w:t>
      </w:r>
      <w:r w:rsidR="00F51580">
        <w:rPr>
          <w:rFonts w:ascii="Times New Roman" w:hAnsi="Times New Roman" w:cs="Times New Roman"/>
          <w:sz w:val="24"/>
          <w:szCs w:val="24"/>
        </w:rPr>
        <w:t>Until another portfolio is found that satisfies both cases of maximizing expected returns and minimizing standard deviations, the positions of “A” and “B” would remain as efficient. “C,” while above</w:t>
      </w:r>
      <w:r w:rsidR="00ED4D8C">
        <w:rPr>
          <w:rFonts w:ascii="Times New Roman" w:hAnsi="Times New Roman" w:cs="Times New Roman"/>
          <w:sz w:val="24"/>
          <w:szCs w:val="24"/>
        </w:rPr>
        <w:t xml:space="preserve"> the mean-</w:t>
      </w:r>
      <w:r w:rsidR="00F51580">
        <w:rPr>
          <w:rFonts w:ascii="Times New Roman" w:hAnsi="Times New Roman" w:cs="Times New Roman"/>
          <w:sz w:val="24"/>
          <w:szCs w:val="24"/>
        </w:rPr>
        <w:t xml:space="preserve">variance frontier, offers a lower expected return than B while also possessing a higher standard deviation, so “C” can be considered a portfolio with </w:t>
      </w:r>
      <w:r w:rsidR="00C77BF2">
        <w:rPr>
          <w:rFonts w:ascii="Times New Roman" w:hAnsi="Times New Roman" w:cs="Times New Roman"/>
          <w:sz w:val="24"/>
          <w:szCs w:val="24"/>
        </w:rPr>
        <w:lastRenderedPageBreak/>
        <w:t>idiosyncratic risk, thus “C” is</w:t>
      </w:r>
      <w:r w:rsidR="00F51580">
        <w:rPr>
          <w:rFonts w:ascii="Times New Roman" w:hAnsi="Times New Roman" w:cs="Times New Roman"/>
          <w:sz w:val="24"/>
          <w:szCs w:val="24"/>
        </w:rPr>
        <w:t xml:space="preserve"> not along the efficient line of the mean-variance frontier. </w:t>
      </w:r>
      <w:r w:rsidR="00461A6F">
        <w:rPr>
          <w:rFonts w:ascii="Times New Roman" w:hAnsi="Times New Roman" w:cs="Times New Roman"/>
          <w:sz w:val="24"/>
          <w:szCs w:val="24"/>
        </w:rPr>
        <w:t xml:space="preserve">While performance exceeding the S&amp;P 500’s expected returns from 2007-2015 with lower standard deviation certainly highlights the strength of Lending Club portfolios of “A”, “B”, and “C”, a single time series from 2007-2015 is likely inappropriate for reconsideration of S&amp;P 500 as an efficient portfolio. A more realistic approach is to take into account the macroeconomic factors occurring during the time period. </w:t>
      </w:r>
    </w:p>
    <w:p w:rsidR="00C24C89" w:rsidRDefault="003B7C5E" w:rsidP="00C24C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3C3A">
        <w:rPr>
          <w:rFonts w:ascii="Times New Roman" w:hAnsi="Times New Roman" w:cs="Times New Roman"/>
          <w:sz w:val="24"/>
          <w:szCs w:val="24"/>
        </w:rPr>
        <w:t xml:space="preserve">2007-2008 in the global macroeconomic context was a period known as the “Great Recession,” and the data from S&amp;P 500 is a clear indication of such. The </w:t>
      </w:r>
      <w:r w:rsidR="000C0B05">
        <w:rPr>
          <w:rFonts w:ascii="Times New Roman" w:hAnsi="Times New Roman" w:cs="Times New Roman"/>
          <w:sz w:val="24"/>
          <w:szCs w:val="24"/>
        </w:rPr>
        <w:t xml:space="preserve">nominal </w:t>
      </w:r>
      <w:r w:rsidR="00713C3A">
        <w:rPr>
          <w:rFonts w:ascii="Times New Roman" w:hAnsi="Times New Roman" w:cs="Times New Roman"/>
          <w:sz w:val="24"/>
          <w:szCs w:val="24"/>
        </w:rPr>
        <w:t xml:space="preserve">returns for 2007 and 2008 </w:t>
      </w:r>
      <w:r w:rsidR="000C0B05">
        <w:rPr>
          <w:rFonts w:ascii="Times New Roman" w:hAnsi="Times New Roman" w:cs="Times New Roman"/>
          <w:sz w:val="24"/>
          <w:szCs w:val="24"/>
        </w:rPr>
        <w:t xml:space="preserve">from Table 4 </w:t>
      </w:r>
      <w:r w:rsidR="00713C3A">
        <w:rPr>
          <w:rFonts w:ascii="Times New Roman" w:hAnsi="Times New Roman" w:cs="Times New Roman"/>
          <w:sz w:val="24"/>
          <w:szCs w:val="24"/>
        </w:rPr>
        <w:t>were -17.4% and -22.3% respectively, and those values are significant enough to skew the expected returns for S&amp;P 500 to levels that are significantly lower than the overall average. Furthermore, S&amp;P 500 did not return back to 2007 values</w:t>
      </w:r>
      <w:r w:rsidR="000C0B05">
        <w:rPr>
          <w:rFonts w:ascii="Times New Roman" w:hAnsi="Times New Roman" w:cs="Times New Roman"/>
          <w:sz w:val="24"/>
          <w:szCs w:val="24"/>
        </w:rPr>
        <w:t xml:space="preserve"> of 1477.19</w:t>
      </w:r>
      <w:r w:rsidR="00713C3A">
        <w:rPr>
          <w:rFonts w:ascii="Times New Roman" w:hAnsi="Times New Roman" w:cs="Times New Roman"/>
          <w:sz w:val="24"/>
          <w:szCs w:val="24"/>
        </w:rPr>
        <w:t xml:space="preserve"> until sometime in 2013</w:t>
      </w:r>
      <w:r w:rsidR="000C0B05">
        <w:rPr>
          <w:rFonts w:ascii="Times New Roman" w:hAnsi="Times New Roman" w:cs="Times New Roman"/>
          <w:sz w:val="24"/>
          <w:szCs w:val="24"/>
        </w:rPr>
        <w:t xml:space="preserve"> as shown in Table 4</w:t>
      </w:r>
      <w:r w:rsidR="00713C3A">
        <w:rPr>
          <w:rFonts w:ascii="Times New Roman" w:hAnsi="Times New Roman" w:cs="Times New Roman"/>
          <w:sz w:val="24"/>
          <w:szCs w:val="24"/>
        </w:rPr>
        <w:t xml:space="preserve">. </w:t>
      </w:r>
      <w:r w:rsidR="00C24C89">
        <w:rPr>
          <w:rFonts w:ascii="Times New Roman" w:hAnsi="Times New Roman" w:cs="Times New Roman"/>
          <w:sz w:val="24"/>
          <w:szCs w:val="24"/>
        </w:rPr>
        <w:t xml:space="preserve">The </w:t>
      </w:r>
      <w:r w:rsidR="007122CA">
        <w:rPr>
          <w:rFonts w:ascii="Times New Roman" w:hAnsi="Times New Roman" w:cs="Times New Roman"/>
          <w:sz w:val="24"/>
          <w:szCs w:val="24"/>
        </w:rPr>
        <w:t>Great Recessi</w:t>
      </w:r>
      <w:r w:rsidR="00C24C89">
        <w:rPr>
          <w:rFonts w:ascii="Times New Roman" w:hAnsi="Times New Roman" w:cs="Times New Roman"/>
          <w:sz w:val="24"/>
          <w:szCs w:val="24"/>
        </w:rPr>
        <w:t>on</w:t>
      </w:r>
      <w:r w:rsidR="007122CA">
        <w:rPr>
          <w:rFonts w:ascii="Times New Roman" w:hAnsi="Times New Roman" w:cs="Times New Roman"/>
          <w:sz w:val="24"/>
          <w:szCs w:val="24"/>
        </w:rPr>
        <w:t xml:space="preserve"> serves as a powerful explanatory factor </w:t>
      </w:r>
      <w:r w:rsidR="00C24C89">
        <w:rPr>
          <w:rFonts w:ascii="Times New Roman" w:hAnsi="Times New Roman" w:cs="Times New Roman"/>
          <w:sz w:val="24"/>
          <w:szCs w:val="24"/>
        </w:rPr>
        <w:t>to keep</w:t>
      </w:r>
      <w:r w:rsidR="007122CA">
        <w:rPr>
          <w:rFonts w:ascii="Times New Roman" w:hAnsi="Times New Roman" w:cs="Times New Roman"/>
          <w:sz w:val="24"/>
          <w:szCs w:val="24"/>
        </w:rPr>
        <w:t xml:space="preserve"> S&amp;P 500</w:t>
      </w:r>
      <w:r w:rsidR="00C24C89">
        <w:rPr>
          <w:rFonts w:ascii="Times New Roman" w:hAnsi="Times New Roman" w:cs="Times New Roman"/>
          <w:sz w:val="24"/>
          <w:szCs w:val="24"/>
        </w:rPr>
        <w:t xml:space="preserve"> as an efficient portfolio because the event ultimately skewed the expected returns</w:t>
      </w:r>
      <w:r w:rsidR="007122CA">
        <w:rPr>
          <w:rFonts w:ascii="Times New Roman" w:hAnsi="Times New Roman" w:cs="Times New Roman"/>
          <w:sz w:val="24"/>
          <w:szCs w:val="24"/>
        </w:rPr>
        <w:t xml:space="preserve">; however, the overarching macroeconomic issue was not limited to an index fund such as S&amp;P 500. </w:t>
      </w:r>
      <w:r w:rsidR="005137DE">
        <w:rPr>
          <w:rFonts w:ascii="Times New Roman" w:hAnsi="Times New Roman" w:cs="Times New Roman"/>
          <w:sz w:val="24"/>
          <w:szCs w:val="24"/>
        </w:rPr>
        <w:t xml:space="preserve">Investments that are not considered hedges like gold will significantly drop in returns in a period of a recession. A reasonable assumption is that loans are not an investment that can be considered a hedge because ultimately repaying back a loan requires some sort of income </w:t>
      </w:r>
      <w:r w:rsidR="00C24C89">
        <w:rPr>
          <w:rFonts w:ascii="Times New Roman" w:hAnsi="Times New Roman" w:cs="Times New Roman"/>
          <w:sz w:val="24"/>
          <w:szCs w:val="24"/>
        </w:rPr>
        <w:t>which typically comes from a job</w:t>
      </w:r>
      <w:r w:rsidR="005137DE">
        <w:rPr>
          <w:rFonts w:ascii="Times New Roman" w:hAnsi="Times New Roman" w:cs="Times New Roman"/>
          <w:sz w:val="24"/>
          <w:szCs w:val="24"/>
        </w:rPr>
        <w:t xml:space="preserve">. During a macroeconomic crisis, jobs are significantly more valuable and less in quantity, so paying back a portion of a loan monthly is much more difficult if an individual is unemployed. </w:t>
      </w:r>
      <w:r w:rsidR="00D4111A">
        <w:rPr>
          <w:rFonts w:ascii="Times New Roman" w:hAnsi="Times New Roman" w:cs="Times New Roman"/>
          <w:sz w:val="24"/>
          <w:szCs w:val="24"/>
        </w:rPr>
        <w:t xml:space="preserve">Recognizing that the portfolios with grades “A” and “B” fared better overall than S&amp;P 500 despite facing the same macroeconomic conditions as S&amp;P 500 strengthens the argument that the portfolios are along the efficient mean-variance frontier line. </w:t>
      </w:r>
      <w:r w:rsidR="00C24C89">
        <w:rPr>
          <w:rFonts w:ascii="Times New Roman" w:hAnsi="Times New Roman" w:cs="Times New Roman"/>
          <w:sz w:val="24"/>
          <w:szCs w:val="24"/>
        </w:rPr>
        <w:t xml:space="preserve">Data does not exist for a world without the Great Recession, but logically, </w:t>
      </w:r>
      <w:r w:rsidR="00C24C89">
        <w:rPr>
          <w:rFonts w:ascii="Times New Roman" w:hAnsi="Times New Roman" w:cs="Times New Roman"/>
          <w:sz w:val="24"/>
          <w:szCs w:val="24"/>
        </w:rPr>
        <w:lastRenderedPageBreak/>
        <w:t xml:space="preserve">the portfolios are less likely to default because without the overarching macroeconomic issues, individuals would be more likely to hold a job and borrow loans that can be repaid back. </w:t>
      </w:r>
      <w:r w:rsidR="00BE5BA0">
        <w:rPr>
          <w:rFonts w:ascii="Times New Roman" w:hAnsi="Times New Roman" w:cs="Times New Roman"/>
          <w:sz w:val="24"/>
          <w:szCs w:val="24"/>
        </w:rPr>
        <w:t xml:space="preserve">The expected returns and standard deviations for the portfolios would be different </w:t>
      </w:r>
      <w:r w:rsidR="00C24C89">
        <w:rPr>
          <w:rFonts w:ascii="Times New Roman" w:hAnsi="Times New Roman" w:cs="Times New Roman"/>
          <w:sz w:val="24"/>
          <w:szCs w:val="24"/>
        </w:rPr>
        <w:t xml:space="preserve">than what current data suggests, but the expected returns would be higher and standard deviations lower. Ultimately, “A” and “B” would have a position along the efficient mean-variance frontier line because the </w:t>
      </w:r>
      <w:r w:rsidR="003E03DD">
        <w:rPr>
          <w:rFonts w:ascii="Times New Roman" w:hAnsi="Times New Roman" w:cs="Times New Roman"/>
          <w:sz w:val="24"/>
          <w:szCs w:val="24"/>
        </w:rPr>
        <w:t>current expected returns and standard deviations are better than an efficient portfolio, so the readjusted increased expected returns and decreased standard deviation would fall in line with the efficient portfolio when a global macroeconomic issue does not occur.</w:t>
      </w:r>
    </w:p>
    <w:p w:rsidR="003E03DD" w:rsidRDefault="003E03DD" w:rsidP="00C24C8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original claim argued that all Lending Club portfolios would be along the mean-variance frontier; however, the portfolios that could be argued being along the efficient line for the mean-variance frontier are “A” and “B”. The other portfolios of “C”, “D”, “E”, “F”, and “G” would likely not maintain a portfolio along the efficient mean-variance frontier line whether because of idiosyncratic risk or because of the information in Figure 2 that suggests that even in comparison to a skewed S&amp;P 500, the portfolios do not exceed the efficient line. </w:t>
      </w:r>
    </w:p>
    <w:p w:rsidR="00C073E2" w:rsidRDefault="00C073E2" w:rsidP="002B4ED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2B4ED6" w:rsidRDefault="00C073E2" w:rsidP="0046495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7359">
        <w:rPr>
          <w:rFonts w:ascii="Times New Roman" w:hAnsi="Times New Roman" w:cs="Times New Roman"/>
          <w:sz w:val="24"/>
          <w:szCs w:val="24"/>
        </w:rPr>
        <w:t>The paper examined Lending Club loans as an aggregate with respect to each grade as a portfolio to determine the positions along th</w:t>
      </w:r>
      <w:r w:rsidR="00ED4D8C">
        <w:rPr>
          <w:rFonts w:ascii="Times New Roman" w:hAnsi="Times New Roman" w:cs="Times New Roman"/>
          <w:sz w:val="24"/>
          <w:szCs w:val="24"/>
        </w:rPr>
        <w:t>e mean-</w:t>
      </w:r>
      <w:r w:rsidR="00FB7359">
        <w:rPr>
          <w:rFonts w:ascii="Times New Roman" w:hAnsi="Times New Roman" w:cs="Times New Roman"/>
          <w:sz w:val="24"/>
          <w:szCs w:val="24"/>
        </w:rPr>
        <w:t xml:space="preserve">variance frontier. </w:t>
      </w:r>
      <w:r w:rsidR="00ED4D8C">
        <w:rPr>
          <w:rFonts w:ascii="Times New Roman" w:hAnsi="Times New Roman" w:cs="Times New Roman"/>
          <w:sz w:val="24"/>
          <w:szCs w:val="24"/>
        </w:rPr>
        <w:t>Empirical analysis presents portfolios “A” and “B” along the mean-variance frontier, partially supporting the claim that Lending Club portfolios are within the mean-variance frontier; “C”, “D”, “E”, “F”, and “G” were all found to not be along the mean-variance frontier. Investors that are deciding on particular investment choices can utilize this information to invest in “A” and “B” portfolios and be reassured that the investment choice is optimal even when accounting for the existence of the portfolios outside mean-variance frontier in Figure 2 and broa</w:t>
      </w:r>
      <w:r w:rsidR="00011A5A">
        <w:rPr>
          <w:rFonts w:ascii="Times New Roman" w:hAnsi="Times New Roman" w:cs="Times New Roman"/>
          <w:sz w:val="24"/>
          <w:szCs w:val="24"/>
        </w:rPr>
        <w:t xml:space="preserve">der macroeconomic conditions. A </w:t>
      </w:r>
      <w:r w:rsidR="00011A5A">
        <w:rPr>
          <w:rFonts w:ascii="Times New Roman" w:hAnsi="Times New Roman" w:cs="Times New Roman"/>
          <w:sz w:val="24"/>
          <w:szCs w:val="24"/>
        </w:rPr>
        <w:lastRenderedPageBreak/>
        <w:t xml:space="preserve">future direction for the research regarding contextualization of Lending Club portfolios along the mean-variance frontier can involve examining whether the portfolios are a hedging asset. If Lending Club is not a hedging asset, then the research conducted in this paper would be reinforced regarding the position of “A” and “B” as part of the mean-variance frontier. Another </w:t>
      </w:r>
      <w:r w:rsidR="00ED4D8C">
        <w:rPr>
          <w:rFonts w:ascii="Times New Roman" w:hAnsi="Times New Roman" w:cs="Times New Roman"/>
          <w:sz w:val="24"/>
          <w:szCs w:val="24"/>
        </w:rPr>
        <w:t xml:space="preserve">future direction for research </w:t>
      </w:r>
      <w:r w:rsidR="00011A5A">
        <w:rPr>
          <w:rFonts w:ascii="Times New Roman" w:hAnsi="Times New Roman" w:cs="Times New Roman"/>
          <w:sz w:val="24"/>
          <w:szCs w:val="24"/>
        </w:rPr>
        <w:t xml:space="preserve">is to perform a case study to examine Lending Club portfolios created using Lending Club’s algorithmic generation of notes to invest in. With algorithmic generation through Lending Club, is it worthwhile for the investor to use the algorithm as a source to invest in. </w:t>
      </w:r>
      <w:r w:rsidR="00D51822">
        <w:rPr>
          <w:rFonts w:ascii="Times New Roman" w:hAnsi="Times New Roman" w:cs="Times New Roman"/>
          <w:sz w:val="24"/>
          <w:szCs w:val="24"/>
        </w:rPr>
        <w:t xml:space="preserve">Lending Club is a new, rich resource to investigate economic questions. </w:t>
      </w:r>
    </w:p>
    <w:p w:rsidR="009A5240" w:rsidRDefault="009A5240"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3E03DD" w:rsidRDefault="003E03DD" w:rsidP="00464955">
      <w:pPr>
        <w:spacing w:after="0" w:line="480" w:lineRule="auto"/>
        <w:rPr>
          <w:rFonts w:ascii="Times New Roman" w:hAnsi="Times New Roman" w:cs="Times New Roman"/>
          <w:sz w:val="24"/>
          <w:szCs w:val="24"/>
        </w:rPr>
      </w:pPr>
    </w:p>
    <w:p w:rsidR="002B4ED6" w:rsidRDefault="002B4ED6" w:rsidP="002B4ED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2B4ED6" w:rsidRDefault="002B4ED6" w:rsidP="004649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2B4ED6">
        <w:rPr>
          <w:rFonts w:ascii="Times New Roman" w:hAnsi="Times New Roman" w:cs="Times New Roman"/>
          <w:sz w:val="24"/>
          <w:szCs w:val="24"/>
        </w:rPr>
        <w:t>Lending Club Data Summary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rsidR="002B4ED6" w:rsidRPr="002B4ED6" w:rsidRDefault="002B4ED6" w:rsidP="002B4ED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2: </w:t>
      </w:r>
      <w:r w:rsidRPr="002B4ED6">
        <w:rPr>
          <w:rFonts w:ascii="Times New Roman" w:hAnsi="Times New Roman" w:cs="Times New Roman"/>
          <w:sz w:val="24"/>
          <w:szCs w:val="24"/>
        </w:rPr>
        <w:t>Interest Rate Breakdown</w:t>
      </w:r>
      <w:r>
        <w:rPr>
          <w:rFonts w:ascii="Times New Roman" w:hAnsi="Times New Roman" w:cs="Times New Roman"/>
          <w:sz w:val="24"/>
          <w:szCs w:val="24"/>
        </w:rPr>
        <w:t>.……...………………………………………………………...4</w:t>
      </w:r>
    </w:p>
    <w:p w:rsidR="002B4ED6" w:rsidRPr="002B4ED6" w:rsidRDefault="002B4ED6" w:rsidP="002B4ED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3: </w:t>
      </w:r>
      <w:r w:rsidRPr="002B4ED6">
        <w:rPr>
          <w:rFonts w:ascii="Times New Roman" w:hAnsi="Times New Roman" w:cs="Times New Roman"/>
          <w:sz w:val="24"/>
          <w:szCs w:val="24"/>
        </w:rPr>
        <w:t>Actual Interest Rate Descriptive Statistics</w:t>
      </w:r>
      <w:r>
        <w:rPr>
          <w:rFonts w:ascii="Times New Roman" w:hAnsi="Times New Roman" w:cs="Times New Roman"/>
          <w:sz w:val="24"/>
          <w:szCs w:val="24"/>
        </w:rPr>
        <w:t>………………………………………………5</w:t>
      </w:r>
    </w:p>
    <w:p w:rsidR="002B4ED6" w:rsidRPr="002B4ED6" w:rsidRDefault="002B4ED6" w:rsidP="002B4ED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Table 4: </w:t>
      </w:r>
      <w:r w:rsidRPr="002B4ED6">
        <w:rPr>
          <w:rFonts w:ascii="Times New Roman" w:hAnsi="Times New Roman" w:cs="Times New Roman"/>
          <w:sz w:val="24"/>
          <w:szCs w:val="24"/>
        </w:rPr>
        <w:t>Values for CPI, 3 Month T-Bill, and S&amp;P 500</w:t>
      </w:r>
      <w:r>
        <w:rPr>
          <w:rFonts w:ascii="Times New Roman" w:hAnsi="Times New Roman" w:cs="Times New Roman"/>
          <w:sz w:val="24"/>
          <w:szCs w:val="24"/>
        </w:rPr>
        <w:t>………………………………………….6</w:t>
      </w:r>
    </w:p>
    <w:p w:rsidR="002B4ED6" w:rsidRPr="002B4ED6" w:rsidRDefault="002B4ED6" w:rsidP="002B4ED6">
      <w:pPr>
        <w:spacing w:after="0" w:line="480" w:lineRule="auto"/>
        <w:rPr>
          <w:rFonts w:ascii="Times New Roman" w:hAnsi="Times New Roman" w:cs="Times New Roman"/>
          <w:sz w:val="24"/>
          <w:szCs w:val="24"/>
        </w:rPr>
      </w:pPr>
      <w:r>
        <w:rPr>
          <w:rFonts w:ascii="Times New Roman" w:hAnsi="Times New Roman" w:cs="Times New Roman"/>
          <w:sz w:val="24"/>
          <w:szCs w:val="24"/>
        </w:rPr>
        <w:t>Table 5: Portfolio Assets Expected.…….………………………………………………………...7</w:t>
      </w:r>
    </w:p>
    <w:p w:rsidR="002B4ED6" w:rsidRDefault="00CA39CE" w:rsidP="00CA39C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List of Figures</w:t>
      </w:r>
    </w:p>
    <w:p w:rsidR="00CA39CE" w:rsidRDefault="00CA39CE" w:rsidP="00CA39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CA39CE">
        <w:rPr>
          <w:rFonts w:ascii="Times New Roman" w:hAnsi="Times New Roman" w:cs="Times New Roman"/>
          <w:sz w:val="24"/>
          <w:szCs w:val="24"/>
        </w:rPr>
        <w:t>Algorithm for Determining Actual Interest Rate</w:t>
      </w:r>
      <w:r>
        <w:rPr>
          <w:rFonts w:ascii="Times New Roman" w:hAnsi="Times New Roman" w:cs="Times New Roman"/>
          <w:sz w:val="24"/>
          <w:szCs w:val="24"/>
        </w:rPr>
        <w:t>……………………………………….5</w:t>
      </w:r>
    </w:p>
    <w:p w:rsidR="00CA39CE" w:rsidRDefault="00CA39CE" w:rsidP="00CA39C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CA39CE">
        <w:rPr>
          <w:rFonts w:ascii="Times New Roman" w:hAnsi="Times New Roman" w:cs="Times New Roman"/>
          <w:sz w:val="24"/>
          <w:szCs w:val="24"/>
        </w:rPr>
        <w:t>Mean-Variance Frontier 2007-2015</w:t>
      </w:r>
      <w:r>
        <w:rPr>
          <w:rFonts w:ascii="Times New Roman" w:hAnsi="Times New Roman" w:cs="Times New Roman"/>
          <w:sz w:val="24"/>
          <w:szCs w:val="24"/>
        </w:rPr>
        <w:t>……………………………………………………8</w:t>
      </w:r>
    </w:p>
    <w:p w:rsidR="00A1779A" w:rsidRDefault="00A1779A"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594BF3" w:rsidRDefault="00594BF3" w:rsidP="00CA39CE">
      <w:pPr>
        <w:spacing w:after="0" w:line="480" w:lineRule="auto"/>
        <w:rPr>
          <w:rFonts w:ascii="Times New Roman" w:hAnsi="Times New Roman" w:cs="Times New Roman"/>
          <w:sz w:val="24"/>
          <w:szCs w:val="24"/>
        </w:rPr>
      </w:pPr>
    </w:p>
    <w:p w:rsidR="00A1779A" w:rsidRDefault="00A1779A" w:rsidP="00A1779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A1779A" w:rsidRDefault="00A1779A" w:rsidP="00A1779A">
      <w:pPr>
        <w:spacing w:after="0" w:line="480" w:lineRule="auto"/>
        <w:rPr>
          <w:rFonts w:ascii="Times New Roman" w:hAnsi="Times New Roman" w:cs="Times New Roman"/>
          <w:sz w:val="24"/>
          <w:szCs w:val="24"/>
        </w:rPr>
        <w:sectPr w:rsidR="00A1779A">
          <w:headerReference w:type="default" r:id="rId8"/>
          <w:pgSz w:w="12240" w:h="15840"/>
          <w:pgMar w:top="1440" w:right="1440" w:bottom="1440" w:left="1440" w:header="720" w:footer="720" w:gutter="0"/>
          <w:cols w:space="720"/>
          <w:docGrid w:linePitch="360"/>
        </w:sectPr>
      </w:pPr>
    </w:p>
    <w:p w:rsidR="00F53E9D" w:rsidRPr="009A5240" w:rsidRDefault="00F53E9D" w:rsidP="00A177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Cochrane, John H. (2000) </w:t>
      </w:r>
      <w:r w:rsidRPr="00F53E9D">
        <w:rPr>
          <w:rFonts w:ascii="Times New Roman" w:hAnsi="Times New Roman" w:cs="Times New Roman"/>
          <w:i/>
          <w:sz w:val="24"/>
          <w:szCs w:val="24"/>
        </w:rPr>
        <w:t>Asset Pricing</w:t>
      </w:r>
      <w:r w:rsidR="009A5240">
        <w:rPr>
          <w:rFonts w:ascii="Times New Roman" w:hAnsi="Times New Roman" w:cs="Times New Roman"/>
          <w:sz w:val="24"/>
          <w:szCs w:val="24"/>
        </w:rPr>
        <w:t xml:space="preserve">, </w:t>
      </w:r>
      <w:r w:rsidR="009A5240" w:rsidRPr="009A5240">
        <w:rPr>
          <w:rFonts w:ascii="Times New Roman" w:hAnsi="Times New Roman" w:cs="Times New Roman"/>
          <w:sz w:val="24"/>
          <w:szCs w:val="24"/>
        </w:rPr>
        <w:t xml:space="preserve">Princeton </w:t>
      </w:r>
      <w:r w:rsidR="009A5240">
        <w:rPr>
          <w:rFonts w:ascii="Times New Roman" w:hAnsi="Times New Roman" w:cs="Times New Roman"/>
          <w:sz w:val="24"/>
          <w:szCs w:val="24"/>
        </w:rPr>
        <w:t>Univer</w:t>
      </w:r>
      <w:r w:rsidR="00C77BF2">
        <w:rPr>
          <w:rFonts w:ascii="Times New Roman" w:hAnsi="Times New Roman" w:cs="Times New Roman"/>
          <w:sz w:val="24"/>
          <w:szCs w:val="24"/>
        </w:rPr>
        <w:t>sity Press, Princeton, NJ. 8,26-28</w:t>
      </w:r>
    </w:p>
    <w:p w:rsidR="00CE39CE" w:rsidRPr="00CE39CE" w:rsidRDefault="00CE39CE" w:rsidP="00A177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Mankiw, Gregory. (2009) </w:t>
      </w:r>
      <w:r>
        <w:rPr>
          <w:rFonts w:ascii="Times New Roman" w:hAnsi="Times New Roman" w:cs="Times New Roman"/>
          <w:i/>
          <w:sz w:val="24"/>
          <w:szCs w:val="24"/>
        </w:rPr>
        <w:t>Principles of Macroeconomics</w:t>
      </w:r>
      <w:r>
        <w:rPr>
          <w:rFonts w:ascii="Times New Roman" w:hAnsi="Times New Roman" w:cs="Times New Roman"/>
          <w:sz w:val="24"/>
          <w:szCs w:val="24"/>
        </w:rPr>
        <w:t xml:space="preserve">, South-Western Cengage Learning, Mason, OH. </w:t>
      </w:r>
      <w:r w:rsidR="007142FE">
        <w:rPr>
          <w:rFonts w:ascii="Times New Roman" w:hAnsi="Times New Roman" w:cs="Times New Roman"/>
          <w:sz w:val="24"/>
          <w:szCs w:val="24"/>
        </w:rPr>
        <w:t xml:space="preserve">219, </w:t>
      </w:r>
      <w:r>
        <w:rPr>
          <w:rFonts w:ascii="Times New Roman" w:hAnsi="Times New Roman" w:cs="Times New Roman"/>
          <w:sz w:val="24"/>
          <w:szCs w:val="24"/>
        </w:rPr>
        <w:t>359.</w:t>
      </w:r>
    </w:p>
    <w:p w:rsidR="00552FE1" w:rsidRDefault="00A1779A" w:rsidP="00A1779A">
      <w:pPr>
        <w:spacing w:after="0" w:line="480" w:lineRule="auto"/>
        <w:rPr>
          <w:rFonts w:ascii="Times New Roman" w:hAnsi="Times New Roman" w:cs="Times New Roman"/>
          <w:sz w:val="24"/>
          <w:szCs w:val="24"/>
        </w:rPr>
      </w:pPr>
      <w:r w:rsidRPr="00A1779A">
        <w:rPr>
          <w:rFonts w:ascii="Times New Roman" w:hAnsi="Times New Roman" w:cs="Times New Roman"/>
          <w:sz w:val="24"/>
          <w:szCs w:val="24"/>
        </w:rPr>
        <w:t>Markowitz, H</w:t>
      </w:r>
      <w:r>
        <w:rPr>
          <w:rFonts w:ascii="Times New Roman" w:hAnsi="Times New Roman" w:cs="Times New Roman"/>
          <w:sz w:val="24"/>
          <w:szCs w:val="24"/>
        </w:rPr>
        <w:t xml:space="preserve">arry.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w:t>
      </w:r>
      <w:r w:rsidRPr="00A1779A">
        <w:rPr>
          <w:rFonts w:ascii="Times New Roman" w:hAnsi="Times New Roman" w:cs="Times New Roman"/>
          <w:b/>
          <w:sz w:val="24"/>
          <w:szCs w:val="24"/>
        </w:rPr>
        <w:t>7</w:t>
      </w:r>
      <w:r>
        <w:rPr>
          <w:rFonts w:ascii="Times New Roman" w:hAnsi="Times New Roman" w:cs="Times New Roman"/>
          <w:sz w:val="24"/>
          <w:szCs w:val="24"/>
        </w:rPr>
        <w:t>: 77-91</w:t>
      </w:r>
      <w:r w:rsidR="00552FE1">
        <w:rPr>
          <w:rFonts w:ascii="Times New Roman" w:hAnsi="Times New Roman" w:cs="Times New Roman"/>
          <w:sz w:val="24"/>
          <w:szCs w:val="24"/>
        </w:rPr>
        <w:t>.</w:t>
      </w:r>
    </w:p>
    <w:p w:rsidR="00552FE1" w:rsidRDefault="00552FE1" w:rsidP="00A177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Williams, Burr. (1938) </w:t>
      </w:r>
      <w:r>
        <w:rPr>
          <w:rFonts w:ascii="Times New Roman" w:hAnsi="Times New Roman" w:cs="Times New Roman"/>
          <w:i/>
          <w:sz w:val="24"/>
          <w:szCs w:val="24"/>
        </w:rPr>
        <w:t>The Theory of Investment Values</w:t>
      </w:r>
      <w:r>
        <w:rPr>
          <w:rFonts w:ascii="Times New Roman" w:hAnsi="Times New Roman" w:cs="Times New Roman"/>
          <w:sz w:val="24"/>
          <w:szCs w:val="24"/>
        </w:rPr>
        <w:t>, 6.</w:t>
      </w:r>
    </w:p>
    <w:p w:rsidR="0085259F" w:rsidRDefault="0085259F" w:rsidP="00A1779A">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Zha</w:t>
      </w:r>
      <w:proofErr w:type="spellEnd"/>
      <w:r>
        <w:rPr>
          <w:rFonts w:ascii="Times New Roman" w:hAnsi="Times New Roman" w:cs="Times New Roman"/>
          <w:sz w:val="24"/>
          <w:szCs w:val="24"/>
        </w:rPr>
        <w:t xml:space="preserve">, Tao. (2016) </w:t>
      </w:r>
      <w:r>
        <w:rPr>
          <w:rFonts w:ascii="Times New Roman" w:hAnsi="Times New Roman" w:cs="Times New Roman"/>
          <w:i/>
          <w:sz w:val="24"/>
          <w:szCs w:val="24"/>
        </w:rPr>
        <w:t>Asset Pricing</w:t>
      </w:r>
      <w:r>
        <w:rPr>
          <w:rFonts w:ascii="Times New Roman" w:hAnsi="Times New Roman" w:cs="Times New Roman"/>
          <w:sz w:val="24"/>
          <w:szCs w:val="24"/>
        </w:rPr>
        <w:t>. ECON 410W. Lecture.</w:t>
      </w:r>
    </w:p>
    <w:p w:rsidR="00594BF3" w:rsidRPr="00594BF3" w:rsidRDefault="00594BF3" w:rsidP="00A177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(2016). </w:t>
      </w:r>
      <w:r w:rsidRPr="00594BF3">
        <w:rPr>
          <w:rFonts w:ascii="Times New Roman" w:hAnsi="Times New Roman" w:cs="Times New Roman"/>
          <w:sz w:val="24"/>
          <w:szCs w:val="24"/>
        </w:rPr>
        <w:t>Inflation FAQ</w:t>
      </w:r>
      <w:r>
        <w:rPr>
          <w:rFonts w:ascii="Times New Roman" w:hAnsi="Times New Roman" w:cs="Times New Roman"/>
          <w:sz w:val="24"/>
          <w:szCs w:val="24"/>
        </w:rPr>
        <w:t xml:space="preserve">. </w:t>
      </w:r>
      <w:r>
        <w:rPr>
          <w:rFonts w:ascii="Times New Roman" w:hAnsi="Times New Roman" w:cs="Times New Roman"/>
          <w:i/>
          <w:sz w:val="24"/>
          <w:szCs w:val="24"/>
        </w:rPr>
        <w:t>US Inflation Calculator</w:t>
      </w:r>
    </w:p>
    <w:p w:rsidR="00594BF3" w:rsidRPr="00594BF3" w:rsidRDefault="00594BF3" w:rsidP="00A1779A">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(2015). Lending Club Statistics. </w:t>
      </w:r>
      <w:r>
        <w:rPr>
          <w:rFonts w:ascii="Times New Roman" w:hAnsi="Times New Roman" w:cs="Times New Roman"/>
          <w:i/>
          <w:sz w:val="24"/>
          <w:szCs w:val="24"/>
        </w:rPr>
        <w:t>Le</w:t>
      </w:r>
      <w:r>
        <w:rPr>
          <w:rFonts w:ascii="Times New Roman" w:hAnsi="Times New Roman" w:cs="Times New Roman"/>
          <w:i/>
          <w:sz w:val="24"/>
          <w:szCs w:val="24"/>
        </w:rPr>
        <w:t>nding Club</w:t>
      </w:r>
    </w:p>
    <w:p w:rsidR="00594BF3" w:rsidRPr="00594BF3" w:rsidRDefault="00594BF3" w:rsidP="00A1779A">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(2016). Total Loan Cost Calculator. </w:t>
      </w:r>
      <w:proofErr w:type="spellStart"/>
      <w:r>
        <w:rPr>
          <w:rFonts w:ascii="Times New Roman" w:hAnsi="Times New Roman" w:cs="Times New Roman"/>
          <w:i/>
          <w:sz w:val="24"/>
          <w:szCs w:val="24"/>
        </w:rPr>
        <w:t>CalcuNation</w:t>
      </w:r>
      <w:proofErr w:type="spellEnd"/>
    </w:p>
    <w:p w:rsidR="00F53E9D" w:rsidRPr="00F53E9D" w:rsidRDefault="00594BF3" w:rsidP="00A1779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53E9D">
        <w:rPr>
          <w:rFonts w:ascii="Times New Roman" w:hAnsi="Times New Roman" w:cs="Times New Roman"/>
          <w:sz w:val="24"/>
          <w:szCs w:val="24"/>
        </w:rPr>
        <w:t xml:space="preserve">(2010). </w:t>
      </w:r>
      <w:r w:rsidR="00F53E9D" w:rsidRPr="00F53E9D">
        <w:rPr>
          <w:rFonts w:ascii="Times New Roman" w:hAnsi="Times New Roman" w:cs="Times New Roman"/>
          <w:sz w:val="24"/>
          <w:szCs w:val="24"/>
        </w:rPr>
        <w:t>US Business Cycle Expansion and Contractions</w:t>
      </w:r>
      <w:r w:rsidR="00F53E9D">
        <w:rPr>
          <w:rFonts w:ascii="Times New Roman" w:hAnsi="Times New Roman" w:cs="Times New Roman"/>
          <w:sz w:val="24"/>
          <w:szCs w:val="24"/>
        </w:rPr>
        <w:t xml:space="preserve">. </w:t>
      </w:r>
      <w:r w:rsidR="00F53E9D">
        <w:rPr>
          <w:rFonts w:ascii="Times New Roman" w:hAnsi="Times New Roman" w:cs="Times New Roman"/>
          <w:i/>
          <w:sz w:val="24"/>
          <w:szCs w:val="24"/>
        </w:rPr>
        <w:t>NBER</w:t>
      </w:r>
      <w:r w:rsidR="00F53E9D">
        <w:rPr>
          <w:rFonts w:ascii="Times New Roman" w:hAnsi="Times New Roman" w:cs="Times New Roman"/>
          <w:sz w:val="24"/>
          <w:szCs w:val="24"/>
        </w:rPr>
        <w:t xml:space="preserve">. </w:t>
      </w:r>
    </w:p>
    <w:sectPr w:rsidR="00F53E9D" w:rsidRPr="00F53E9D" w:rsidSect="00552FE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70B" w:rsidRDefault="0098370B" w:rsidP="005E5129">
      <w:pPr>
        <w:spacing w:after="0" w:line="240" w:lineRule="auto"/>
      </w:pPr>
      <w:r>
        <w:separator/>
      </w:r>
    </w:p>
  </w:endnote>
  <w:endnote w:type="continuationSeparator" w:id="0">
    <w:p w:rsidR="0098370B" w:rsidRDefault="0098370B" w:rsidP="005E5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70B" w:rsidRDefault="0098370B" w:rsidP="005E5129">
      <w:pPr>
        <w:spacing w:after="0" w:line="240" w:lineRule="auto"/>
      </w:pPr>
      <w:r>
        <w:separator/>
      </w:r>
    </w:p>
  </w:footnote>
  <w:footnote w:type="continuationSeparator" w:id="0">
    <w:p w:rsidR="0098370B" w:rsidRDefault="0098370B" w:rsidP="005E5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315" w:rsidRDefault="00E83315">
    <w:pPr>
      <w:pStyle w:val="Header"/>
      <w:jc w:val="right"/>
    </w:pPr>
    <w:r>
      <w:t xml:space="preserve">Wang </w:t>
    </w:r>
    <w:sdt>
      <w:sdtPr>
        <w:id w:val="-20794332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53408">
          <w:rPr>
            <w:noProof/>
          </w:rPr>
          <w:t>8</w:t>
        </w:r>
        <w:r>
          <w:rPr>
            <w:noProof/>
          </w:rPr>
          <w:fldChar w:fldCharType="end"/>
        </w:r>
      </w:sdtContent>
    </w:sdt>
  </w:p>
  <w:p w:rsidR="00E83315" w:rsidRDefault="00E833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9F"/>
    <w:rsid w:val="0001065B"/>
    <w:rsid w:val="00011A5A"/>
    <w:rsid w:val="00060858"/>
    <w:rsid w:val="000C0B05"/>
    <w:rsid w:val="00104B7D"/>
    <w:rsid w:val="00180FDF"/>
    <w:rsid w:val="00192D50"/>
    <w:rsid w:val="001A7F88"/>
    <w:rsid w:val="001C75FD"/>
    <w:rsid w:val="001F295E"/>
    <w:rsid w:val="002269D9"/>
    <w:rsid w:val="002535F3"/>
    <w:rsid w:val="00282474"/>
    <w:rsid w:val="00294660"/>
    <w:rsid w:val="002A08D5"/>
    <w:rsid w:val="002A4B4E"/>
    <w:rsid w:val="002B4ED6"/>
    <w:rsid w:val="002C3861"/>
    <w:rsid w:val="0032557F"/>
    <w:rsid w:val="00336DDD"/>
    <w:rsid w:val="00357364"/>
    <w:rsid w:val="00362111"/>
    <w:rsid w:val="003B7C5E"/>
    <w:rsid w:val="003D09E8"/>
    <w:rsid w:val="003E03DD"/>
    <w:rsid w:val="004177C0"/>
    <w:rsid w:val="0042194A"/>
    <w:rsid w:val="00443DA7"/>
    <w:rsid w:val="00451A22"/>
    <w:rsid w:val="004567BE"/>
    <w:rsid w:val="00461A6F"/>
    <w:rsid w:val="00464955"/>
    <w:rsid w:val="00464C2B"/>
    <w:rsid w:val="004715F0"/>
    <w:rsid w:val="004A0FBC"/>
    <w:rsid w:val="004F27C4"/>
    <w:rsid w:val="005137DE"/>
    <w:rsid w:val="00523D66"/>
    <w:rsid w:val="00552FE1"/>
    <w:rsid w:val="00567186"/>
    <w:rsid w:val="00577FD3"/>
    <w:rsid w:val="00581F53"/>
    <w:rsid w:val="00594BF3"/>
    <w:rsid w:val="005A1EEC"/>
    <w:rsid w:val="005B00FC"/>
    <w:rsid w:val="005C1CBE"/>
    <w:rsid w:val="005C73F7"/>
    <w:rsid w:val="005C7C9F"/>
    <w:rsid w:val="005D1148"/>
    <w:rsid w:val="005D2A42"/>
    <w:rsid w:val="005E5129"/>
    <w:rsid w:val="005E5435"/>
    <w:rsid w:val="00601189"/>
    <w:rsid w:val="006061B0"/>
    <w:rsid w:val="00644677"/>
    <w:rsid w:val="0064644E"/>
    <w:rsid w:val="0069047B"/>
    <w:rsid w:val="007122CA"/>
    <w:rsid w:val="00713C3A"/>
    <w:rsid w:val="007142FE"/>
    <w:rsid w:val="00755E0F"/>
    <w:rsid w:val="0076234C"/>
    <w:rsid w:val="007751E2"/>
    <w:rsid w:val="00786387"/>
    <w:rsid w:val="007A74FC"/>
    <w:rsid w:val="007F6D87"/>
    <w:rsid w:val="0083075E"/>
    <w:rsid w:val="00843381"/>
    <w:rsid w:val="0085259F"/>
    <w:rsid w:val="00864C22"/>
    <w:rsid w:val="0086609F"/>
    <w:rsid w:val="00895CA1"/>
    <w:rsid w:val="008A1574"/>
    <w:rsid w:val="008F79B5"/>
    <w:rsid w:val="009060DC"/>
    <w:rsid w:val="0098370B"/>
    <w:rsid w:val="009A5240"/>
    <w:rsid w:val="009A7767"/>
    <w:rsid w:val="009C1152"/>
    <w:rsid w:val="009C1627"/>
    <w:rsid w:val="009C6768"/>
    <w:rsid w:val="00A1779A"/>
    <w:rsid w:val="00A722EC"/>
    <w:rsid w:val="00A811CA"/>
    <w:rsid w:val="00A9561B"/>
    <w:rsid w:val="00AA4B46"/>
    <w:rsid w:val="00AA6B75"/>
    <w:rsid w:val="00AB69C1"/>
    <w:rsid w:val="00BA38C8"/>
    <w:rsid w:val="00BB57CB"/>
    <w:rsid w:val="00BB7AE9"/>
    <w:rsid w:val="00BC2644"/>
    <w:rsid w:val="00BC7764"/>
    <w:rsid w:val="00BD6B0F"/>
    <w:rsid w:val="00BE5BA0"/>
    <w:rsid w:val="00BF0507"/>
    <w:rsid w:val="00BF415A"/>
    <w:rsid w:val="00C00A55"/>
    <w:rsid w:val="00C073E2"/>
    <w:rsid w:val="00C23167"/>
    <w:rsid w:val="00C24C89"/>
    <w:rsid w:val="00C467E6"/>
    <w:rsid w:val="00C5441D"/>
    <w:rsid w:val="00C63E21"/>
    <w:rsid w:val="00C77BF2"/>
    <w:rsid w:val="00C87FAA"/>
    <w:rsid w:val="00C912A0"/>
    <w:rsid w:val="00CA39CE"/>
    <w:rsid w:val="00CE39CE"/>
    <w:rsid w:val="00CF1CDD"/>
    <w:rsid w:val="00D40DC7"/>
    <w:rsid w:val="00D4111A"/>
    <w:rsid w:val="00D51822"/>
    <w:rsid w:val="00D53408"/>
    <w:rsid w:val="00DA4BF2"/>
    <w:rsid w:val="00DE42A4"/>
    <w:rsid w:val="00DE559C"/>
    <w:rsid w:val="00DE681A"/>
    <w:rsid w:val="00E3376A"/>
    <w:rsid w:val="00E3468D"/>
    <w:rsid w:val="00E60259"/>
    <w:rsid w:val="00E76DC5"/>
    <w:rsid w:val="00E83315"/>
    <w:rsid w:val="00EC7B6C"/>
    <w:rsid w:val="00ED4D8C"/>
    <w:rsid w:val="00F00C2B"/>
    <w:rsid w:val="00F01F8F"/>
    <w:rsid w:val="00F51580"/>
    <w:rsid w:val="00F53E9D"/>
    <w:rsid w:val="00F8446E"/>
    <w:rsid w:val="00FB35AB"/>
    <w:rsid w:val="00FB7359"/>
    <w:rsid w:val="00FD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2C5F"/>
  <w15:chartTrackingRefBased/>
  <w15:docId w15:val="{1F802774-B534-4FE1-9A84-91FAF700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129"/>
  </w:style>
  <w:style w:type="paragraph" w:styleId="Footer">
    <w:name w:val="footer"/>
    <w:basedOn w:val="Normal"/>
    <w:link w:val="FooterChar"/>
    <w:uiPriority w:val="99"/>
    <w:unhideWhenUsed/>
    <w:rsid w:val="005E5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129"/>
  </w:style>
  <w:style w:type="paragraph" w:styleId="NormalWeb">
    <w:name w:val="Normal (Web)"/>
    <w:basedOn w:val="Normal"/>
    <w:uiPriority w:val="99"/>
    <w:unhideWhenUsed/>
    <w:rsid w:val="008F79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0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0C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9691">
      <w:bodyDiv w:val="1"/>
      <w:marLeft w:val="0"/>
      <w:marRight w:val="0"/>
      <w:marTop w:val="0"/>
      <w:marBottom w:val="0"/>
      <w:divBdr>
        <w:top w:val="none" w:sz="0" w:space="0" w:color="auto"/>
        <w:left w:val="none" w:sz="0" w:space="0" w:color="auto"/>
        <w:bottom w:val="none" w:sz="0" w:space="0" w:color="auto"/>
        <w:right w:val="none" w:sz="0" w:space="0" w:color="auto"/>
      </w:divBdr>
    </w:div>
    <w:div w:id="635257311">
      <w:bodyDiv w:val="1"/>
      <w:marLeft w:val="0"/>
      <w:marRight w:val="0"/>
      <w:marTop w:val="0"/>
      <w:marBottom w:val="0"/>
      <w:divBdr>
        <w:top w:val="none" w:sz="0" w:space="0" w:color="auto"/>
        <w:left w:val="none" w:sz="0" w:space="0" w:color="auto"/>
        <w:bottom w:val="none" w:sz="0" w:space="0" w:color="auto"/>
        <w:right w:val="none" w:sz="0" w:space="0" w:color="auto"/>
      </w:divBdr>
    </w:div>
    <w:div w:id="768235383">
      <w:bodyDiv w:val="1"/>
      <w:marLeft w:val="0"/>
      <w:marRight w:val="0"/>
      <w:marTop w:val="0"/>
      <w:marBottom w:val="0"/>
      <w:divBdr>
        <w:top w:val="none" w:sz="0" w:space="0" w:color="auto"/>
        <w:left w:val="none" w:sz="0" w:space="0" w:color="auto"/>
        <w:bottom w:val="none" w:sz="0" w:space="0" w:color="auto"/>
        <w:right w:val="none" w:sz="0" w:space="0" w:color="auto"/>
      </w:divBdr>
    </w:div>
    <w:div w:id="849224106">
      <w:bodyDiv w:val="1"/>
      <w:marLeft w:val="0"/>
      <w:marRight w:val="0"/>
      <w:marTop w:val="0"/>
      <w:marBottom w:val="0"/>
      <w:divBdr>
        <w:top w:val="none" w:sz="0" w:space="0" w:color="auto"/>
        <w:left w:val="none" w:sz="0" w:space="0" w:color="auto"/>
        <w:bottom w:val="none" w:sz="0" w:space="0" w:color="auto"/>
        <w:right w:val="none" w:sz="0" w:space="0" w:color="auto"/>
      </w:divBdr>
    </w:div>
    <w:div w:id="859007128">
      <w:bodyDiv w:val="1"/>
      <w:marLeft w:val="0"/>
      <w:marRight w:val="0"/>
      <w:marTop w:val="0"/>
      <w:marBottom w:val="0"/>
      <w:divBdr>
        <w:top w:val="none" w:sz="0" w:space="0" w:color="auto"/>
        <w:left w:val="none" w:sz="0" w:space="0" w:color="auto"/>
        <w:bottom w:val="none" w:sz="0" w:space="0" w:color="auto"/>
        <w:right w:val="none" w:sz="0" w:space="0" w:color="auto"/>
      </w:divBdr>
    </w:div>
    <w:div w:id="1126506305">
      <w:bodyDiv w:val="1"/>
      <w:marLeft w:val="0"/>
      <w:marRight w:val="0"/>
      <w:marTop w:val="0"/>
      <w:marBottom w:val="0"/>
      <w:divBdr>
        <w:top w:val="none" w:sz="0" w:space="0" w:color="auto"/>
        <w:left w:val="none" w:sz="0" w:space="0" w:color="auto"/>
        <w:bottom w:val="none" w:sz="0" w:space="0" w:color="auto"/>
        <w:right w:val="none" w:sz="0" w:space="0" w:color="auto"/>
      </w:divBdr>
    </w:div>
    <w:div w:id="1257255045">
      <w:bodyDiv w:val="1"/>
      <w:marLeft w:val="0"/>
      <w:marRight w:val="0"/>
      <w:marTop w:val="0"/>
      <w:marBottom w:val="0"/>
      <w:divBdr>
        <w:top w:val="none" w:sz="0" w:space="0" w:color="auto"/>
        <w:left w:val="none" w:sz="0" w:space="0" w:color="auto"/>
        <w:bottom w:val="none" w:sz="0" w:space="0" w:color="auto"/>
        <w:right w:val="none" w:sz="0" w:space="0" w:color="auto"/>
      </w:divBdr>
    </w:div>
    <w:div w:id="1325039535">
      <w:bodyDiv w:val="1"/>
      <w:marLeft w:val="0"/>
      <w:marRight w:val="0"/>
      <w:marTop w:val="0"/>
      <w:marBottom w:val="0"/>
      <w:divBdr>
        <w:top w:val="none" w:sz="0" w:space="0" w:color="auto"/>
        <w:left w:val="none" w:sz="0" w:space="0" w:color="auto"/>
        <w:bottom w:val="none" w:sz="0" w:space="0" w:color="auto"/>
        <w:right w:val="none" w:sz="0" w:space="0" w:color="auto"/>
      </w:divBdr>
    </w:div>
    <w:div w:id="1790780456">
      <w:bodyDiv w:val="1"/>
      <w:marLeft w:val="0"/>
      <w:marRight w:val="0"/>
      <w:marTop w:val="0"/>
      <w:marBottom w:val="0"/>
      <w:divBdr>
        <w:top w:val="none" w:sz="0" w:space="0" w:color="auto"/>
        <w:left w:val="none" w:sz="0" w:space="0" w:color="auto"/>
        <w:bottom w:val="none" w:sz="0" w:space="0" w:color="auto"/>
        <w:right w:val="none" w:sz="0" w:space="0" w:color="auto"/>
      </w:divBdr>
    </w:div>
    <w:div w:id="1904364478">
      <w:bodyDiv w:val="1"/>
      <w:marLeft w:val="0"/>
      <w:marRight w:val="0"/>
      <w:marTop w:val="0"/>
      <w:marBottom w:val="0"/>
      <w:divBdr>
        <w:top w:val="none" w:sz="0" w:space="0" w:color="auto"/>
        <w:left w:val="none" w:sz="0" w:space="0" w:color="auto"/>
        <w:bottom w:val="none" w:sz="0" w:space="0" w:color="auto"/>
        <w:right w:val="none" w:sz="0" w:space="0" w:color="auto"/>
      </w:divBdr>
    </w:div>
    <w:div w:id="200350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14</Pages>
  <Words>3231</Words>
  <Characters>18420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Wang</dc:creator>
  <cp:keywords/>
  <dc:description/>
  <cp:lastModifiedBy>John Wang</cp:lastModifiedBy>
  <cp:revision>64</cp:revision>
  <cp:lastPrinted>2016-05-01T17:45:00Z</cp:lastPrinted>
  <dcterms:created xsi:type="dcterms:W3CDTF">2016-04-30T01:11:00Z</dcterms:created>
  <dcterms:modified xsi:type="dcterms:W3CDTF">2016-05-02T15:56:00Z</dcterms:modified>
</cp:coreProperties>
</file>