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Onboarding Guide 2024 (training) — older version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Minimum investment</w:t>
      </w:r>
    </w:p>
    <w:p>
      <w:pPr>
        <w:pStyle w:val="ListBullet"/>
      </w:pPr>
      <w:r>
        <w:t>KWD 50,000 for a discretionary portfolio.</w:t>
      </w:r>
    </w:p>
    <w:p>
      <w:pPr>
        <w:pStyle w:val="Heading1"/>
      </w:pPr>
      <w:r>
        <w:t>Proof of address</w:t>
      </w:r>
    </w:p>
    <w:p>
      <w:pPr>
        <w:pStyle w:val="ListBullet"/>
      </w:pPr>
      <w:r>
        <w:t>Must be dated within the last 6 months.</w:t>
      </w:r>
    </w:p>
    <w:p>
      <w:pPr>
        <w:pStyle w:val="Heading1"/>
      </w:pPr>
      <w:r>
        <w:t>Timing</w:t>
      </w:r>
    </w:p>
    <w:p>
      <w:pPr>
        <w:pStyle w:val="ListBullet"/>
      </w:pPr>
      <w:r>
        <w:t>Aim to complete onboarding within 15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