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KAMCO Operations Procedures (training)</w:t>
      </w:r>
    </w:p>
    <w:p>
      <w:r>
        <w:rPr>
          <w:i/>
        </w:rPr>
        <w:t>TRAINING SAMPLE — fictional content for the AI at Work with Microsoft Copilot program.</w:t>
      </w:r>
    </w:p>
    <w:p>
      <w:pPr>
        <w:pStyle w:val="Heading1"/>
      </w:pPr>
      <w:r>
        <w:t>1. Settlement</w:t>
      </w:r>
    </w:p>
    <w:p>
      <w:pPr>
        <w:pStyle w:val="ListBullet"/>
      </w:pPr>
      <w:r>
        <w:t>Standard settlement is T+2 business days. Friday and Saturday are closed.</w:t>
      </w:r>
    </w:p>
    <w:p>
      <w:pPr>
        <w:pStyle w:val="ListBullet"/>
      </w:pPr>
      <w:r>
        <w:t>Trade instructions must reach Operations by 12:00 on trade date + 1.</w:t>
      </w:r>
    </w:p>
    <w:p>
      <w:pPr>
        <w:pStyle w:val="Heading1"/>
      </w:pPr>
      <w:r>
        <w:t>2. Failed trades</w:t>
      </w:r>
    </w:p>
    <w:p>
      <w:pPr>
        <w:pStyle w:val="ListBullet"/>
      </w:pPr>
      <w:r>
        <w:t>Any trade still open more than 5 calendar days after the expected date is escalated to the COO.</w:t>
      </w:r>
    </w:p>
    <w:p>
      <w:pPr>
        <w:pStyle w:val="Heading1"/>
      </w:pPr>
      <w:r>
        <w:t>3. Bank details (SSI) changes</w:t>
      </w:r>
    </w:p>
    <w:p>
      <w:pPr>
        <w:pStyle w:val="ListBullet"/>
      </w:pPr>
      <w:r>
        <w:t>Never change bank or settlement details because of an email alone.</w:t>
      </w:r>
    </w:p>
    <w:p>
      <w:pPr>
        <w:pStyle w:val="ListBullet"/>
      </w:pPr>
      <w:r>
        <w:t>Every change needs a call-back to a phone number already on file — never a number in the email — and a second approver in Operations.</w:t>
      </w:r>
    </w:p>
    <w:p>
      <w:pPr>
        <w:pStyle w:val="Heading1"/>
      </w:pPr>
      <w:r>
        <w:t>4. Client data</w:t>
      </w:r>
    </w:p>
    <w:p>
      <w:pPr>
        <w:pStyle w:val="ListBullet"/>
      </w:pPr>
      <w:r>
        <w:t>Reports outside Operations use trade IDs and counterparty names only — no client names.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