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Client Onboarding Checklist 2026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1. Who this covers</w:t>
      </w:r>
    </w:p>
    <w:p>
      <w:pPr>
        <w:pStyle w:val="ListBullet"/>
      </w:pPr>
      <w:r>
        <w:t>New wealth management clients: individuals and companies opening a discretionary portfolio.</w:t>
      </w:r>
    </w:p>
    <w:p>
      <w:pPr>
        <w:pStyle w:val="Heading1"/>
      </w:pPr>
      <w:r>
        <w:t>2. Minimum investment</w:t>
      </w:r>
    </w:p>
    <w:p>
      <w:pPr>
        <w:pStyle w:val="ListBullet"/>
      </w:pPr>
      <w:r>
        <w:t>KWD 100,000 for a discretionary portfolio.</w:t>
      </w:r>
    </w:p>
    <w:p>
      <w:pPr>
        <w:pStyle w:val="Heading1"/>
      </w:pPr>
      <w:r>
        <w:t>3. Documents — individuals</w:t>
      </w:r>
    </w:p>
    <w:p>
      <w:pPr>
        <w:pStyle w:val="ListBullet"/>
      </w:pPr>
      <w:r>
        <w:t>Civil ID (valid).</w:t>
      </w:r>
    </w:p>
    <w:p>
      <w:pPr>
        <w:pStyle w:val="ListBullet"/>
      </w:pPr>
      <w:r>
        <w:t>Proof of address dated within the last 3 months.</w:t>
      </w:r>
    </w:p>
    <w:p>
      <w:pPr>
        <w:pStyle w:val="ListBullet"/>
      </w:pPr>
      <w:r>
        <w:t>Source of funds declaration, signed.</w:t>
      </w:r>
    </w:p>
    <w:p>
      <w:pPr>
        <w:pStyle w:val="ListBullet"/>
      </w:pPr>
      <w:r>
        <w:t>Signed risk profile questionnaire.</w:t>
      </w:r>
    </w:p>
    <w:p>
      <w:pPr>
        <w:pStyle w:val="Heading1"/>
      </w:pPr>
      <w:r>
        <w:t>4. Documents — companies</w:t>
      </w:r>
    </w:p>
    <w:p>
      <w:pPr>
        <w:pStyle w:val="ListBullet"/>
      </w:pPr>
      <w:r>
        <w:t>Commercial licence (valid).</w:t>
      </w:r>
    </w:p>
    <w:p>
      <w:pPr>
        <w:pStyle w:val="ListBullet"/>
      </w:pPr>
      <w:r>
        <w:t>Articles of association.</w:t>
      </w:r>
    </w:p>
    <w:p>
      <w:pPr>
        <w:pStyle w:val="ListBullet"/>
      </w:pPr>
      <w:r>
        <w:t>Authorised signatories list with their Civil IDs.</w:t>
      </w:r>
    </w:p>
    <w:p>
      <w:pPr>
        <w:pStyle w:val="ListBullet"/>
      </w:pPr>
      <w:r>
        <w:t>Ultimate beneficial owners: everyone who owns 25% or more.</w:t>
      </w:r>
    </w:p>
    <w:p>
      <w:pPr>
        <w:pStyle w:val="ListBullet"/>
      </w:pPr>
      <w:r>
        <w:t>Latest audited financial statements.</w:t>
      </w:r>
    </w:p>
    <w:p>
      <w:pPr>
        <w:pStyle w:val="ListBullet"/>
      </w:pPr>
      <w:r>
        <w:t>Signed risk profile questionnaire.</w:t>
      </w:r>
    </w:p>
    <w:p>
      <w:pPr>
        <w:pStyle w:val="Heading1"/>
      </w:pPr>
      <w:r>
        <w:t>5. Approvals and timing</w:t>
      </w:r>
    </w:p>
    <w:p>
      <w:pPr>
        <w:pStyle w:val="ListBullet"/>
      </w:pPr>
      <w:r>
        <w:t>Compliance must approve KYC before any account is opened or any money is accepted — no exceptions, for any client.</w:t>
      </w:r>
    </w:p>
    <w:p>
      <w:pPr>
        <w:pStyle w:val="ListBullet"/>
      </w:pPr>
      <w:r>
        <w:t>Politically exposed persons (PEPs) also need the Chief Compliance Officer's approval.</w:t>
      </w:r>
    </w:p>
    <w:p>
      <w:pPr>
        <w:pStyle w:val="ListBullet"/>
      </w:pPr>
      <w:r>
        <w:t>Target: onboarding complete within 10 business days of receiving all documents. Friday and Saturday are not business days.</w:t>
      </w:r>
    </w:p>
    <w:p>
      <w:pPr>
        <w:pStyle w:val="Heading1"/>
      </w:pPr>
      <w:r>
        <w:t>6. Contacts</w:t>
      </w:r>
    </w:p>
    <w:p>
      <w:pPr>
        <w:pStyle w:val="ListBullet"/>
      </w:pPr>
      <w:r>
        <w:t>Questions not covered here: onboarding@kamco-training.example.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