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KAMCO Research Guidelines (training)</w:t>
      </w:r>
    </w:p>
    <w:p>
      <w:r>
        <w:rPr>
          <w:i/>
        </w:rPr>
        <w:t>TRAINING SAMPLE — fictional content for the AI at Work with Microsoft Copilot program.</w:t>
      </w:r>
    </w:p>
    <w:p>
      <w:pPr>
        <w:pStyle w:val="Heading1"/>
      </w:pPr>
      <w:r>
        <w:t>1. Valuation</w:t>
      </w:r>
    </w:p>
    <w:p>
      <w:pPr>
        <w:pStyle w:val="ListBullet"/>
      </w:pPr>
      <w:r>
        <w:t>Use the peer median EV/EBITDA on the last full year's EBITDA. Count each peer once and exclude peers without a number.</w:t>
      </w:r>
    </w:p>
    <w:p>
      <w:pPr>
        <w:pStyle w:val="ListBullet"/>
      </w:pPr>
      <w:r>
        <w:t>View: upside above +15% = Attractive; −10% to +15% = Neutral; below −10% = Unattractive.</w:t>
      </w:r>
    </w:p>
    <w:p>
      <w:pPr>
        <w:pStyle w:val="Heading1"/>
      </w:pPr>
      <w:r>
        <w:t>2. Blackout</w:t>
      </w:r>
    </w:p>
    <w:p>
      <w:pPr>
        <w:pStyle w:val="ListBullet"/>
      </w:pPr>
      <w:r>
        <w:t>No research is published in the 5 business days before a company reports its results.</w:t>
      </w:r>
    </w:p>
    <w:p>
      <w:pPr>
        <w:pStyle w:val="Heading1"/>
      </w:pPr>
      <w:r>
        <w:t>3. Information barrier</w:t>
      </w:r>
    </w:p>
    <w:p>
      <w:pPr>
        <w:pStyle w:val="ListBullet"/>
      </w:pPr>
      <w:r>
        <w:t>Research is never shared with Corporate Finance or any client before it is published.</w:t>
      </w:r>
    </w:p>
    <w:p>
      <w:pPr>
        <w:pStyle w:val="Heading1"/>
      </w:pPr>
      <w:r>
        <w:t>4. Language</w:t>
      </w:r>
    </w:p>
    <w:p>
      <w:pPr>
        <w:pStyle w:val="ListBullet"/>
      </w:pPr>
      <w:r>
        <w:t>No price targets in client documents. No promises about returns.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