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Tamra Foods Co. — Annual Report 2025</w:t>
      </w:r>
    </w:p>
    <w:p>
      <w:r>
        <w:rPr>
          <w:color w:val="595959"/>
        </w:rPr>
        <w:t>For shareholders, staff and partners. Published March 2026. All figures in Kuwaiti dinars (KWD).</w:t>
      </w:r>
    </w:p>
    <w:p>
      <w:pPr>
        <w:pStyle w:val="Heading1"/>
      </w:pPr>
      <w:r>
        <w:t>1. Letter from the Chair</w:t>
      </w:r>
    </w:p>
    <w:p>
      <w:r>
        <w:t>2025 was a year of steady growth for Tamra. Revenue rose by almost 8%, to KWD 9.6 million. We opened our sixth café, in Jahra, and our delivery app finished its first full year. The app has now passed 52,000 downloads, and customers tell us it is easy to use.</w:t>
      </w:r>
    </w:p>
    <w:p>
      <w:r>
        <w:t>Growth brought new pressure. Coffee bean prices rose, driver costs went up, and hotel orders were quieter in summer. Our teams kept costs under control and protected our quality. I thank every one of our 420 colleagues for their hard work.</w:t>
      </w:r>
    </w:p>
    <w:p>
      <w:r>
        <w:t>In 2026 the Board will focus on three things: making the delivery app profitable, reducing our dependence on a few large hotel clients, and modernising the cafés' point-of-sale systems.</w:t>
      </w:r>
    </w:p>
    <w:p>
      <w:r>
        <w:t>— Chair of the Board</w:t>
      </w:r>
    </w:p>
    <w:p>
      <w:pPr>
        <w:pStyle w:val="Heading1"/>
      </w:pPr>
      <w:r>
        <w:t>2. Our year in numbers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Measure</w:t>
            </w:r>
          </w:p>
        </w:tc>
        <w:tc>
          <w:tcPr>
            <w:tcW w:type="dxa" w:w="2160"/>
          </w:tcPr>
          <w:p>
            <w:r/>
            <w:r>
              <w:rPr>
                <w:b/>
              </w:rPr>
              <w:t>2024</w:t>
            </w:r>
          </w:p>
        </w:tc>
        <w:tc>
          <w:tcPr>
            <w:tcW w:type="dxa" w:w="2160"/>
          </w:tcPr>
          <w:p>
            <w:r/>
            <w:r>
              <w:rPr>
                <w:b/>
              </w:rPr>
              <w:t>2025</w:t>
            </w:r>
          </w:p>
        </w:tc>
        <w:tc>
          <w:tcPr>
            <w:tcW w:type="dxa" w:w="2160"/>
          </w:tcPr>
          <w:p>
            <w:r/>
            <w:r>
              <w:rPr>
                <w:b/>
              </w:rPr>
              <w:t>Change</w:t>
            </w:r>
          </w:p>
        </w:tc>
      </w:tr>
      <w:tr>
        <w:tc>
          <w:tcPr>
            <w:tcW w:type="dxa" w:w="2160"/>
          </w:tcPr>
          <w:p>
            <w:r>
              <w:t>Revenue (KWD)</w:t>
            </w:r>
          </w:p>
        </w:tc>
        <w:tc>
          <w:tcPr>
            <w:tcW w:type="dxa" w:w="2160"/>
          </w:tcPr>
          <w:p>
            <w:pPr>
              <w:jc w:val="right"/>
            </w:pPr>
            <w:r>
              <w:t>8,900,000</w:t>
            </w:r>
          </w:p>
        </w:tc>
        <w:tc>
          <w:tcPr>
            <w:tcW w:type="dxa" w:w="2160"/>
          </w:tcPr>
          <w:p>
            <w:pPr>
              <w:jc w:val="right"/>
            </w:pPr>
            <w:r>
              <w:t>9,600,000</w:t>
            </w:r>
          </w:p>
        </w:tc>
        <w:tc>
          <w:tcPr>
            <w:tcW w:type="dxa" w:w="2160"/>
          </w:tcPr>
          <w:p>
            <w:pPr>
              <w:jc w:val="right"/>
            </w:pPr>
            <w:r>
              <w:t>+7.9%</w:t>
            </w:r>
          </w:p>
        </w:tc>
      </w:tr>
      <w:tr>
        <w:tc>
          <w:tcPr>
            <w:tcW w:type="dxa" w:w="2160"/>
          </w:tcPr>
          <w:p>
            <w:r>
              <w:t>Operating profit (KWD)</w:t>
            </w:r>
          </w:p>
        </w:tc>
        <w:tc>
          <w:tcPr>
            <w:tcW w:type="dxa" w:w="2160"/>
          </w:tcPr>
          <w:p>
            <w:pPr>
              <w:jc w:val="right"/>
            </w:pPr>
            <w:r>
              <w:t>1,690,000</w:t>
            </w:r>
          </w:p>
        </w:tc>
        <w:tc>
          <w:tcPr>
            <w:tcW w:type="dxa" w:w="2160"/>
          </w:tcPr>
          <w:p>
            <w:pPr>
              <w:jc w:val="right"/>
            </w:pPr>
            <w:r>
              <w:t>1,870,000</w:t>
            </w:r>
          </w:p>
        </w:tc>
        <w:tc>
          <w:tcPr>
            <w:tcW w:type="dxa" w:w="2160"/>
          </w:tcPr>
          <w:p>
            <w:pPr>
              <w:jc w:val="right"/>
            </w:pPr>
            <w:r>
              <w:t>+10.7%</w:t>
            </w:r>
          </w:p>
        </w:tc>
      </w:tr>
      <w:tr>
        <w:tc>
          <w:tcPr>
            <w:tcW w:type="dxa" w:w="2160"/>
          </w:tcPr>
          <w:p>
            <w:r>
              <w:t>Operating margin</w:t>
            </w:r>
          </w:p>
        </w:tc>
        <w:tc>
          <w:tcPr>
            <w:tcW w:type="dxa" w:w="2160"/>
          </w:tcPr>
          <w:p>
            <w:pPr>
              <w:jc w:val="right"/>
            </w:pPr>
            <w:r>
              <w:t>19.0%</w:t>
            </w:r>
          </w:p>
        </w:tc>
        <w:tc>
          <w:tcPr>
            <w:tcW w:type="dxa" w:w="2160"/>
          </w:tcPr>
          <w:p>
            <w:pPr>
              <w:jc w:val="right"/>
            </w:pPr>
            <w:r>
              <w:t>19.5%</w:t>
            </w:r>
          </w:p>
        </w:tc>
        <w:tc>
          <w:tcPr>
            <w:tcW w:type="dxa" w:w="2160"/>
          </w:tcPr>
          <w:p>
            <w:pPr>
              <w:jc w:val="right"/>
            </w:pPr>
            <w:r>
              <w:t>+0.5 pts</w:t>
            </w:r>
          </w:p>
        </w:tc>
      </w:tr>
      <w:tr>
        <w:tc>
          <w:tcPr>
            <w:tcW w:type="dxa" w:w="2160"/>
          </w:tcPr>
          <w:p>
            <w:r>
              <w:t>Cafés</w:t>
            </w:r>
          </w:p>
        </w:tc>
        <w:tc>
          <w:tcPr>
            <w:tcW w:type="dxa" w:w="2160"/>
          </w:tcPr>
          <w:p>
            <w:pPr>
              <w:jc w:val="right"/>
            </w:pPr>
            <w:r>
              <w:t>5</w:t>
            </w:r>
          </w:p>
        </w:tc>
        <w:tc>
          <w:tcPr>
            <w:tcW w:type="dxa" w:w="2160"/>
          </w:tcPr>
          <w:p>
            <w:pPr>
              <w:jc w:val="right"/>
            </w:pPr>
            <w:r>
              <w:t>6</w:t>
            </w:r>
          </w:p>
        </w:tc>
        <w:tc>
          <w:tcPr>
            <w:tcW w:type="dxa" w:w="2160"/>
          </w:tcPr>
          <w:p>
            <w:pPr>
              <w:jc w:val="right"/>
            </w:pPr>
            <w:r>
              <w:t>+1 (Jahra)</w:t>
            </w:r>
          </w:p>
        </w:tc>
      </w:tr>
      <w:tr>
        <w:tc>
          <w:tcPr>
            <w:tcW w:type="dxa" w:w="2160"/>
          </w:tcPr>
          <w:p>
            <w:r>
              <w:t>Employees</w:t>
            </w:r>
          </w:p>
        </w:tc>
        <w:tc>
          <w:tcPr>
            <w:tcW w:type="dxa" w:w="2160"/>
          </w:tcPr>
          <w:p>
            <w:pPr>
              <w:jc w:val="right"/>
            </w:pPr>
            <w:r>
              <w:t>385</w:t>
            </w:r>
          </w:p>
        </w:tc>
        <w:tc>
          <w:tcPr>
            <w:tcW w:type="dxa" w:w="2160"/>
          </w:tcPr>
          <w:p>
            <w:pPr>
              <w:jc w:val="right"/>
            </w:pPr>
            <w:r>
              <w:t>420</w:t>
            </w:r>
          </w:p>
        </w:tc>
        <w:tc>
          <w:tcPr>
            <w:tcW w:type="dxa" w:w="2160"/>
          </w:tcPr>
          <w:p>
            <w:pPr>
              <w:jc w:val="right"/>
            </w:pPr>
            <w:r>
              <w:t>+35</w:t>
            </w:r>
          </w:p>
        </w:tc>
      </w:tr>
      <w:tr>
        <w:tc>
          <w:tcPr>
            <w:tcW w:type="dxa" w:w="2160"/>
          </w:tcPr>
          <w:p>
            <w:r>
              <w:t>Delivery app — active users (Dec)</w:t>
            </w:r>
          </w:p>
        </w:tc>
        <w:tc>
          <w:tcPr>
            <w:tcW w:type="dxa" w:w="2160"/>
          </w:tcPr>
          <w:p>
            <w:pPr>
              <w:jc w:val="right"/>
            </w:pPr>
            <w:r>
              <w:t>21,000</w:t>
            </w:r>
          </w:p>
        </w:tc>
        <w:tc>
          <w:tcPr>
            <w:tcW w:type="dxa" w:w="2160"/>
          </w:tcPr>
          <w:p>
            <w:pPr>
              <w:jc w:val="right"/>
            </w:pPr>
            <w:r>
              <w:t>38,000</w:t>
            </w:r>
          </w:p>
        </w:tc>
        <w:tc>
          <w:tcPr>
            <w:tcW w:type="dxa" w:w="2160"/>
          </w:tcPr>
          <w:p>
            <w:pPr>
              <w:jc w:val="right"/>
            </w:pPr>
            <w:r>
              <w:t>+81%</w:t>
            </w:r>
          </w:p>
        </w:tc>
      </w:tr>
      <w:tr>
        <w:tc>
          <w:tcPr>
            <w:tcW w:type="dxa" w:w="2160"/>
          </w:tcPr>
          <w:p>
            <w:r>
              <w:t>Wholesale on-time delivery</w:t>
            </w:r>
          </w:p>
        </w:tc>
        <w:tc>
          <w:tcPr>
            <w:tcW w:type="dxa" w:w="2160"/>
          </w:tcPr>
          <w:p>
            <w:pPr>
              <w:jc w:val="right"/>
            </w:pPr>
            <w:r>
              <w:t>96%</w:t>
            </w:r>
          </w:p>
        </w:tc>
        <w:tc>
          <w:tcPr>
            <w:tcW w:type="dxa" w:w="2160"/>
          </w:tcPr>
          <w:p>
            <w:pPr>
              <w:jc w:val="right"/>
            </w:pPr>
            <w:r>
              <w:t>98%</w:t>
            </w:r>
          </w:p>
        </w:tc>
        <w:tc>
          <w:tcPr>
            <w:tcW w:type="dxa" w:w="2160"/>
          </w:tcPr>
          <w:p>
            <w:pPr>
              <w:jc w:val="right"/>
            </w:pPr>
            <w:r>
              <w:t>+2 pts</w:t>
            </w:r>
          </w:p>
        </w:tc>
      </w:tr>
    </w:tbl>
    <w:p/>
    <w:p>
      <w:pPr>
        <w:pStyle w:val="Heading1"/>
      </w:pPr>
      <w:r>
        <w:t>3. Revenue by business 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Business unit</w:t>
            </w:r>
          </w:p>
        </w:tc>
        <w:tc>
          <w:tcPr>
            <w:tcW w:type="dxa" w:w="2880"/>
          </w:tcPr>
          <w:p>
            <w:r/>
            <w:r>
              <w:rPr>
                <w:b/>
              </w:rPr>
              <w:t>Revenue 2025 (KWD)</w:t>
            </w:r>
          </w:p>
        </w:tc>
        <w:tc>
          <w:tcPr>
            <w:tcW w:type="dxa" w:w="2880"/>
          </w:tcPr>
          <w:p>
            <w:r/>
            <w:r>
              <w:rPr>
                <w:b/>
              </w:rPr>
              <w:t>Share</w:t>
            </w:r>
          </w:p>
        </w:tc>
      </w:tr>
      <w:tr>
        <w:tc>
          <w:tcPr>
            <w:tcW w:type="dxa" w:w="2880"/>
          </w:tcPr>
          <w:p>
            <w:r>
              <w:t>Wholesale</w:t>
            </w:r>
          </w:p>
        </w:tc>
        <w:tc>
          <w:tcPr>
            <w:tcW w:type="dxa" w:w="2880"/>
          </w:tcPr>
          <w:p>
            <w:pPr>
              <w:jc w:val="right"/>
            </w:pPr>
            <w:r>
              <w:t>4,800,000</w:t>
            </w:r>
          </w:p>
        </w:tc>
        <w:tc>
          <w:tcPr>
            <w:tcW w:type="dxa" w:w="2880"/>
          </w:tcPr>
          <w:p>
            <w:pPr>
              <w:jc w:val="right"/>
            </w:pPr>
            <w:r>
              <w:t>50%</w:t>
            </w:r>
          </w:p>
        </w:tc>
      </w:tr>
      <w:tr>
        <w:tc>
          <w:tcPr>
            <w:tcW w:type="dxa" w:w="2880"/>
          </w:tcPr>
          <w:p>
            <w:r>
              <w:t>Cafés</w:t>
            </w:r>
          </w:p>
        </w:tc>
        <w:tc>
          <w:tcPr>
            <w:tcW w:type="dxa" w:w="2880"/>
          </w:tcPr>
          <w:p>
            <w:pPr>
              <w:jc w:val="right"/>
            </w:pPr>
            <w:r>
              <w:t>3,744,000</w:t>
            </w:r>
          </w:p>
        </w:tc>
        <w:tc>
          <w:tcPr>
            <w:tcW w:type="dxa" w:w="2880"/>
          </w:tcPr>
          <w:p>
            <w:pPr>
              <w:jc w:val="right"/>
            </w:pPr>
            <w:r>
              <w:t>39%</w:t>
            </w:r>
          </w:p>
        </w:tc>
      </w:tr>
      <w:tr>
        <w:tc>
          <w:tcPr>
            <w:tcW w:type="dxa" w:w="2880"/>
          </w:tcPr>
          <w:p>
            <w:r>
              <w:t>Delivery app</w:t>
            </w:r>
          </w:p>
        </w:tc>
        <w:tc>
          <w:tcPr>
            <w:tcW w:type="dxa" w:w="2880"/>
          </w:tcPr>
          <w:p>
            <w:pPr>
              <w:jc w:val="right"/>
            </w:pPr>
            <w:r>
              <w:t>1,056,000</w:t>
            </w:r>
          </w:p>
        </w:tc>
        <w:tc>
          <w:tcPr>
            <w:tcW w:type="dxa" w:w="2880"/>
          </w:tcPr>
          <w:p>
            <w:pPr>
              <w:jc w:val="right"/>
            </w:pPr>
            <w:r>
              <w:t>11%</w:t>
            </w:r>
          </w:p>
        </w:tc>
      </w:tr>
      <w:tr>
        <w:tc>
          <w:tcPr>
            <w:tcW w:type="dxa" w:w="2880"/>
          </w:tcPr>
          <w:p>
            <w:r>
              <w:t>Total</w:t>
            </w:r>
          </w:p>
        </w:tc>
        <w:tc>
          <w:tcPr>
            <w:tcW w:type="dxa" w:w="2880"/>
          </w:tcPr>
          <w:p>
            <w:pPr>
              <w:jc w:val="right"/>
            </w:pPr>
            <w:r>
              <w:t>9,600,000</w:t>
            </w:r>
          </w:p>
        </w:tc>
        <w:tc>
          <w:tcPr>
            <w:tcW w:type="dxa" w:w="2880"/>
          </w:tcPr>
          <w:p>
            <w:pPr>
              <w:jc w:val="right"/>
            </w:pPr>
            <w:r>
              <w:t>100%</w:t>
            </w:r>
          </w:p>
        </w:tc>
      </w:tr>
    </w:tbl>
    <w:p/>
    <w:p>
      <w:pPr>
        <w:pStyle w:val="Heading1"/>
      </w:pPr>
      <w:r>
        <w:t>4. Wholesale</w:t>
      </w:r>
    </w:p>
    <w:p>
      <w:r>
        <w:t>Wholesale is our largest business. We supply more than 40 hotels, 25 co-operative societies (co-ops) and 60 corporate offices. We delivered 98% of orders on time — our best result so far. Hotels bought more for events and welcome amenities, and co-ops grew our shelf space for premium dates and date syrup.</w:t>
      </w:r>
    </w:p>
    <w:p>
      <w:r>
        <w:t>The main risk is concentration. Our five largest hotel clients brought about one third of wholesale revenue. In 2026 we will grow co-ops and corporate offices to balance this.</w:t>
      </w:r>
    </w:p>
    <w:p>
      <w:pPr>
        <w:pStyle w:val="Heading1"/>
      </w:pPr>
      <w:r>
        <w:t>5. Cafés</w:t>
      </w:r>
    </w:p>
    <w:p>
      <w:r>
        <w:t>Our six Tamra Cafés — Sharq, Salmiya, Hawally, Jabriya, Fahaheel and Jahra — served more than 1.1 million orders. Guest satisfaction was 94% ("good" or "very good" in our in-café survey). The new breakfast menu and date desserts sold well. The Jahra café, opened in March, reached its sales target in its fifth month.</w:t>
      </w:r>
    </w:p>
    <w:p>
      <w:r>
        <w:t>Our point-of-sale terminals are more than six years old. They cannot connect to the delivery app, so staff type app orders by hand. We plan to replace them in 2026.</w:t>
      </w:r>
    </w:p>
    <w:p>
      <w:pPr>
        <w:pStyle w:val="Heading1"/>
      </w:pPr>
      <w:r>
        <w:t>6. Delivery app</w:t>
      </w:r>
    </w:p>
    <w:p>
      <w:r>
        <w:t>The Tamra app completed its first full year. By December it had 38,000 active users — people who ordered at least once in the last 90 days. Downloads passed 52,000. App revenue reached KWD 1,056,000.</w:t>
      </w:r>
    </w:p>
    <w:p>
      <w:r>
        <w:t>Costs grew with volume. Delivery-partner fees and driver pay are the two largest costs. The app was profitable in 2025, but its margin became thinner in the second half of the year. Making every order profitable is a priority for 2026.</w:t>
      </w:r>
    </w:p>
    <w:p>
      <w:pPr>
        <w:pStyle w:val="Heading1"/>
      </w:pPr>
      <w:r>
        <w:t>7. Our people</w:t>
      </w:r>
    </w:p>
    <w:p>
      <w:r>
        <w:t>We ended the year with 420 employees, 35 more than in 2024. Every café team received customer-service training. We introduced a new safety programme at the Shuwaikh warehouse, with zero lost-time injuries in the second half.</w:t>
      </w:r>
    </w:p>
    <w:p>
      <w:pPr>
        <w:pStyle w:val="Heading1"/>
      </w:pPr>
      <w:r>
        <w:t>8. Sustainability</w:t>
      </w:r>
    </w:p>
    <w:p>
      <w:r>
        <w:t>We moved 70% of café packaging to recyclable materials and started buying dates directly from four Kuwaiti farms. Our goal for 2026 is 90% recyclable packaging.</w:t>
      </w:r>
    </w:p>
    <w:p>
      <w:pPr>
        <w:pStyle w:val="Heading1"/>
      </w:pPr>
      <w:r>
        <w:t>9. Risks</w:t>
      </w:r>
    </w:p>
    <w:p>
      <w:pPr>
        <w:pStyle w:val="ListBullet"/>
      </w:pPr>
      <w:r>
        <w:rPr>
          <w:b/>
        </w:rPr>
        <w:t xml:space="preserve">Delivery costs: </w:t>
      </w:r>
      <w:r>
        <w:t>if partner fees and driver pay keep rising, the app may lose money.</w:t>
      </w:r>
    </w:p>
    <w:p>
      <w:pPr>
        <w:pStyle w:val="ListBullet"/>
      </w:pPr>
      <w:r>
        <w:rPr>
          <w:b/>
        </w:rPr>
        <w:t xml:space="preserve">Client concentration: </w:t>
      </w:r>
      <w:r>
        <w:t>a few large hotel clients bring a large share of wholesale revenue.</w:t>
      </w:r>
    </w:p>
    <w:p>
      <w:pPr>
        <w:pStyle w:val="ListBullet"/>
      </w:pPr>
      <w:r>
        <w:rPr>
          <w:b/>
        </w:rPr>
        <w:t xml:space="preserve">Ageing systems: </w:t>
      </w:r>
      <w:r>
        <w:t>old POS terminals fail more often and slow down service.</w:t>
      </w:r>
    </w:p>
    <w:p>
      <w:pPr>
        <w:pStyle w:val="ListBullet"/>
      </w:pPr>
      <w:r>
        <w:rPr>
          <w:b/>
        </w:rPr>
        <w:t xml:space="preserve">Coffee prices: </w:t>
      </w:r>
      <w:r>
        <w:t>bean prices may rise again in 2026.</w:t>
      </w:r>
    </w:p>
    <w:p>
      <w:pPr>
        <w:pStyle w:val="Heading1"/>
      </w:pPr>
      <w:r>
        <w:t>10. Outlook for 2026</w:t>
      </w:r>
    </w:p>
    <w:p>
      <w:r>
        <w:t>We expect revenue to pass KWD 10 million in 2026. Our plans: launch Tamra Cold Brew in October, upgrade the café POS systems, agree a new delivery fee model, and win at least two new hotel groups.</w:t>
      </w:r>
    </w:p>
    <w:p>
      <w:r>
        <w:t>Contact: investors@tamrafoods.example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Fictional sample data for training — Tamra Foods Co. is not a real company.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