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Campaign Brief: Tamra Cold Brew Launch</w:t>
      </w:r>
    </w:p>
    <w:p>
      <w:r>
        <w:rPr>
          <w:color w:val="595959"/>
        </w:rPr>
        <w:t>Tamra Foods Co. — Marketing team. Owner: Sara Al-Hajri, Head of Marketing. September 2026.</w:t>
      </w:r>
    </w:p>
    <w:p>
      <w:pPr>
        <w:pStyle w:val="Heading1"/>
      </w:pPr>
      <w:r>
        <w:t>The product</w:t>
      </w:r>
    </w:p>
    <w:p>
      <w:r>
        <w:t>Tamra Cold Brew is cold-brew coffee sweetened with our own date syrup. It comes in a 250 ml bottle. It is sold in all six Tamra Cafés, in the Tamra app, and in selected co-ops.</w:t>
      </w:r>
    </w:p>
    <w:p>
      <w:pPr>
        <w:pStyle w:val="Heading1"/>
      </w:pPr>
      <w:r>
        <w:t>Objective</w:t>
      </w:r>
    </w:p>
    <w:p>
      <w:r>
        <w:t>In the first 6 weeks after launch (18 October to 28 November 2026):</w:t>
      </w:r>
    </w:p>
    <w:p>
      <w:pPr>
        <w:pStyle w:val="ListBullet"/>
      </w:pPr>
      <w:r>
        <w:t>Sell 25,000 bottles.</w:t>
      </w:r>
    </w:p>
    <w:p>
      <w:pPr>
        <w:pStyle w:val="ListBullet"/>
      </w:pPr>
      <w:r>
        <w:t>Win 4,000 new app users.</w:t>
      </w:r>
    </w:p>
    <w:p>
      <w:pPr>
        <w:pStyle w:val="ListBullet"/>
      </w:pPr>
      <w:r>
        <w:t>Make cold brew 15% of all café coffee orders.</w:t>
      </w:r>
    </w:p>
    <w:p>
      <w:pPr>
        <w:pStyle w:val="ListBullet"/>
      </w:pPr>
      <w:r>
        <w:t>Reach 2 million impressions on social media.</w:t>
      </w:r>
    </w:p>
    <w:p>
      <w:pPr>
        <w:pStyle w:val="Heading1"/>
      </w:pPr>
      <w:r>
        <w:t>Audience</w:t>
      </w:r>
    </w:p>
    <w:p>
      <w:r>
        <w:t>Young professionals in Kuwait, aged 22 to 35. They work in offices, order coffee on their phone, and follow local food accounts. They want good coffee that feels local and modern.</w:t>
      </w:r>
    </w:p>
    <w:p>
      <w:pPr>
        <w:pStyle w:val="Heading1"/>
      </w:pPr>
      <w:r>
        <w:t>Key messages</w:t>
      </w:r>
    </w:p>
    <w:p>
      <w:pPr>
        <w:pStyle w:val="ListNumber"/>
      </w:pPr>
      <w:r>
        <w:rPr>
          <w:b/>
        </w:rPr>
        <w:t xml:space="preserve">Real coffee, naturally sweet. </w:t>
      </w:r>
      <w:r>
        <w:t>Slow cold-brewed coffee, sweetened with date syrup.</w:t>
      </w:r>
    </w:p>
    <w:p>
      <w:pPr>
        <w:pStyle w:val="ListNumber"/>
      </w:pPr>
      <w:r>
        <w:rPr>
          <w:b/>
        </w:rPr>
        <w:t xml:space="preserve">Made in Kuwait. </w:t>
      </w:r>
      <w:r>
        <w:t>From our Shuwaikh kitchen to your desk.</w:t>
      </w:r>
    </w:p>
    <w:p>
      <w:pPr>
        <w:pStyle w:val="ListNumber"/>
      </w:pPr>
      <w:r>
        <w:rPr>
          <w:b/>
        </w:rPr>
        <w:t xml:space="preserve">Ready when you are. </w:t>
      </w:r>
      <w:r>
        <w:t>Grab it in our cafés or order it in the app.</w:t>
      </w:r>
    </w:p>
    <w:p>
      <w:pPr>
        <w:pStyle w:val="Heading1"/>
      </w:pPr>
      <w:r>
        <w:t>Channels</w:t>
      </w:r>
    </w:p>
    <w:p>
      <w:pPr>
        <w:pStyle w:val="ListBullet"/>
      </w:pPr>
      <w:r>
        <w:t>Instagram — launch posts, reels and stories</w:t>
      </w:r>
    </w:p>
    <w:p>
      <w:pPr>
        <w:pStyle w:val="ListBullet"/>
      </w:pPr>
      <w:r>
        <w:t>TikTok — short videos with local creators</w:t>
      </w:r>
    </w:p>
    <w:p>
      <w:pPr>
        <w:pStyle w:val="ListBullet"/>
      </w:pPr>
      <w:r>
        <w:t>Snapchat — filters and ads around office areas</w:t>
      </w:r>
    </w:p>
    <w:p>
      <w:pPr>
        <w:pStyle w:val="ListBullet"/>
      </w:pPr>
      <w:r>
        <w:t>Influencers — 5 local food and lifestyle creators</w:t>
      </w:r>
    </w:p>
    <w:p>
      <w:pPr>
        <w:pStyle w:val="ListBullet"/>
      </w:pPr>
      <w:r>
        <w:t>In-café — free tasting, posters and table cards</w:t>
      </w:r>
    </w:p>
    <w:p>
      <w:pPr>
        <w:pStyle w:val="ListBullet"/>
      </w:pPr>
      <w:r>
        <w:t>Email and app push — to our 38,000 app users</w:t>
      </w:r>
    </w:p>
    <w:p>
      <w:pPr>
        <w:pStyle w:val="Heading1"/>
      </w:pPr>
      <w:r>
        <w:t>Budget: KWD 18,000</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Item</w:t>
            </w:r>
          </w:p>
        </w:tc>
        <w:tc>
          <w:tcPr>
            <w:tcW w:type="dxa" w:w="2880"/>
          </w:tcPr>
          <w:p>
            <w:r/>
            <w:r>
              <w:rPr>
                <w:b/>
              </w:rPr>
              <w:t>KWD</w:t>
            </w:r>
          </w:p>
        </w:tc>
        <w:tc>
          <w:tcPr>
            <w:tcW w:type="dxa" w:w="2880"/>
          </w:tcPr>
          <w:p>
            <w:r/>
            <w:r>
              <w:rPr>
                <w:b/>
              </w:rPr>
              <w:t>Share</w:t>
            </w:r>
          </w:p>
        </w:tc>
      </w:tr>
      <w:tr>
        <w:tc>
          <w:tcPr>
            <w:tcW w:type="dxa" w:w="2880"/>
          </w:tcPr>
          <w:p>
            <w:r>
              <w:t>Instagram ads</w:t>
            </w:r>
          </w:p>
        </w:tc>
        <w:tc>
          <w:tcPr>
            <w:tcW w:type="dxa" w:w="2880"/>
          </w:tcPr>
          <w:p>
            <w:pPr>
              <w:jc w:val="right"/>
            </w:pPr>
            <w:r>
              <w:t>4,500</w:t>
            </w:r>
          </w:p>
        </w:tc>
        <w:tc>
          <w:tcPr>
            <w:tcW w:type="dxa" w:w="2880"/>
          </w:tcPr>
          <w:p>
            <w:pPr>
              <w:jc w:val="right"/>
            </w:pPr>
            <w:r>
              <w:t>25%</w:t>
            </w:r>
          </w:p>
        </w:tc>
      </w:tr>
      <w:tr>
        <w:tc>
          <w:tcPr>
            <w:tcW w:type="dxa" w:w="2880"/>
          </w:tcPr>
          <w:p>
            <w:r>
              <w:t>TikTok ads and creators</w:t>
            </w:r>
          </w:p>
        </w:tc>
        <w:tc>
          <w:tcPr>
            <w:tcW w:type="dxa" w:w="2880"/>
          </w:tcPr>
          <w:p>
            <w:pPr>
              <w:jc w:val="right"/>
            </w:pPr>
            <w:r>
              <w:t>4,000</w:t>
            </w:r>
          </w:p>
        </w:tc>
        <w:tc>
          <w:tcPr>
            <w:tcW w:type="dxa" w:w="2880"/>
          </w:tcPr>
          <w:p>
            <w:pPr>
              <w:jc w:val="right"/>
            </w:pPr>
            <w:r>
              <w:t>22%</w:t>
            </w:r>
          </w:p>
        </w:tc>
      </w:tr>
      <w:tr>
        <w:tc>
          <w:tcPr>
            <w:tcW w:type="dxa" w:w="2880"/>
          </w:tcPr>
          <w:p>
            <w:r>
              <w:t>Influencer collaborations</w:t>
            </w:r>
          </w:p>
        </w:tc>
        <w:tc>
          <w:tcPr>
            <w:tcW w:type="dxa" w:w="2880"/>
          </w:tcPr>
          <w:p>
            <w:pPr>
              <w:jc w:val="right"/>
            </w:pPr>
            <w:r>
              <w:t>3,000</w:t>
            </w:r>
          </w:p>
        </w:tc>
        <w:tc>
          <w:tcPr>
            <w:tcW w:type="dxa" w:w="2880"/>
          </w:tcPr>
          <w:p>
            <w:pPr>
              <w:jc w:val="right"/>
            </w:pPr>
            <w:r>
              <w:t>17%</w:t>
            </w:r>
          </w:p>
        </w:tc>
      </w:tr>
      <w:tr>
        <w:tc>
          <w:tcPr>
            <w:tcW w:type="dxa" w:w="2880"/>
          </w:tcPr>
          <w:p>
            <w:r>
              <w:t>Snapchat ads</w:t>
            </w:r>
          </w:p>
        </w:tc>
        <w:tc>
          <w:tcPr>
            <w:tcW w:type="dxa" w:w="2880"/>
          </w:tcPr>
          <w:p>
            <w:pPr>
              <w:jc w:val="right"/>
            </w:pPr>
            <w:r>
              <w:t>2,500</w:t>
            </w:r>
          </w:p>
        </w:tc>
        <w:tc>
          <w:tcPr>
            <w:tcW w:type="dxa" w:w="2880"/>
          </w:tcPr>
          <w:p>
            <w:pPr>
              <w:jc w:val="right"/>
            </w:pPr>
            <w:r>
              <w:t>14%</w:t>
            </w:r>
          </w:p>
        </w:tc>
      </w:tr>
      <w:tr>
        <w:tc>
          <w:tcPr>
            <w:tcW w:type="dxa" w:w="2880"/>
          </w:tcPr>
          <w:p>
            <w:r>
              <w:t>In-café sampling and materials</w:t>
            </w:r>
          </w:p>
        </w:tc>
        <w:tc>
          <w:tcPr>
            <w:tcW w:type="dxa" w:w="2880"/>
          </w:tcPr>
          <w:p>
            <w:pPr>
              <w:jc w:val="right"/>
            </w:pPr>
            <w:r>
              <w:t>2,500</w:t>
            </w:r>
          </w:p>
        </w:tc>
        <w:tc>
          <w:tcPr>
            <w:tcW w:type="dxa" w:w="2880"/>
          </w:tcPr>
          <w:p>
            <w:pPr>
              <w:jc w:val="right"/>
            </w:pPr>
            <w:r>
              <w:t>14%</w:t>
            </w:r>
          </w:p>
        </w:tc>
      </w:tr>
      <w:tr>
        <w:tc>
          <w:tcPr>
            <w:tcW w:type="dxa" w:w="2880"/>
          </w:tcPr>
          <w:p>
            <w:r>
              <w:t>Contingency</w:t>
            </w:r>
          </w:p>
        </w:tc>
        <w:tc>
          <w:tcPr>
            <w:tcW w:type="dxa" w:w="2880"/>
          </w:tcPr>
          <w:p>
            <w:pPr>
              <w:jc w:val="right"/>
            </w:pPr>
            <w:r>
              <w:t>1,000</w:t>
            </w:r>
          </w:p>
        </w:tc>
        <w:tc>
          <w:tcPr>
            <w:tcW w:type="dxa" w:w="2880"/>
          </w:tcPr>
          <w:p>
            <w:pPr>
              <w:jc w:val="right"/>
            </w:pPr>
            <w:r>
              <w:t>6%</w:t>
            </w:r>
          </w:p>
        </w:tc>
      </w:tr>
      <w:tr>
        <w:tc>
          <w:tcPr>
            <w:tcW w:type="dxa" w:w="2880"/>
          </w:tcPr>
          <w:p>
            <w:r>
              <w:t>Email and app push</w:t>
            </w:r>
          </w:p>
        </w:tc>
        <w:tc>
          <w:tcPr>
            <w:tcW w:type="dxa" w:w="2880"/>
          </w:tcPr>
          <w:p>
            <w:pPr>
              <w:jc w:val="right"/>
            </w:pPr>
            <w:r>
              <w:t>500</w:t>
            </w:r>
          </w:p>
        </w:tc>
        <w:tc>
          <w:tcPr>
            <w:tcW w:type="dxa" w:w="2880"/>
          </w:tcPr>
          <w:p>
            <w:pPr>
              <w:jc w:val="right"/>
            </w:pPr>
            <w:r>
              <w:t>3%</w:t>
            </w:r>
          </w:p>
        </w:tc>
      </w:tr>
      <w:tr>
        <w:tc>
          <w:tcPr>
            <w:tcW w:type="dxa" w:w="2880"/>
          </w:tcPr>
          <w:p>
            <w:r>
              <w:t>Total</w:t>
            </w:r>
          </w:p>
        </w:tc>
        <w:tc>
          <w:tcPr>
            <w:tcW w:type="dxa" w:w="2880"/>
          </w:tcPr>
          <w:p>
            <w:pPr>
              <w:jc w:val="right"/>
            </w:pPr>
            <w:r>
              <w:t>18,000</w:t>
            </w:r>
          </w:p>
        </w:tc>
        <w:tc>
          <w:tcPr>
            <w:tcW w:type="dxa" w:w="2880"/>
          </w:tcPr>
          <w:p>
            <w:pPr>
              <w:jc w:val="right"/>
            </w:pPr>
            <w:r>
              <w:t>100%</w:t>
            </w:r>
          </w:p>
        </w:tc>
      </w:tr>
    </w:tbl>
    <w:p/>
    <w:p>
      <w:pPr>
        <w:pStyle w:val="Heading1"/>
      </w:pPr>
      <w:r>
        <w:t>Timeline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Dates</w:t>
            </w:r>
          </w:p>
        </w:tc>
        <w:tc>
          <w:tcPr>
            <w:tcW w:type="dxa" w:w="2880"/>
          </w:tcPr>
          <w:p>
            <w:r/>
            <w:r>
              <w:rPr>
                <w:b/>
              </w:rPr>
              <w:t>Phase</w:t>
            </w:r>
          </w:p>
        </w:tc>
        <w:tc>
          <w:tcPr>
            <w:tcW w:type="dxa" w:w="2880"/>
          </w:tcPr>
          <w:p>
            <w:r/>
            <w:r>
              <w:rPr>
                <w:b/>
              </w:rPr>
              <w:t>What happens</w:t>
            </w:r>
          </w:p>
        </w:tc>
      </w:tr>
      <w:tr>
        <w:tc>
          <w:tcPr>
            <w:tcW w:type="dxa" w:w="2880"/>
          </w:tcPr>
          <w:p>
            <w:r>
              <w:t>4–17 Oct</w:t>
            </w:r>
          </w:p>
        </w:tc>
        <w:tc>
          <w:tcPr>
            <w:tcW w:type="dxa" w:w="2880"/>
          </w:tcPr>
          <w:p>
            <w:r>
              <w:t>Teaser</w:t>
            </w:r>
          </w:p>
        </w:tc>
        <w:tc>
          <w:tcPr>
            <w:tcW w:type="dxa" w:w="2880"/>
          </w:tcPr>
          <w:p>
            <w:r>
              <w:t>“Something new is brewing” posts; app users join a waiting list</w:t>
            </w:r>
          </w:p>
        </w:tc>
      </w:tr>
      <w:tr>
        <w:tc>
          <w:tcPr>
            <w:tcW w:type="dxa" w:w="2880"/>
          </w:tcPr>
          <w:p>
            <w:r>
              <w:t>18 Oct</w:t>
            </w:r>
          </w:p>
        </w:tc>
        <w:tc>
          <w:tcPr>
            <w:tcW w:type="dxa" w:w="2880"/>
          </w:tcPr>
          <w:p>
            <w:r>
              <w:t>Launch day</w:t>
            </w:r>
          </w:p>
        </w:tc>
        <w:tc>
          <w:tcPr>
            <w:tcW w:type="dxa" w:w="2880"/>
          </w:tcPr>
          <w:p>
            <w:r>
              <w:t>Launch in all six cafés and the app; creators post</w:t>
            </w:r>
          </w:p>
        </w:tc>
      </w:tr>
      <w:tr>
        <w:tc>
          <w:tcPr>
            <w:tcW w:type="dxa" w:w="2880"/>
          </w:tcPr>
          <w:p>
            <w:r>
              <w:t>18–31 Oct</w:t>
            </w:r>
          </w:p>
        </w:tc>
        <w:tc>
          <w:tcPr>
            <w:tcW w:type="dxa" w:w="2880"/>
          </w:tcPr>
          <w:p>
            <w:r>
              <w:t>Weeks 1–2</w:t>
            </w:r>
          </w:p>
        </w:tc>
        <w:tc>
          <w:tcPr>
            <w:tcW w:type="dxa" w:w="2880"/>
          </w:tcPr>
          <w:p>
            <w:r>
              <w:t>Free tasting in cafés; paid social at full weight</w:t>
            </w:r>
          </w:p>
        </w:tc>
      </w:tr>
      <w:tr>
        <w:tc>
          <w:tcPr>
            <w:tcW w:type="dxa" w:w="2880"/>
          </w:tcPr>
          <w:p>
            <w:r>
              <w:t>1–14 Nov</w:t>
            </w:r>
          </w:p>
        </w:tc>
        <w:tc>
          <w:tcPr>
            <w:tcW w:type="dxa" w:w="2880"/>
          </w:tcPr>
          <w:p>
            <w:r>
              <w:t>Weeks 3–4</w:t>
            </w:r>
          </w:p>
        </w:tc>
        <w:tc>
          <w:tcPr>
            <w:tcW w:type="dxa" w:w="2880"/>
          </w:tcPr>
          <w:p>
            <w:r>
              <w:t>Office push: Snapchat around office areas; bundle offer</w:t>
            </w:r>
          </w:p>
        </w:tc>
      </w:tr>
      <w:tr>
        <w:tc>
          <w:tcPr>
            <w:tcW w:type="dxa" w:w="2880"/>
          </w:tcPr>
          <w:p>
            <w:r>
              <w:t>15–28 Nov</w:t>
            </w:r>
          </w:p>
        </w:tc>
        <w:tc>
          <w:tcPr>
            <w:tcW w:type="dxa" w:w="2880"/>
          </w:tcPr>
          <w:p>
            <w:r>
              <w:t>Weeks 5–6</w:t>
            </w:r>
          </w:p>
        </w:tc>
        <w:tc>
          <w:tcPr>
            <w:tcW w:type="dxa" w:w="2880"/>
          </w:tcPr>
          <w:p>
            <w:r>
              <w:t>Loyalty offer in the app; results review on 30 Nov</w:t>
            </w:r>
          </w:p>
        </w:tc>
      </w:tr>
    </w:tbl>
    <w:p/>
    <w:p>
      <w:pPr>
        <w:pStyle w:val="Heading1"/>
      </w:pPr>
      <w:r>
        <w:t>KPIs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KPI</w:t>
            </w:r>
          </w:p>
        </w:tc>
        <w:tc>
          <w:tcPr>
            <w:tcW w:type="dxa" w:w="4320"/>
          </w:tcPr>
          <w:p>
            <w:r/>
            <w:r>
              <w:rPr>
                <w:b/>
              </w:rPr>
              <w:t>Target (6 weeks)</w:t>
            </w:r>
          </w:p>
        </w:tc>
      </w:tr>
      <w:tr>
        <w:tc>
          <w:tcPr>
            <w:tcW w:type="dxa" w:w="4320"/>
          </w:tcPr>
          <w:p>
            <w:r>
              <w:t>Bottles sold</w:t>
            </w:r>
          </w:p>
        </w:tc>
        <w:tc>
          <w:tcPr>
            <w:tcW w:type="dxa" w:w="4320"/>
          </w:tcPr>
          <w:p>
            <w:pPr>
              <w:jc w:val="right"/>
            </w:pPr>
            <w:r>
              <w:t>25,000</w:t>
            </w:r>
          </w:p>
        </w:tc>
      </w:tr>
      <w:tr>
        <w:tc>
          <w:tcPr>
            <w:tcW w:type="dxa" w:w="4320"/>
          </w:tcPr>
          <w:p>
            <w:r>
              <w:t>New app users</w:t>
            </w:r>
          </w:p>
        </w:tc>
        <w:tc>
          <w:tcPr>
            <w:tcW w:type="dxa" w:w="4320"/>
          </w:tcPr>
          <w:p>
            <w:pPr>
              <w:jc w:val="right"/>
            </w:pPr>
            <w:r>
              <w:t>4,000</w:t>
            </w:r>
          </w:p>
        </w:tc>
      </w:tr>
      <w:tr>
        <w:tc>
          <w:tcPr>
            <w:tcW w:type="dxa" w:w="4320"/>
          </w:tcPr>
          <w:p>
            <w:r>
              <w:t>Cold brew share of café coffee orders</w:t>
            </w:r>
          </w:p>
        </w:tc>
        <w:tc>
          <w:tcPr>
            <w:tcW w:type="dxa" w:w="4320"/>
          </w:tcPr>
          <w:p>
            <w:pPr>
              <w:jc w:val="right"/>
            </w:pPr>
            <w:r>
              <w:t>15%</w:t>
            </w:r>
          </w:p>
        </w:tc>
      </w:tr>
      <w:tr>
        <w:tc>
          <w:tcPr>
            <w:tcW w:type="dxa" w:w="4320"/>
          </w:tcPr>
          <w:p>
            <w:r>
              <w:t>Social impressions</w:t>
            </w:r>
          </w:p>
        </w:tc>
        <w:tc>
          <w:tcPr>
            <w:tcW w:type="dxa" w:w="4320"/>
          </w:tcPr>
          <w:p>
            <w:pPr>
              <w:jc w:val="right"/>
            </w:pPr>
            <w:r>
              <w:t>2,000,000</w:t>
            </w:r>
          </w:p>
        </w:tc>
      </w:tr>
      <w:tr>
        <w:tc>
          <w:tcPr>
            <w:tcW w:type="dxa" w:w="4320"/>
          </w:tcPr>
          <w:p>
            <w:r>
              <w:t>Return on ad spend (revenue ÷ spend)</w:t>
            </w:r>
          </w:p>
        </w:tc>
        <w:tc>
          <w:tcPr>
            <w:tcW w:type="dxa" w:w="4320"/>
          </w:tcPr>
          <w:p>
            <w:pPr>
              <w:jc w:val="right"/>
            </w:pPr>
            <w:r>
              <w:t>3.0 or higher</w:t>
            </w:r>
          </w:p>
        </w:tc>
      </w:tr>
    </w:tbl>
    <w:p/>
    <w:p>
      <w:pPr>
        <w:pStyle w:val="Heading1"/>
      </w:pPr>
      <w:r>
        <w:t>Creative ideas</w:t>
      </w:r>
    </w:p>
    <w:p>
      <w:pPr>
        <w:pStyle w:val="ListBullet"/>
      </w:pPr>
      <w:r>
        <w:t>“My desk, my Tamra” — creators show their morning routine with a bottle of cold brew at work.</w:t>
      </w:r>
    </w:p>
    <w:p>
      <w:pPr>
        <w:pStyle w:val="ListBullet"/>
      </w:pPr>
      <w:r>
        <w:t>Street tasting — a Tamra cart gives free samples near office towers in Sharq and Shuwaikh.</w:t>
      </w:r>
    </w:p>
    <w:p>
      <w:pPr>
        <w:pStyle w:val="ListBullet"/>
      </w:pPr>
      <w:r>
        <w:t>App-only launch bundle — two bottles and a date bar at a launch price for the first two weeks.</w:t>
      </w:r>
    </w:p>
    <w:p>
      <w:pPr>
        <w:pStyle w:val="ListBullet"/>
      </w:pPr>
      <w:r>
        <w:t>In-café “first sip” photo wall with the Tamra logo in English and Arabic.</w:t>
      </w:r>
    </w:p>
    <w:p>
      <w:pPr>
        <w:pStyle w:val="Heading1"/>
      </w:pPr>
      <w:r>
        <w:t>Risks</w:t>
      </w:r>
    </w:p>
    <w:p>
      <w:pPr>
        <w:pStyle w:val="ListBullet"/>
      </w:pPr>
      <w:r>
        <w:t>Supply: if demand is high, bottles may sell out in the first week. Production plans a 20% buffer.</w:t>
      </w:r>
    </w:p>
    <w:p>
      <w:pPr>
        <w:pStyle w:val="ListBullet"/>
      </w:pPr>
      <w:r>
        <w:t>Price: KWD 1.750 per bottle may feel high. The launch bundle helps people try it.</w:t>
      </w:r>
    </w:p>
    <w:p>
      <w:pPr>
        <w:pStyle w:val="ListBullet"/>
      </w:pPr>
      <w:r>
        <w:t>Weather: cold drinks sell less when it gets cooler in late November.</w:t>
      </w:r>
    </w:p>
    <w:p>
      <w:pPr>
        <w:pStyle w:val="ListBullet"/>
      </w:pPr>
      <w:r>
        <w:t>Budget: if the budget is cut, we lose reach with the 22–35 audience on TikTok.</w:t>
      </w:r>
    </w:p>
    <w:p>
      <w:pPr>
        <w:pStyle w:val="Heading1"/>
      </w:pPr>
      <w:r>
        <w:t>Brand rules</w:t>
      </w:r>
    </w:p>
    <w:p>
      <w:pPr>
        <w:pStyle w:val="ListBullet"/>
      </w:pPr>
      <w:r>
        <w:t>Bilingual: every post and poster in English and Arabic.</w:t>
      </w:r>
    </w:p>
    <w:p>
      <w:pPr>
        <w:pStyle w:val="ListBullet"/>
      </w:pPr>
      <w:r>
        <w:t>No health claims. Do not say “healthy”, “sugar-free” or “good for you”.</w:t>
      </w:r>
    </w:p>
    <w:p>
      <w:pPr>
        <w:pStyle w:val="ListBullet"/>
      </w:pPr>
      <w:r>
        <w:t>Tone: local and warm. Talk like a friend, not like an advert.</w:t>
      </w:r>
    </w:p>
    <w:p>
      <w:pPr>
        <w:pStyle w:val="ListBullet"/>
      </w:pPr>
      <w:r>
        <w:t>Show real Tamra cafés and real Kuwaiti places.</w:t>
      </w:r>
    </w:p>
    <w:p>
      <w:pPr>
        <w:pStyle w:val="ListBullet"/>
      </w:pPr>
      <w:r>
        <w:t>Use the Tamra logo and colours from the brand kit.</w:t>
      </w:r>
    </w:p>
    <w:p>
      <w:r>
        <w:t>Contact: marketing@tamrafoods.example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95959"/>
        <w:sz w:val="16"/>
      </w:rPr>
      <w:t>Fictional sample data for training — Tamra Foods Co. is not a real company.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