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2026 Business Review</w:t>
      </w:r>
    </w:p>
    <w:p>
      <w:r>
        <w:rPr>
          <w:color w:val="595959"/>
        </w:rPr>
        <w:t>Tamra Foods Co. — prepared for the Board of Directors, September 2026. Period: January to June 2026.</w:t>
      </w:r>
    </w:p>
    <w:p>
      <w:pPr>
        <w:pStyle w:val="Heading1"/>
      </w:pPr>
      <w:r>
        <w:t>Headline results</w:t>
      </w:r>
    </w:p>
    <w:p>
      <w:pPr>
        <w:pStyle w:val="ListBullet"/>
      </w:pPr>
      <w:r>
        <w:t>Revenue for H1 2026 was KWD 5,026,200.</w:t>
      </w:r>
    </w:p>
    <w:p>
      <w:pPr>
        <w:pStyle w:val="ListBullet"/>
      </w:pPr>
      <w:r>
        <w:t>Operating profit was KWD 1,011,400, an operating margin of 20.1%.</w:t>
      </w:r>
    </w:p>
    <w:p>
      <w:pPr>
        <w:pStyle w:val="ListBullet"/>
      </w:pPr>
      <w:r>
        <w:t>Cafés grew every month: from KWD 309,300 in January to KWD 341,800 in June.</w:t>
      </w:r>
    </w:p>
    <w:p>
      <w:pPr>
        <w:pStyle w:val="ListBullet"/>
      </w:pPr>
      <w:r>
        <w:t>Delivery app revenue grew 38% from January to June, but its margin fell from 18.2% to 8.1%.</w:t>
      </w:r>
    </w:p>
    <w:p>
      <w:pPr>
        <w:pStyle w:val="ListBullet"/>
      </w:pPr>
      <w:r>
        <w:t>Wholesale stayed stable at about KWD 400,000 per month.</w:t>
      </w:r>
    </w:p>
    <w:p>
      <w:pPr>
        <w:pStyle w:val="ListBullet"/>
      </w:pPr>
      <w:r>
        <w:t>Café guests are the most satisfied customers (average score 4.6 out of 5).</w:t>
      </w:r>
    </w:p>
    <w:p>
      <w:r>
        <w:t>At this pace, full-year revenue will pass the FY2025 total of KWD 9.6 million.</w:t>
      </w:r>
    </w:p>
    <w:p>
      <w:pPr>
        <w:pStyle w:val="Heading1"/>
      </w:pPr>
      <w:r>
        <w:t>Results by business unit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Business unit</w:t>
            </w:r>
          </w:p>
        </w:tc>
        <w:tc>
          <w:tcPr>
            <w:tcW w:type="dxa" w:w="1234"/>
          </w:tcPr>
          <w:p>
            <w:r/>
            <w:r>
              <w:rPr>
                <w:b/>
              </w:rPr>
              <w:t>Revenue (KWD)</w:t>
            </w:r>
          </w:p>
        </w:tc>
        <w:tc>
          <w:tcPr>
            <w:tcW w:type="dxa" w:w="1234"/>
          </w:tcPr>
          <w:p>
            <w:r/>
            <w:r>
              <w:rPr>
                <w:b/>
              </w:rPr>
              <w:t>Cost of sales (KWD)</w:t>
            </w:r>
          </w:p>
        </w:tc>
        <w:tc>
          <w:tcPr>
            <w:tcW w:type="dxa" w:w="1234"/>
          </w:tcPr>
          <w:p>
            <w:r/>
            <w:r>
              <w:rPr>
                <w:b/>
              </w:rPr>
              <w:t>Operating costs (KWD)</w:t>
            </w:r>
          </w:p>
        </w:tc>
        <w:tc>
          <w:tcPr>
            <w:tcW w:type="dxa" w:w="1234"/>
          </w:tcPr>
          <w:p>
            <w:r/>
            <w:r>
              <w:rPr>
                <w:b/>
              </w:rPr>
              <w:t>Operating profit (KWD)</w:t>
            </w:r>
          </w:p>
        </w:tc>
        <w:tc>
          <w:tcPr>
            <w:tcW w:type="dxa" w:w="1234"/>
          </w:tcPr>
          <w:p>
            <w:r/>
            <w:r>
              <w:rPr>
                <w:b/>
              </w:rPr>
              <w:t>Margin</w:t>
            </w:r>
          </w:p>
        </w:tc>
        <w:tc>
          <w:tcPr>
            <w:tcW w:type="dxa" w:w="1234"/>
          </w:tcPr>
          <w:p>
            <w:r/>
            <w:r>
              <w:rPr>
                <w:b/>
              </w:rPr>
              <w:t>Satisfaction</w:t>
            </w:r>
          </w:p>
        </w:tc>
      </w:tr>
      <w:tr>
        <w:tc>
          <w:tcPr>
            <w:tcW w:type="dxa" w:w="1234"/>
          </w:tcPr>
          <w:p>
            <w:r>
              <w:t>Wholesale</w:t>
            </w:r>
          </w:p>
        </w:tc>
        <w:tc>
          <w:tcPr>
            <w:tcW w:type="dxa" w:w="1234"/>
          </w:tcPr>
          <w:p>
            <w:pPr>
              <w:jc w:val="right"/>
            </w:pPr>
            <w:r>
              <w:t>2,418,100</w:t>
            </w:r>
          </w:p>
        </w:tc>
        <w:tc>
          <w:tcPr>
            <w:tcW w:type="dxa" w:w="1234"/>
          </w:tcPr>
          <w:p>
            <w:pPr>
              <w:jc w:val="right"/>
            </w:pPr>
            <w:r>
              <w:t>1,404,800</w:t>
            </w:r>
          </w:p>
        </w:tc>
        <w:tc>
          <w:tcPr>
            <w:tcW w:type="dxa" w:w="1234"/>
          </w:tcPr>
          <w:p>
            <w:pPr>
              <w:jc w:val="right"/>
            </w:pPr>
            <w:r>
              <w:t>535,500</w:t>
            </w:r>
          </w:p>
        </w:tc>
        <w:tc>
          <w:tcPr>
            <w:tcW w:type="dxa" w:w="1234"/>
          </w:tcPr>
          <w:p>
            <w:pPr>
              <w:jc w:val="right"/>
            </w:pPr>
            <w:r>
              <w:t>477,800</w:t>
            </w:r>
          </w:p>
        </w:tc>
        <w:tc>
          <w:tcPr>
            <w:tcW w:type="dxa" w:w="1234"/>
          </w:tcPr>
          <w:p>
            <w:pPr>
              <w:jc w:val="right"/>
            </w:pPr>
            <w:r>
              <w:t>19.8%</w:t>
            </w:r>
          </w:p>
        </w:tc>
        <w:tc>
          <w:tcPr>
            <w:tcW w:type="dxa" w:w="1234"/>
          </w:tcPr>
          <w:p>
            <w:pPr>
              <w:jc w:val="right"/>
            </w:pPr>
            <w:r>
              <w:t>4.3</w:t>
            </w:r>
          </w:p>
        </w:tc>
      </w:tr>
      <w:tr>
        <w:tc>
          <w:tcPr>
            <w:tcW w:type="dxa" w:w="1234"/>
          </w:tcPr>
          <w:p>
            <w:r>
              <w:t>Cafés</w:t>
            </w:r>
          </w:p>
        </w:tc>
        <w:tc>
          <w:tcPr>
            <w:tcW w:type="dxa" w:w="1234"/>
          </w:tcPr>
          <w:p>
            <w:pPr>
              <w:jc w:val="right"/>
            </w:pPr>
            <w:r>
              <w:t>1,954,200</w:t>
            </w:r>
          </w:p>
        </w:tc>
        <w:tc>
          <w:tcPr>
            <w:tcW w:type="dxa" w:w="1234"/>
          </w:tcPr>
          <w:p>
            <w:pPr>
              <w:jc w:val="right"/>
            </w:pPr>
            <w:r>
              <w:t>780,800</w:t>
            </w:r>
          </w:p>
        </w:tc>
        <w:tc>
          <w:tcPr>
            <w:tcW w:type="dxa" w:w="1234"/>
          </w:tcPr>
          <w:p>
            <w:pPr>
              <w:jc w:val="right"/>
            </w:pPr>
            <w:r>
              <w:t>737,200</w:t>
            </w:r>
          </w:p>
        </w:tc>
        <w:tc>
          <w:tcPr>
            <w:tcW w:type="dxa" w:w="1234"/>
          </w:tcPr>
          <w:p>
            <w:pPr>
              <w:jc w:val="right"/>
            </w:pPr>
            <w:r>
              <w:t>436,200</w:t>
            </w:r>
          </w:p>
        </w:tc>
        <w:tc>
          <w:tcPr>
            <w:tcW w:type="dxa" w:w="1234"/>
          </w:tcPr>
          <w:p>
            <w:pPr>
              <w:jc w:val="right"/>
            </w:pPr>
            <w:r>
              <w:t>22.3%</w:t>
            </w:r>
          </w:p>
        </w:tc>
        <w:tc>
          <w:tcPr>
            <w:tcW w:type="dxa" w:w="1234"/>
          </w:tcPr>
          <w:p>
            <w:pPr>
              <w:jc w:val="right"/>
            </w:pPr>
            <w:r>
              <w:t>4.6</w:t>
            </w:r>
          </w:p>
        </w:tc>
      </w:tr>
      <w:tr>
        <w:tc>
          <w:tcPr>
            <w:tcW w:type="dxa" w:w="1234"/>
          </w:tcPr>
          <w:p>
            <w:r>
              <w:t>Delivery app</w:t>
            </w:r>
          </w:p>
        </w:tc>
        <w:tc>
          <w:tcPr>
            <w:tcW w:type="dxa" w:w="1234"/>
          </w:tcPr>
          <w:p>
            <w:pPr>
              <w:jc w:val="right"/>
            </w:pPr>
            <w:r>
              <w:t>653,900</w:t>
            </w:r>
          </w:p>
        </w:tc>
        <w:tc>
          <w:tcPr>
            <w:tcW w:type="dxa" w:w="1234"/>
          </w:tcPr>
          <w:p>
            <w:pPr>
              <w:jc w:val="right"/>
            </w:pPr>
            <w:r>
              <w:t>294,700</w:t>
            </w:r>
          </w:p>
        </w:tc>
        <w:tc>
          <w:tcPr>
            <w:tcW w:type="dxa" w:w="1234"/>
          </w:tcPr>
          <w:p>
            <w:pPr>
              <w:jc w:val="right"/>
            </w:pPr>
            <w:r>
              <w:t>261,800</w:t>
            </w:r>
          </w:p>
        </w:tc>
        <w:tc>
          <w:tcPr>
            <w:tcW w:type="dxa" w:w="1234"/>
          </w:tcPr>
          <w:p>
            <w:pPr>
              <w:jc w:val="right"/>
            </w:pPr>
            <w:r>
              <w:t>97,400</w:t>
            </w:r>
          </w:p>
        </w:tc>
        <w:tc>
          <w:tcPr>
            <w:tcW w:type="dxa" w:w="1234"/>
          </w:tcPr>
          <w:p>
            <w:pPr>
              <w:jc w:val="right"/>
            </w:pPr>
            <w:r>
              <w:t>14.9%</w:t>
            </w:r>
          </w:p>
        </w:tc>
        <w:tc>
          <w:tcPr>
            <w:tcW w:type="dxa" w:w="1234"/>
          </w:tcPr>
          <w:p>
            <w:pPr>
              <w:jc w:val="right"/>
            </w:pPr>
            <w:r>
              <w:t>4.1</w:t>
            </w:r>
          </w:p>
        </w:tc>
      </w:tr>
      <w:tr>
        <w:tc>
          <w:tcPr>
            <w:tcW w:type="dxa" w:w="1234"/>
          </w:tcPr>
          <w:p>
            <w:r>
              <w:t>Total</w:t>
            </w:r>
          </w:p>
        </w:tc>
        <w:tc>
          <w:tcPr>
            <w:tcW w:type="dxa" w:w="1234"/>
          </w:tcPr>
          <w:p>
            <w:pPr>
              <w:jc w:val="right"/>
            </w:pPr>
            <w:r>
              <w:t>5,026,200</w:t>
            </w:r>
          </w:p>
        </w:tc>
        <w:tc>
          <w:tcPr>
            <w:tcW w:type="dxa" w:w="1234"/>
          </w:tcPr>
          <w:p>
            <w:pPr>
              <w:jc w:val="right"/>
            </w:pPr>
            <w:r>
              <w:t>2,480,300</w:t>
            </w:r>
          </w:p>
        </w:tc>
        <w:tc>
          <w:tcPr>
            <w:tcW w:type="dxa" w:w="1234"/>
          </w:tcPr>
          <w:p>
            <w:pPr>
              <w:jc w:val="right"/>
            </w:pPr>
            <w:r>
              <w:t>1,534,500</w:t>
            </w:r>
          </w:p>
        </w:tc>
        <w:tc>
          <w:tcPr>
            <w:tcW w:type="dxa" w:w="1234"/>
          </w:tcPr>
          <w:p>
            <w:pPr>
              <w:jc w:val="right"/>
            </w:pPr>
            <w:r>
              <w:t>1,011,400</w:t>
            </w:r>
          </w:p>
        </w:tc>
        <w:tc>
          <w:tcPr>
            <w:tcW w:type="dxa" w:w="1234"/>
          </w:tcPr>
          <w:p>
            <w:pPr>
              <w:jc w:val="right"/>
            </w:pPr>
            <w:r>
              <w:t>20.1%</w:t>
            </w:r>
          </w:p>
        </w:tc>
        <w:tc>
          <w:tcPr>
            <w:tcW w:type="dxa" w:w="1234"/>
          </w:tcPr>
          <w:p>
            <w:pPr>
              <w:jc w:val="right"/>
            </w:pPr>
            <w:r/>
          </w:p>
        </w:tc>
      </w:tr>
    </w:tbl>
    <w:p/>
    <w:p>
      <w:r>
        <w:t>All amounts are for January to June 2026 and match the monthly KPI file (tamra-monthly-kpis.xlsx).</w:t>
      </w:r>
    </w:p>
    <w:p>
      <w:pPr>
        <w:pStyle w:val="Heading1"/>
      </w:pPr>
      <w:r>
        <w:t>What is driving the numbers</w:t>
      </w:r>
    </w:p>
    <w:p>
      <w:pPr>
        <w:pStyle w:val="Heading2"/>
      </w:pPr>
      <w:r>
        <w:t>1. Delivery app: growth with a margin squeeze</w:t>
      </w:r>
    </w:p>
    <w:p>
      <w:r>
        <w:t>More people use the app every month. Revenue rose from KWD 92,000 in January to KWD 127,400 in June. But from May, operating costs grew faster than revenue. Driver pay went up and the delivery platform raised its fees. The operating margin fell from 17.1% in April to 12.8% in May and 8.1% in June.</w:t>
      </w:r>
    </w:p>
    <w:p>
      <w:r>
        <w:t>If this trend continues, the delivery app will lose money on every order before the end of the year.</w:t>
      </w:r>
    </w:p>
    <w:p>
      <w:pPr>
        <w:pStyle w:val="Heading2"/>
      </w:pPr>
      <w:r>
        <w:t>2. Wholesale: stable, but concentrated</w:t>
      </w:r>
    </w:p>
    <w:p>
      <w:r>
        <w:t>Wholesale is our largest unit. Revenue is steady, but a small number of clients bring a large share. Our top 5 hotel clients brought about 31% of wholesale revenue in H1 (about KWD 750,000).</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Top 5 hotel clients</w:t>
            </w:r>
          </w:p>
        </w:tc>
        <w:tc>
          <w:tcPr>
            <w:tcW w:type="dxa" w:w="4320"/>
          </w:tcPr>
          <w:p>
            <w:r/>
            <w:r>
              <w:rPr>
                <w:b/>
              </w:rPr>
              <w:t>Share of wholesale revenue</w:t>
            </w:r>
          </w:p>
        </w:tc>
      </w:tr>
      <w:tr>
        <w:tc>
          <w:tcPr>
            <w:tcW w:type="dxa" w:w="4320"/>
          </w:tcPr>
          <w:p>
            <w:r>
              <w:t>Pearl Gulf Hotel</w:t>
            </w:r>
          </w:p>
        </w:tc>
        <w:tc>
          <w:tcPr>
            <w:tcW w:type="dxa" w:w="4320"/>
          </w:tcPr>
          <w:p>
            <w:pPr>
              <w:jc w:val="right"/>
            </w:pPr>
            <w:r>
              <w:t>8.2%</w:t>
            </w:r>
          </w:p>
        </w:tc>
      </w:tr>
      <w:tr>
        <w:tc>
          <w:tcPr>
            <w:tcW w:type="dxa" w:w="4320"/>
          </w:tcPr>
          <w:p>
            <w:r>
              <w:t>Liwan Bay Resort</w:t>
            </w:r>
          </w:p>
        </w:tc>
        <w:tc>
          <w:tcPr>
            <w:tcW w:type="dxa" w:w="4320"/>
          </w:tcPr>
          <w:p>
            <w:pPr>
              <w:jc w:val="right"/>
            </w:pPr>
            <w:r>
              <w:t>6.9%</w:t>
            </w:r>
          </w:p>
        </w:tc>
      </w:tr>
      <w:tr>
        <w:tc>
          <w:tcPr>
            <w:tcW w:type="dxa" w:w="4320"/>
          </w:tcPr>
          <w:p>
            <w:r>
              <w:t>Sadu Grand Hotel</w:t>
            </w:r>
          </w:p>
        </w:tc>
        <w:tc>
          <w:tcPr>
            <w:tcW w:type="dxa" w:w="4320"/>
          </w:tcPr>
          <w:p>
            <w:pPr>
              <w:jc w:val="right"/>
            </w:pPr>
            <w:r>
              <w:t>6.1%</w:t>
            </w:r>
          </w:p>
        </w:tc>
      </w:tr>
      <w:tr>
        <w:tc>
          <w:tcPr>
            <w:tcW w:type="dxa" w:w="4320"/>
          </w:tcPr>
          <w:p>
            <w:r>
              <w:t>Jawhara Towers Hotel</w:t>
            </w:r>
          </w:p>
        </w:tc>
        <w:tc>
          <w:tcPr>
            <w:tcW w:type="dxa" w:w="4320"/>
          </w:tcPr>
          <w:p>
            <w:pPr>
              <w:jc w:val="right"/>
            </w:pPr>
            <w:r>
              <w:t>5.3%</w:t>
            </w:r>
          </w:p>
        </w:tc>
      </w:tr>
      <w:tr>
        <w:tc>
          <w:tcPr>
            <w:tcW w:type="dxa" w:w="4320"/>
          </w:tcPr>
          <w:p>
            <w:r>
              <w:t>Qurain Palms Hotel</w:t>
            </w:r>
          </w:p>
        </w:tc>
        <w:tc>
          <w:tcPr>
            <w:tcW w:type="dxa" w:w="4320"/>
          </w:tcPr>
          <w:p>
            <w:pPr>
              <w:jc w:val="right"/>
            </w:pPr>
            <w:r>
              <w:t>4.5%</w:t>
            </w:r>
          </w:p>
        </w:tc>
      </w:tr>
      <w:tr>
        <w:tc>
          <w:tcPr>
            <w:tcW w:type="dxa" w:w="4320"/>
          </w:tcPr>
          <w:p>
            <w:r>
              <w:t>Top 5 total</w:t>
            </w:r>
          </w:p>
        </w:tc>
        <w:tc>
          <w:tcPr>
            <w:tcW w:type="dxa" w:w="4320"/>
          </w:tcPr>
          <w:p>
            <w:pPr>
              <w:jc w:val="right"/>
            </w:pPr>
            <w:r>
              <w:t>31.0%</w:t>
            </w:r>
          </w:p>
        </w:tc>
      </w:tr>
    </w:tbl>
    <w:p/>
    <w:p>
      <w:r>
        <w:t>Losing even one of these clients would hurt wholesale results.</w:t>
      </w:r>
    </w:p>
    <w:p>
      <w:pPr>
        <w:pStyle w:val="Heading2"/>
      </w:pPr>
      <w:r>
        <w:t>3. Cafés: steady growth</w:t>
      </w:r>
    </w:p>
    <w:p>
      <w:r>
        <w:t>Café revenue grew about 2% every month. Guests like the new breakfast menu and the date desserts. Satisfaction stayed between 4.5 and 4.7.</w:t>
      </w:r>
    </w:p>
    <w:p>
      <w:pPr>
        <w:pStyle w:val="Heading1"/>
      </w:pPr>
      <w:r>
        <w:t>Outlook for H2 2026</w:t>
      </w:r>
    </w:p>
    <w:p>
      <w:pPr>
        <w:pStyle w:val="ListBullet"/>
      </w:pPr>
      <w:r>
        <w:rPr>
          <w:b/>
        </w:rPr>
        <w:t xml:space="preserve">Tamra Cold Brew launch. </w:t>
      </w:r>
      <w:r>
        <w:t>Our new cold brew, sweetened with date syrup, launches on 18 October 2026.</w:t>
      </w:r>
    </w:p>
    <w:p>
      <w:pPr>
        <w:pStyle w:val="ListBullet"/>
      </w:pPr>
      <w:r>
        <w:rPr>
          <w:b/>
        </w:rPr>
        <w:t xml:space="preserve">POS upgrade. </w:t>
      </w:r>
      <w:r>
        <w:t>We plan to replace the point-of-sale (POS) terminals in all six cafés and connect them to the delivery app. Pilot at Salmiya, then rollout from October to December 2026.</w:t>
      </w:r>
    </w:p>
    <w:p>
      <w:pPr>
        <w:pStyle w:val="ListBullet"/>
      </w:pPr>
      <w:r>
        <w:rPr>
          <w:b/>
        </w:rPr>
        <w:t xml:space="preserve">Delivery-partner fees. </w:t>
      </w:r>
      <w:r>
        <w:t>We are renegotiating fees with our delivery partner and testing a new delivery fee model for customers.</w:t>
      </w:r>
    </w:p>
    <w:p>
      <w:pPr>
        <w:pStyle w:val="ListBullet"/>
      </w:pPr>
      <w:r>
        <w:rPr>
          <w:b/>
        </w:rPr>
        <w:t xml:space="preserve">Wholesale. </w:t>
      </w:r>
      <w:r>
        <w:t>Hotels are quieter in summer. We expect a dip in July and a recovery from September.</w:t>
      </w:r>
    </w:p>
    <w:p>
      <w:pPr>
        <w:pStyle w:val="Heading1"/>
      </w:pPr>
      <w:r>
        <w:t>Risks</w:t>
      </w:r>
    </w:p>
    <w:p>
      <w:pPr>
        <w:pStyle w:val="ListBullet"/>
      </w:pPr>
      <w:r>
        <w:t>Delivery margin keeps falling if fees and driver pay are not fixed.</w:t>
      </w:r>
    </w:p>
    <w:p>
      <w:pPr>
        <w:pStyle w:val="ListBullet"/>
      </w:pPr>
      <w:r>
        <w:t>Wholesale depends on a few large hotel clients.</w:t>
      </w:r>
    </w:p>
    <w:p>
      <w:pPr>
        <w:pStyle w:val="ListBullet"/>
      </w:pPr>
      <w:r>
        <w:t>Old POS terminals fail more often and slow down service at peak times.</w:t>
      </w:r>
    </w:p>
    <w:p>
      <w:pPr>
        <w:pStyle w:val="ListBullet"/>
      </w:pPr>
      <w:r>
        <w:t>The cold brew launch competes with other new summer and winter drinks in the market.</w:t>
      </w:r>
    </w:p>
    <w:p>
      <w:pPr>
        <w:pStyle w:val="ListBullet"/>
      </w:pPr>
      <w:r>
        <w:t>Coffee bean prices may rise in H2.</w:t>
      </w:r>
    </w:p>
    <w:p>
      <w:pPr>
        <w:pStyle w:val="Heading1"/>
      </w:pPr>
      <w:r>
        <w:t>Decisions needed from the 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Decision</w:t>
            </w:r>
          </w:p>
        </w:tc>
        <w:tc>
          <w:tcPr>
            <w:tcW w:type="dxa" w:w="2880"/>
          </w:tcPr>
          <w:p>
            <w:r/>
            <w:r>
              <w:rPr>
                <w:b/>
              </w:rPr>
              <w:t>Amount / detail</w:t>
            </w:r>
          </w:p>
        </w:tc>
      </w:tr>
      <w:tr>
        <w:tc>
          <w:tcPr>
            <w:tcW w:type="dxa" w:w="2880"/>
          </w:tcPr>
          <w:p>
            <w:r>
              <w:t>1</w:t>
            </w:r>
          </w:p>
        </w:tc>
        <w:tc>
          <w:tcPr>
            <w:tcW w:type="dxa" w:w="2880"/>
          </w:tcPr>
          <w:p>
            <w:r>
              <w:t>Approve the POS upgrade for all six cafés</w:t>
            </w:r>
          </w:p>
        </w:tc>
        <w:tc>
          <w:tcPr>
            <w:tcW w:type="dxa" w:w="2880"/>
          </w:tcPr>
          <w:p>
            <w:r>
              <w:t>KWD 120,000</w:t>
            </w:r>
          </w:p>
        </w:tc>
      </w:tr>
      <w:tr>
        <w:tc>
          <w:tcPr>
            <w:tcW w:type="dxa" w:w="2880"/>
          </w:tcPr>
          <w:p>
            <w:r>
              <w:t>2</w:t>
            </w:r>
          </w:p>
        </w:tc>
        <w:tc>
          <w:tcPr>
            <w:tcW w:type="dxa" w:w="2880"/>
          </w:tcPr>
          <w:p>
            <w:r>
              <w:t>Approve a new delivery fee model (customer delivery fee plus a lower partner commission)</w:t>
            </w:r>
          </w:p>
        </w:tc>
        <w:tc>
          <w:tcPr>
            <w:tcW w:type="dxa" w:w="2880"/>
          </w:tcPr>
          <w:p>
            <w:r>
              <w:t>Details in the CFO paper</w:t>
            </w:r>
          </w:p>
        </w:tc>
      </w:tr>
      <w:tr>
        <w:tc>
          <w:tcPr>
            <w:tcW w:type="dxa" w:w="2880"/>
          </w:tcPr>
          <w:p>
            <w:r>
              <w:t>3</w:t>
            </w:r>
          </w:p>
        </w:tc>
        <w:tc>
          <w:tcPr>
            <w:tcW w:type="dxa" w:w="2880"/>
          </w:tcPr>
          <w:p>
            <w:r>
              <w:t>Approve the Tamra Cold Brew launch budget</w:t>
            </w:r>
          </w:p>
        </w:tc>
        <w:tc>
          <w:tcPr>
            <w:tcW w:type="dxa" w:w="2880"/>
          </w:tcPr>
          <w:p>
            <w:r>
              <w:t>KWD 18,000</w:t>
            </w:r>
          </w:p>
        </w:tc>
      </w:tr>
    </w:tbl>
    <w:p/>
    <w:p>
      <w:r>
        <w:t>Prepared by the Office of the CEO. Questions: ceo.office@tamrafoods.example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