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091AB">
      <w:pPr>
        <w:bidi w:val="0"/>
        <w:jc w:val="center"/>
        <w:rPr>
          <w:rFonts w:hint="default"/>
          <w:b/>
          <w:bCs/>
          <w:sz w:val="52"/>
          <w:szCs w:val="72"/>
          <w:lang w:val="en-US" w:eastAsia="zh-CN"/>
        </w:rPr>
      </w:pPr>
      <w:r>
        <w:rPr>
          <w:rFonts w:hint="eastAsia"/>
          <w:b/>
          <w:bCs/>
          <w:sz w:val="52"/>
          <w:szCs w:val="72"/>
          <w:lang w:val="en-US" w:eastAsia="zh-CN"/>
        </w:rPr>
        <w:t>全环节物流运输成本测算模型</w:t>
      </w:r>
    </w:p>
    <w:p w14:paraId="4DCC1351">
      <w:pPr>
        <w:bidi w:val="0"/>
        <w:jc w:val="center"/>
        <w:rPr>
          <w:rFonts w:hint="default"/>
          <w:b/>
          <w:bCs/>
          <w:sz w:val="52"/>
          <w:szCs w:val="72"/>
          <w:lang w:val="en-US" w:eastAsia="zh-CN"/>
        </w:rPr>
      </w:pPr>
      <w:r>
        <w:rPr>
          <w:rFonts w:hint="eastAsia"/>
          <w:b/>
          <w:bCs/>
          <w:sz w:val="52"/>
          <w:szCs w:val="72"/>
          <w:lang w:val="en-US" w:eastAsia="zh-CN"/>
        </w:rPr>
        <w:t>需求文档</w:t>
      </w:r>
    </w:p>
    <w:p w14:paraId="5B43F394">
      <w:pPr>
        <w:jc w:val="center"/>
        <w:rPr>
          <w:rFonts w:hint="default"/>
          <w:sz w:val="32"/>
          <w:szCs w:val="32"/>
          <w:lang w:val="en-US" w:eastAsia="zh-CN"/>
        </w:rPr>
      </w:pPr>
    </w:p>
    <w:p w14:paraId="3D369263">
      <w:pPr>
        <w:jc w:val="center"/>
        <w:rPr>
          <w:rFonts w:hint="default"/>
          <w:sz w:val="32"/>
          <w:szCs w:val="32"/>
          <w:lang w:val="en-US" w:eastAsia="zh-CN"/>
        </w:rPr>
      </w:pPr>
    </w:p>
    <w:p w14:paraId="2EC5B94B">
      <w:pPr>
        <w:jc w:val="center"/>
        <w:rPr>
          <w:rFonts w:hint="default"/>
          <w:sz w:val="32"/>
          <w:szCs w:val="32"/>
          <w:lang w:val="en-US" w:eastAsia="zh-CN"/>
        </w:rPr>
      </w:pPr>
    </w:p>
    <w:p w14:paraId="74E9920E">
      <w:pPr>
        <w:jc w:val="center"/>
        <w:rPr>
          <w:rFonts w:hint="default"/>
          <w:sz w:val="32"/>
          <w:szCs w:val="32"/>
          <w:lang w:val="en-US" w:eastAsia="zh-CN"/>
        </w:rPr>
      </w:pPr>
    </w:p>
    <w:p w14:paraId="16AF398F">
      <w:pPr>
        <w:jc w:val="center"/>
        <w:rPr>
          <w:rFonts w:hint="default"/>
          <w:sz w:val="32"/>
          <w:szCs w:val="32"/>
          <w:lang w:val="en-US" w:eastAsia="zh-CN"/>
        </w:rPr>
      </w:pPr>
    </w:p>
    <w:p w14:paraId="1F234935">
      <w:pPr>
        <w:jc w:val="center"/>
        <w:rPr>
          <w:rFonts w:hint="default"/>
          <w:sz w:val="32"/>
          <w:szCs w:val="32"/>
          <w:lang w:val="en-US" w:eastAsia="zh-CN"/>
        </w:rPr>
      </w:pPr>
    </w:p>
    <w:p w14:paraId="6AEAF676">
      <w:pPr>
        <w:jc w:val="center"/>
        <w:rPr>
          <w:rFonts w:hint="default"/>
          <w:sz w:val="32"/>
          <w:szCs w:val="32"/>
          <w:lang w:val="en-US" w:eastAsia="zh-CN"/>
        </w:rPr>
      </w:pPr>
    </w:p>
    <w:p w14:paraId="107A4D6C">
      <w:pPr>
        <w:jc w:val="center"/>
        <w:rPr>
          <w:rFonts w:hint="default"/>
          <w:sz w:val="32"/>
          <w:szCs w:val="32"/>
          <w:lang w:val="en-US" w:eastAsia="zh-CN"/>
        </w:rPr>
      </w:pPr>
    </w:p>
    <w:p w14:paraId="12680FC1">
      <w:pPr>
        <w:jc w:val="center"/>
        <w:rPr>
          <w:rFonts w:hint="default"/>
          <w:sz w:val="32"/>
          <w:szCs w:val="32"/>
          <w:lang w:val="en-US" w:eastAsia="zh-CN"/>
        </w:rPr>
      </w:pPr>
    </w:p>
    <w:p w14:paraId="02F6DABE">
      <w:pPr>
        <w:jc w:val="center"/>
        <w:rPr>
          <w:rFonts w:hint="default"/>
          <w:sz w:val="32"/>
          <w:szCs w:val="32"/>
          <w:lang w:val="en-US" w:eastAsia="zh-CN"/>
        </w:rPr>
      </w:pPr>
    </w:p>
    <w:p w14:paraId="17DEA382">
      <w:pPr>
        <w:jc w:val="center"/>
        <w:rPr>
          <w:rFonts w:hint="default"/>
          <w:sz w:val="32"/>
          <w:szCs w:val="32"/>
          <w:lang w:val="en-US" w:eastAsia="zh-CN"/>
        </w:rPr>
      </w:pPr>
    </w:p>
    <w:p w14:paraId="2A4A7CF1">
      <w:pPr>
        <w:jc w:val="center"/>
        <w:rPr>
          <w:rFonts w:hint="default"/>
          <w:sz w:val="32"/>
          <w:szCs w:val="32"/>
          <w:lang w:val="en-US" w:eastAsia="zh-CN"/>
        </w:rPr>
      </w:pPr>
    </w:p>
    <w:p w14:paraId="26FF75B5">
      <w:pPr>
        <w:jc w:val="center"/>
        <w:rPr>
          <w:rFonts w:hint="default"/>
          <w:sz w:val="32"/>
          <w:szCs w:val="32"/>
          <w:lang w:val="en-US" w:eastAsia="zh-CN"/>
        </w:rPr>
      </w:pPr>
    </w:p>
    <w:p w14:paraId="53222BC5">
      <w:pPr>
        <w:jc w:val="center"/>
        <w:rPr>
          <w:rFonts w:hint="default"/>
          <w:sz w:val="32"/>
          <w:szCs w:val="32"/>
          <w:lang w:val="en-US" w:eastAsia="zh-CN"/>
        </w:rPr>
      </w:pPr>
    </w:p>
    <w:p w14:paraId="330A7A81">
      <w:pPr>
        <w:jc w:val="center"/>
        <w:rPr>
          <w:rFonts w:hint="default"/>
          <w:sz w:val="32"/>
          <w:szCs w:val="32"/>
          <w:lang w:val="en-US" w:eastAsia="zh-CN"/>
        </w:rPr>
      </w:pPr>
    </w:p>
    <w:p w14:paraId="75F0F02D">
      <w:pPr>
        <w:jc w:val="center"/>
        <w:rPr>
          <w:rFonts w:hint="default"/>
          <w:sz w:val="32"/>
          <w:szCs w:val="32"/>
          <w:lang w:val="en-US" w:eastAsia="zh-CN"/>
        </w:rPr>
      </w:pPr>
    </w:p>
    <w:p w14:paraId="1BC2C265">
      <w:pPr>
        <w:jc w:val="left"/>
        <w:rPr>
          <w:rFonts w:hint="default"/>
          <w:sz w:val="24"/>
          <w:szCs w:val="24"/>
          <w:lang w:val="en-US" w:eastAsia="zh-CN"/>
        </w:rPr>
      </w:pPr>
      <w:r>
        <w:rPr>
          <w:rFonts w:hint="eastAsia"/>
          <w:sz w:val="24"/>
          <w:szCs w:val="24"/>
          <w:lang w:val="en-US" w:eastAsia="zh-CN"/>
        </w:rPr>
        <w:t>修订记录</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2FB0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ADB0652">
            <w:pPr>
              <w:jc w:val="both"/>
              <w:rPr>
                <w:rFonts w:hint="default"/>
                <w:sz w:val="21"/>
                <w:szCs w:val="21"/>
                <w:vertAlign w:val="baseline"/>
                <w:lang w:val="en-US" w:eastAsia="zh-CN"/>
              </w:rPr>
            </w:pPr>
            <w:r>
              <w:rPr>
                <w:rFonts w:hint="eastAsia"/>
                <w:sz w:val="21"/>
                <w:szCs w:val="21"/>
                <w:vertAlign w:val="baseline"/>
                <w:lang w:val="en-US" w:eastAsia="zh-CN"/>
              </w:rPr>
              <w:t>日期</w:t>
            </w:r>
          </w:p>
        </w:tc>
        <w:tc>
          <w:tcPr>
            <w:tcW w:w="2130" w:type="dxa"/>
          </w:tcPr>
          <w:p w14:paraId="1503C14B">
            <w:pPr>
              <w:jc w:val="both"/>
              <w:rPr>
                <w:rFonts w:hint="default"/>
                <w:sz w:val="21"/>
                <w:szCs w:val="21"/>
                <w:vertAlign w:val="baseline"/>
                <w:lang w:val="en-US" w:eastAsia="zh-CN"/>
              </w:rPr>
            </w:pPr>
            <w:r>
              <w:rPr>
                <w:rFonts w:hint="eastAsia"/>
                <w:sz w:val="21"/>
                <w:szCs w:val="21"/>
                <w:vertAlign w:val="baseline"/>
                <w:lang w:val="en-US" w:eastAsia="zh-CN"/>
              </w:rPr>
              <w:t>版本</w:t>
            </w:r>
          </w:p>
        </w:tc>
        <w:tc>
          <w:tcPr>
            <w:tcW w:w="2131" w:type="dxa"/>
          </w:tcPr>
          <w:p w14:paraId="1C40BB39">
            <w:pPr>
              <w:jc w:val="both"/>
              <w:rPr>
                <w:rFonts w:hint="default"/>
                <w:sz w:val="21"/>
                <w:szCs w:val="21"/>
                <w:vertAlign w:val="baseline"/>
                <w:lang w:val="en-US" w:eastAsia="zh-CN"/>
              </w:rPr>
            </w:pPr>
            <w:r>
              <w:rPr>
                <w:rFonts w:hint="eastAsia"/>
                <w:sz w:val="21"/>
                <w:szCs w:val="21"/>
                <w:vertAlign w:val="baseline"/>
                <w:lang w:val="en-US" w:eastAsia="zh-CN"/>
              </w:rPr>
              <w:t>修改人</w:t>
            </w:r>
          </w:p>
        </w:tc>
        <w:tc>
          <w:tcPr>
            <w:tcW w:w="2131" w:type="dxa"/>
          </w:tcPr>
          <w:p w14:paraId="4B811D73">
            <w:pPr>
              <w:jc w:val="both"/>
              <w:rPr>
                <w:rFonts w:hint="default"/>
                <w:sz w:val="21"/>
                <w:szCs w:val="21"/>
                <w:vertAlign w:val="baseline"/>
                <w:lang w:val="en-US" w:eastAsia="zh-CN"/>
              </w:rPr>
            </w:pPr>
            <w:r>
              <w:rPr>
                <w:rFonts w:hint="eastAsia"/>
                <w:sz w:val="21"/>
                <w:szCs w:val="21"/>
                <w:vertAlign w:val="baseline"/>
                <w:lang w:val="en-US" w:eastAsia="zh-CN"/>
              </w:rPr>
              <w:t>修改内容</w:t>
            </w:r>
          </w:p>
        </w:tc>
      </w:tr>
      <w:tr w14:paraId="415E7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96B3DBB">
            <w:pPr>
              <w:jc w:val="both"/>
              <w:rPr>
                <w:rFonts w:hint="default"/>
                <w:sz w:val="21"/>
                <w:szCs w:val="21"/>
                <w:vertAlign w:val="baseline"/>
                <w:lang w:val="en-US" w:eastAsia="zh-CN"/>
              </w:rPr>
            </w:pPr>
            <w:r>
              <w:rPr>
                <w:rFonts w:hint="eastAsia"/>
                <w:sz w:val="21"/>
                <w:szCs w:val="21"/>
                <w:vertAlign w:val="baseline"/>
                <w:lang w:val="en-US" w:eastAsia="zh-CN"/>
              </w:rPr>
              <w:t>2025-08-08</w:t>
            </w:r>
          </w:p>
        </w:tc>
        <w:tc>
          <w:tcPr>
            <w:tcW w:w="2130" w:type="dxa"/>
          </w:tcPr>
          <w:p w14:paraId="359248A8">
            <w:pPr>
              <w:jc w:val="both"/>
              <w:rPr>
                <w:rFonts w:hint="default"/>
                <w:sz w:val="21"/>
                <w:szCs w:val="21"/>
                <w:vertAlign w:val="baseline"/>
                <w:lang w:val="en-US" w:eastAsia="zh-CN"/>
              </w:rPr>
            </w:pPr>
            <w:r>
              <w:rPr>
                <w:rFonts w:hint="eastAsia"/>
                <w:sz w:val="21"/>
                <w:szCs w:val="21"/>
                <w:vertAlign w:val="baseline"/>
                <w:lang w:val="en-US" w:eastAsia="zh-CN"/>
              </w:rPr>
              <w:t>v1.0</w:t>
            </w:r>
          </w:p>
        </w:tc>
        <w:tc>
          <w:tcPr>
            <w:tcW w:w="2131" w:type="dxa"/>
          </w:tcPr>
          <w:p w14:paraId="0F3BF7E1">
            <w:pPr>
              <w:jc w:val="both"/>
              <w:rPr>
                <w:rFonts w:hint="default"/>
                <w:sz w:val="21"/>
                <w:szCs w:val="21"/>
                <w:vertAlign w:val="baseline"/>
                <w:lang w:val="en-US" w:eastAsia="zh-CN"/>
              </w:rPr>
            </w:pPr>
            <w:r>
              <w:rPr>
                <w:rFonts w:hint="eastAsia"/>
                <w:sz w:val="21"/>
                <w:szCs w:val="21"/>
                <w:vertAlign w:val="baseline"/>
                <w:lang w:val="en-US" w:eastAsia="zh-CN"/>
              </w:rPr>
              <w:t>黄俊棋</w:t>
            </w:r>
          </w:p>
        </w:tc>
        <w:tc>
          <w:tcPr>
            <w:tcW w:w="2131" w:type="dxa"/>
          </w:tcPr>
          <w:p w14:paraId="4D168C5B">
            <w:pPr>
              <w:jc w:val="both"/>
              <w:rPr>
                <w:rFonts w:hint="default"/>
                <w:sz w:val="21"/>
                <w:szCs w:val="21"/>
                <w:vertAlign w:val="baseline"/>
                <w:lang w:val="en-US" w:eastAsia="zh-CN"/>
              </w:rPr>
            </w:pPr>
            <w:r>
              <w:rPr>
                <w:rFonts w:hint="eastAsia"/>
                <w:sz w:val="21"/>
                <w:szCs w:val="21"/>
                <w:vertAlign w:val="baseline"/>
                <w:lang w:val="en-US" w:eastAsia="zh-CN"/>
              </w:rPr>
              <w:t>初稿</w:t>
            </w:r>
          </w:p>
        </w:tc>
      </w:tr>
    </w:tbl>
    <w:p w14:paraId="62F44B0B">
      <w:pPr>
        <w:jc w:val="both"/>
        <w:rPr>
          <w:rFonts w:hint="default"/>
          <w:sz w:val="32"/>
          <w:szCs w:val="32"/>
          <w:lang w:val="en-US" w:eastAsia="zh-CN"/>
        </w:rPr>
        <w:sectPr>
          <w:pgSz w:w="11906" w:h="16838"/>
          <w:pgMar w:top="1440" w:right="1800" w:bottom="1440" w:left="1800" w:header="851" w:footer="992" w:gutter="0"/>
          <w:cols w:space="425" w:num="1"/>
          <w:docGrid w:type="lines" w:linePitch="312" w:charSpace="0"/>
        </w:sectPr>
      </w:pPr>
    </w:p>
    <w:p w14:paraId="3A6032B0">
      <w:pPr>
        <w:pStyle w:val="2"/>
        <w:numPr>
          <w:ilvl w:val="0"/>
          <w:numId w:val="0"/>
        </w:numPr>
        <w:bidi w:val="0"/>
        <w:spacing w:line="240" w:lineRule="auto"/>
        <w:rPr>
          <w:rFonts w:hint="eastAsia"/>
          <w:sz w:val="32"/>
          <w:szCs w:val="20"/>
          <w:lang w:val="en-US" w:eastAsia="zh-CN"/>
        </w:rPr>
      </w:pPr>
    </w:p>
    <w:p w14:paraId="17EE42DC">
      <w:pPr>
        <w:pStyle w:val="2"/>
        <w:numPr>
          <w:ilvl w:val="0"/>
          <w:numId w:val="1"/>
        </w:numPr>
        <w:bidi w:val="0"/>
        <w:spacing w:line="240" w:lineRule="auto"/>
        <w:rPr>
          <w:rFonts w:hint="eastAsia"/>
          <w:sz w:val="32"/>
          <w:szCs w:val="20"/>
          <w:lang w:val="en-US" w:eastAsia="zh-CN"/>
        </w:rPr>
      </w:pPr>
      <w:r>
        <w:rPr>
          <w:rFonts w:hint="eastAsia"/>
          <w:sz w:val="32"/>
          <w:szCs w:val="20"/>
          <w:lang w:val="en-US" w:eastAsia="zh-CN"/>
        </w:rPr>
        <w:t>需求背景</w:t>
      </w:r>
    </w:p>
    <w:p w14:paraId="2BC59A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Ansi="黑体"/>
          <w:szCs w:val="32"/>
        </w:rPr>
      </w:pPr>
      <w:r>
        <w:rPr>
          <w:rFonts w:hint="eastAsia" w:hAnsi="黑体"/>
          <w:szCs w:val="32"/>
        </w:rPr>
        <w:t>我国石油主营销售企业普遍采用物流分级管理模式，通常总部负责成品油物流的统筹管理，具体的物流管理与配送由下属的大区公司及省市公司负责，其中一级物流由大区公司负责，二级物流由大区和省市公司共同负责，三级物流由省市公司负责，相应的物流费用由具体负责的公司承担（一二三级物流划分详见图1）。</w:t>
      </w:r>
    </w:p>
    <w:p w14:paraId="4F71A53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asciiTheme="minorEastAsia" w:hAnsiTheme="minorEastAsia" w:eastAsiaTheme="minorEastAsia"/>
          <w:sz w:val="24"/>
          <w:szCs w:val="32"/>
        </w:rPr>
      </w:pPr>
      <w:r>
        <w:rPr>
          <w:rFonts w:hint="eastAsia" w:hAnsi="黑体"/>
          <w:szCs w:val="32"/>
        </w:rPr>
        <w:t>省市公司在开展物流配送时，一般是按照行政区划配送，即使打破行政区划，但也更多的是以公路运距最短原则配送，较少考虑一二级物流费用，尤其是一级费用，导致物流配送优化仅限于三级或二三级，难以实现配送全环节的统筹优化。</w:t>
      </w:r>
      <w:r>
        <w:rPr>
          <w:rFonts w:hAnsi="黑体"/>
          <w:szCs w:val="32"/>
        </w:rPr>
        <w:t>急需建立一套综合考虑一二三级物流的优化模型，实现全环节运费最省。</w:t>
      </w:r>
    </w:p>
    <w:p w14:paraId="021A570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Ansi="黑体"/>
          <w:szCs w:val="32"/>
        </w:rPr>
      </w:pPr>
      <w:r>
        <w:rPr>
          <w:rFonts w:hAnsi="黑体"/>
          <w:szCs w:val="32"/>
        </w:rPr>
        <w:drawing>
          <wp:anchor distT="0" distB="0" distL="114300" distR="114300" simplePos="0" relativeHeight="251659264" behindDoc="1" locked="0" layoutInCell="1" allowOverlap="1">
            <wp:simplePos x="0" y="0"/>
            <wp:positionH relativeFrom="column">
              <wp:posOffset>-95885</wp:posOffset>
            </wp:positionH>
            <wp:positionV relativeFrom="paragraph">
              <wp:posOffset>367030</wp:posOffset>
            </wp:positionV>
            <wp:extent cx="5691505" cy="3452495"/>
            <wp:effectExtent l="0" t="0" r="4445" b="14605"/>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691505" cy="3452495"/>
                    </a:xfrm>
                    <a:prstGeom prst="rect">
                      <a:avLst/>
                    </a:prstGeom>
                    <a:noFill/>
                  </pic:spPr>
                </pic:pic>
              </a:graphicData>
            </a:graphic>
          </wp:anchor>
        </w:drawing>
      </w:r>
    </w:p>
    <w:p w14:paraId="392C14F9">
      <w:pPr>
        <w:bidi w:val="0"/>
        <w:rPr>
          <w:rFonts w:hint="eastAsia" w:asciiTheme="minorHAnsi" w:hAnsiTheme="minorHAnsi" w:eastAsiaTheme="minorEastAsia" w:cstheme="minorBidi"/>
          <w:kern w:val="2"/>
          <w:sz w:val="21"/>
          <w:szCs w:val="24"/>
          <w:lang w:val="en-US" w:eastAsia="zh-CN" w:bidi="ar-SA"/>
        </w:rPr>
      </w:pPr>
    </w:p>
    <w:p w14:paraId="67FF11AE">
      <w:pPr>
        <w:bidi w:val="0"/>
        <w:rPr>
          <w:rFonts w:hint="eastAsia"/>
          <w:lang w:val="en-US" w:eastAsia="zh-CN"/>
        </w:rPr>
      </w:pPr>
    </w:p>
    <w:p w14:paraId="06079167">
      <w:pPr>
        <w:bidi w:val="0"/>
        <w:rPr>
          <w:rFonts w:hint="eastAsia"/>
          <w:lang w:val="en-US" w:eastAsia="zh-CN"/>
        </w:rPr>
      </w:pPr>
    </w:p>
    <w:p w14:paraId="405D86D5">
      <w:pPr>
        <w:bidi w:val="0"/>
        <w:rPr>
          <w:rFonts w:hint="eastAsia"/>
          <w:lang w:val="en-US" w:eastAsia="zh-CN"/>
        </w:rPr>
      </w:pPr>
    </w:p>
    <w:p w14:paraId="64A3D926">
      <w:pPr>
        <w:bidi w:val="0"/>
        <w:rPr>
          <w:rFonts w:hint="eastAsia"/>
          <w:lang w:val="en-US" w:eastAsia="zh-CN"/>
        </w:rPr>
      </w:pPr>
    </w:p>
    <w:p w14:paraId="73D27E8C">
      <w:pPr>
        <w:bidi w:val="0"/>
        <w:rPr>
          <w:rFonts w:hint="eastAsia"/>
          <w:lang w:val="en-US" w:eastAsia="zh-CN"/>
        </w:rPr>
      </w:pPr>
    </w:p>
    <w:p w14:paraId="778D1828">
      <w:pPr>
        <w:bidi w:val="0"/>
        <w:rPr>
          <w:rFonts w:hint="eastAsia"/>
          <w:lang w:val="en-US" w:eastAsia="zh-CN"/>
        </w:rPr>
      </w:pPr>
    </w:p>
    <w:p w14:paraId="4EE876B2">
      <w:pPr>
        <w:bidi w:val="0"/>
        <w:rPr>
          <w:rFonts w:hint="eastAsia"/>
          <w:lang w:val="en-US" w:eastAsia="zh-CN"/>
        </w:rPr>
      </w:pPr>
    </w:p>
    <w:p w14:paraId="2F742CE5">
      <w:pPr>
        <w:bidi w:val="0"/>
        <w:rPr>
          <w:rFonts w:hint="eastAsia"/>
          <w:lang w:val="en-US" w:eastAsia="zh-CN"/>
        </w:rPr>
      </w:pPr>
    </w:p>
    <w:p w14:paraId="33229AB6">
      <w:pPr>
        <w:bidi w:val="0"/>
        <w:rPr>
          <w:rFonts w:hint="eastAsia"/>
          <w:lang w:val="en-US" w:eastAsia="zh-CN"/>
        </w:rPr>
      </w:pPr>
    </w:p>
    <w:p w14:paraId="4D0C87D8">
      <w:pPr>
        <w:bidi w:val="0"/>
        <w:rPr>
          <w:rFonts w:hint="eastAsia"/>
          <w:lang w:val="en-US" w:eastAsia="zh-CN"/>
        </w:rPr>
      </w:pPr>
    </w:p>
    <w:p w14:paraId="7D257889">
      <w:pPr>
        <w:bidi w:val="0"/>
        <w:rPr>
          <w:rFonts w:hint="eastAsia"/>
          <w:lang w:val="en-US" w:eastAsia="zh-CN"/>
        </w:rPr>
      </w:pPr>
    </w:p>
    <w:p w14:paraId="03649DBB">
      <w:pPr>
        <w:bidi w:val="0"/>
        <w:rPr>
          <w:rFonts w:hint="eastAsia"/>
          <w:lang w:val="en-US" w:eastAsia="zh-CN"/>
        </w:rPr>
      </w:pPr>
    </w:p>
    <w:p w14:paraId="592D5013">
      <w:pPr>
        <w:bidi w:val="0"/>
        <w:rPr>
          <w:rFonts w:hint="eastAsia"/>
          <w:lang w:val="en-US" w:eastAsia="zh-CN"/>
        </w:rPr>
      </w:pPr>
    </w:p>
    <w:p w14:paraId="04542099">
      <w:pPr>
        <w:bidi w:val="0"/>
        <w:rPr>
          <w:rFonts w:hint="eastAsia"/>
          <w:lang w:val="en-US" w:eastAsia="zh-CN"/>
        </w:rPr>
      </w:pPr>
    </w:p>
    <w:p w14:paraId="25622310">
      <w:pPr>
        <w:bidi w:val="0"/>
        <w:rPr>
          <w:rFonts w:hint="eastAsia"/>
          <w:lang w:val="en-US" w:eastAsia="zh-CN"/>
        </w:rPr>
      </w:pPr>
    </w:p>
    <w:p w14:paraId="3E841E89">
      <w:pPr>
        <w:bidi w:val="0"/>
        <w:rPr>
          <w:rFonts w:hint="eastAsia"/>
          <w:lang w:val="en-US" w:eastAsia="zh-CN"/>
        </w:rPr>
      </w:pPr>
    </w:p>
    <w:p w14:paraId="6B402111">
      <w:pPr>
        <w:bidi w:val="0"/>
        <w:rPr>
          <w:rFonts w:hint="eastAsia"/>
          <w:lang w:val="en-US" w:eastAsia="zh-CN"/>
        </w:rPr>
      </w:pPr>
    </w:p>
    <w:p w14:paraId="20594B02">
      <w:pPr>
        <w:bidi w:val="0"/>
        <w:rPr>
          <w:rFonts w:hint="eastAsia"/>
          <w:lang w:val="en-US" w:eastAsia="zh-CN"/>
        </w:rPr>
      </w:pPr>
    </w:p>
    <w:p w14:paraId="692AE28A">
      <w:pPr>
        <w:tabs>
          <w:tab w:val="left" w:pos="1248"/>
        </w:tabs>
        <w:bidi w:val="0"/>
        <w:jc w:val="center"/>
        <w:rPr>
          <w:rFonts w:hint="eastAsia" w:asciiTheme="minorEastAsia" w:hAnsiTheme="minorEastAsia" w:eastAsiaTheme="minorEastAsia"/>
          <w:bCs/>
          <w:sz w:val="24"/>
          <w:szCs w:val="32"/>
        </w:rPr>
      </w:pPr>
      <w:r>
        <w:rPr>
          <w:rFonts w:hint="eastAsia" w:asciiTheme="minorEastAsia" w:hAnsiTheme="minorEastAsia" w:eastAsiaTheme="minorEastAsia"/>
          <w:bCs/>
          <w:sz w:val="24"/>
          <w:szCs w:val="32"/>
        </w:rPr>
        <w:t>图</w:t>
      </w:r>
      <w:r>
        <w:rPr>
          <w:rFonts w:asciiTheme="minorEastAsia" w:hAnsiTheme="minorEastAsia" w:eastAsiaTheme="minorEastAsia"/>
          <w:bCs/>
          <w:sz w:val="24"/>
          <w:szCs w:val="32"/>
        </w:rPr>
        <w:t>1</w:t>
      </w:r>
      <w:r>
        <w:rPr>
          <w:rFonts w:hint="eastAsia" w:asciiTheme="minorEastAsia" w:hAnsiTheme="minorEastAsia" w:eastAsiaTheme="minorEastAsia"/>
          <w:bCs/>
          <w:sz w:val="24"/>
          <w:szCs w:val="32"/>
        </w:rPr>
        <w:t xml:space="preserve"> 成品油物流分级模式</w:t>
      </w:r>
    </w:p>
    <w:p w14:paraId="298D80D2">
      <w:pPr>
        <w:tabs>
          <w:tab w:val="left" w:pos="1248"/>
        </w:tabs>
        <w:bidi w:val="0"/>
        <w:jc w:val="both"/>
        <w:rPr>
          <w:rFonts w:hint="eastAsia" w:asciiTheme="minorEastAsia" w:hAnsiTheme="minorEastAsia" w:eastAsiaTheme="minorEastAsia"/>
          <w:bCs/>
          <w:sz w:val="24"/>
          <w:szCs w:val="32"/>
        </w:rPr>
      </w:pPr>
    </w:p>
    <w:p w14:paraId="5CB86509">
      <w:pPr>
        <w:tabs>
          <w:tab w:val="left" w:pos="1248"/>
        </w:tabs>
        <w:bidi w:val="0"/>
        <w:jc w:val="both"/>
        <w:rPr>
          <w:rFonts w:hint="eastAsia" w:asciiTheme="minorEastAsia" w:hAnsiTheme="minorEastAsia" w:eastAsiaTheme="minorEastAsia"/>
          <w:bCs/>
          <w:sz w:val="24"/>
          <w:szCs w:val="32"/>
          <w:lang w:val="en-US" w:eastAsia="zh-CN"/>
        </w:rPr>
      </w:pPr>
    </w:p>
    <w:p w14:paraId="12C8F05C">
      <w:pPr>
        <w:pStyle w:val="2"/>
        <w:numPr>
          <w:ilvl w:val="0"/>
          <w:numId w:val="2"/>
        </w:numPr>
        <w:bidi w:val="0"/>
        <w:spacing w:line="240" w:lineRule="auto"/>
        <w:rPr>
          <w:rFonts w:hint="eastAsia" w:asciiTheme="majorEastAsia" w:hAnsiTheme="majorEastAsia" w:eastAsiaTheme="majorEastAsia" w:cstheme="majorEastAsia"/>
          <w:b/>
          <w:bCs w:val="0"/>
          <w:kern w:val="2"/>
          <w:sz w:val="28"/>
          <w:szCs w:val="22"/>
          <w:lang w:val="en-US" w:eastAsia="zh-CN" w:bidi="ar-SA"/>
        </w:rPr>
      </w:pPr>
      <w:r>
        <w:rPr>
          <w:rFonts w:hint="eastAsia" w:asciiTheme="majorEastAsia" w:hAnsiTheme="majorEastAsia" w:eastAsiaTheme="majorEastAsia" w:cstheme="majorEastAsia"/>
          <w:b/>
          <w:bCs w:val="0"/>
          <w:kern w:val="2"/>
          <w:sz w:val="28"/>
          <w:szCs w:val="22"/>
          <w:lang w:val="en-US" w:eastAsia="zh-CN" w:bidi="ar-SA"/>
        </w:rPr>
        <w:t>理论基础及创新点</w:t>
      </w:r>
    </w:p>
    <w:p w14:paraId="03D3DA09">
      <w:pPr>
        <w:pStyle w:val="3"/>
        <w:rPr>
          <w:rFonts w:hint="eastAsia" w:asciiTheme="majorEastAsia" w:hAnsiTheme="majorEastAsia" w:eastAsiaTheme="majorEastAsia" w:cstheme="majorEastAsia"/>
          <w:b/>
          <w:bCs w:val="0"/>
          <w:kern w:val="2"/>
          <w:sz w:val="28"/>
          <w:szCs w:val="22"/>
          <w:lang w:val="en-US" w:eastAsia="zh-CN" w:bidi="ar-SA"/>
        </w:rPr>
      </w:pPr>
      <w:r>
        <w:rPr>
          <w:rFonts w:hint="eastAsia" w:asciiTheme="majorEastAsia" w:hAnsiTheme="majorEastAsia" w:eastAsiaTheme="majorEastAsia" w:cstheme="majorEastAsia"/>
          <w:b/>
          <w:bCs w:val="0"/>
          <w:kern w:val="2"/>
          <w:sz w:val="28"/>
          <w:szCs w:val="22"/>
          <w:lang w:val="en-US" w:eastAsia="zh-CN" w:bidi="ar-SA"/>
        </w:rPr>
        <w:t>2.1理论基础</w:t>
      </w:r>
    </w:p>
    <w:p w14:paraId="366A6E74">
      <w:pPr>
        <w:pStyle w:val="10"/>
        <w:ind w:firstLine="640"/>
        <w:rPr>
          <w:rFonts w:hAnsi="黑体"/>
          <w:szCs w:val="32"/>
        </w:rPr>
      </w:pPr>
      <w:r>
        <w:rPr>
          <w:rFonts w:hint="eastAsia" w:hAnsi="黑体"/>
          <w:szCs w:val="32"/>
        </w:rPr>
        <w:t>在综合考虑仓储设施条件、运输通道能力等因素的基础上，综合比选不同运输方案的全环节物流费用，根据效率最高、费用最低原则，打破过去各级物流独立运行模式，统筹协调相关公司相互协作，科学安排物流配送，达到全环节物流费用最省目的。</w:t>
      </w:r>
    </w:p>
    <w:p w14:paraId="620942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eastAsia="zh-CN"/>
        </w:rPr>
      </w:pPr>
      <w:r>
        <w:rPr>
          <w:rFonts w:hint="eastAsia" w:hAnsi="黑体"/>
          <w:szCs w:val="32"/>
        </w:rPr>
        <w:t>具体为：一级物流可同时抵达或部分抵达中心油库、分销油库、加油站/终端客户的情况下，综合比选炼厂-加油站/终端客户、炼厂-中心油库-加油站/终端客户、炼厂-分销油库-加油站/终端客户、炼厂-中心油库-分销油库-加油站/终端客户等不同运输方案，以运输至加油站/终端客户总成本最低为目标，开展运输安排，即Min（C</w:t>
      </w:r>
      <w:r>
        <w:rPr>
          <w:rFonts w:hint="eastAsia" w:hAnsi="黑体"/>
          <w:szCs w:val="32"/>
          <w:vertAlign w:val="subscript"/>
        </w:rPr>
        <w:t>厂-站/客</w:t>
      </w:r>
      <w:r>
        <w:rPr>
          <w:rFonts w:hint="eastAsia" w:hAnsi="黑体"/>
          <w:szCs w:val="32"/>
        </w:rPr>
        <w:t>，C</w:t>
      </w:r>
      <w:r>
        <w:rPr>
          <w:rFonts w:hint="eastAsia" w:hAnsi="黑体"/>
          <w:szCs w:val="32"/>
          <w:vertAlign w:val="subscript"/>
        </w:rPr>
        <w:t>厂-中心库</w:t>
      </w:r>
      <w:r>
        <w:rPr>
          <w:rFonts w:hint="eastAsia" w:hAnsi="黑体"/>
          <w:szCs w:val="32"/>
        </w:rPr>
        <w:t>+C</w:t>
      </w:r>
      <w:r>
        <w:rPr>
          <w:rFonts w:hint="eastAsia" w:hAnsi="黑体"/>
          <w:szCs w:val="32"/>
          <w:vertAlign w:val="subscript"/>
        </w:rPr>
        <w:t>中心库-站/客</w:t>
      </w:r>
      <w:r>
        <w:rPr>
          <w:rFonts w:hint="eastAsia" w:hAnsi="黑体"/>
          <w:szCs w:val="32"/>
        </w:rPr>
        <w:t>，C</w:t>
      </w:r>
      <w:r>
        <w:rPr>
          <w:rFonts w:hint="eastAsia" w:hAnsi="黑体"/>
          <w:szCs w:val="32"/>
          <w:vertAlign w:val="subscript"/>
        </w:rPr>
        <w:t>厂-分销库</w:t>
      </w:r>
      <w:r>
        <w:rPr>
          <w:rFonts w:hint="eastAsia" w:hAnsi="黑体"/>
          <w:szCs w:val="32"/>
        </w:rPr>
        <w:t>+C</w:t>
      </w:r>
      <w:r>
        <w:rPr>
          <w:rFonts w:hint="eastAsia" w:hAnsi="黑体"/>
          <w:szCs w:val="32"/>
          <w:vertAlign w:val="subscript"/>
        </w:rPr>
        <w:t>分销库-站/客</w:t>
      </w:r>
      <w:r>
        <w:rPr>
          <w:rFonts w:hint="eastAsia" w:hAnsi="黑体"/>
          <w:szCs w:val="32"/>
        </w:rPr>
        <w:t>，C</w:t>
      </w:r>
      <w:r>
        <w:rPr>
          <w:rFonts w:hint="eastAsia" w:hAnsi="黑体"/>
          <w:szCs w:val="32"/>
          <w:vertAlign w:val="subscript"/>
        </w:rPr>
        <w:t>厂-中心库</w:t>
      </w:r>
      <w:r>
        <w:rPr>
          <w:rFonts w:hint="eastAsia" w:hAnsi="黑体"/>
          <w:szCs w:val="32"/>
        </w:rPr>
        <w:t>+C</w:t>
      </w:r>
      <w:r>
        <w:rPr>
          <w:rFonts w:hint="eastAsia" w:hAnsi="黑体"/>
          <w:szCs w:val="32"/>
          <w:vertAlign w:val="subscript"/>
        </w:rPr>
        <w:t>中心库-分销库</w:t>
      </w:r>
      <w:r>
        <w:rPr>
          <w:rFonts w:hint="eastAsia" w:hAnsi="黑体"/>
          <w:szCs w:val="32"/>
        </w:rPr>
        <w:t>+C</w:t>
      </w:r>
      <w:r>
        <w:rPr>
          <w:rFonts w:hint="eastAsia" w:hAnsi="黑体"/>
          <w:szCs w:val="32"/>
          <w:vertAlign w:val="subscript"/>
        </w:rPr>
        <w:t>分销库-站/客</w:t>
      </w:r>
      <w:r>
        <w:rPr>
          <w:rFonts w:hint="eastAsia" w:hAnsi="黑体"/>
          <w:szCs w:val="32"/>
        </w:rPr>
        <w:t>），以上运输方案包含所有可能的情况，运用时仅需选择实际能实施的运输方案比选即可。</w:t>
      </w:r>
    </w:p>
    <w:p w14:paraId="434957E1">
      <w:pPr>
        <w:jc w:val="center"/>
      </w:pPr>
    </w:p>
    <w:p w14:paraId="1E067BBE">
      <w:pPr>
        <w:pStyle w:val="2"/>
        <w:numPr>
          <w:ilvl w:val="0"/>
          <w:numId w:val="2"/>
        </w:numPr>
        <w:bidi w:val="0"/>
        <w:spacing w:line="240" w:lineRule="auto"/>
        <w:rPr>
          <w:rFonts w:hint="default" w:asciiTheme="majorEastAsia" w:hAnsiTheme="majorEastAsia" w:eastAsiaTheme="majorEastAsia" w:cstheme="majorEastAsia"/>
          <w:b/>
          <w:bCs w:val="0"/>
          <w:kern w:val="2"/>
          <w:sz w:val="28"/>
          <w:szCs w:val="22"/>
          <w:lang w:val="en-US" w:eastAsia="zh-CN" w:bidi="ar-SA"/>
        </w:rPr>
      </w:pPr>
      <w:r>
        <w:rPr>
          <w:rFonts w:hint="eastAsia" w:asciiTheme="majorEastAsia" w:hAnsiTheme="majorEastAsia" w:eastAsiaTheme="majorEastAsia" w:cstheme="majorEastAsia"/>
          <w:b/>
          <w:bCs w:val="0"/>
          <w:kern w:val="2"/>
          <w:sz w:val="28"/>
          <w:szCs w:val="22"/>
          <w:lang w:val="en-US" w:eastAsia="zh-CN" w:bidi="ar-SA"/>
        </w:rPr>
        <w:t>主要做法</w:t>
      </w:r>
    </w:p>
    <w:p w14:paraId="5F178D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rPr>
        <w:t>比选加油站从不同油库出库、油库资源采用不同组织方式的一二三级物流费用，</w:t>
      </w:r>
      <w:r>
        <w:t>以到达加油站的全环节物流费用最省为原则</w:t>
      </w:r>
      <w:r>
        <w:rPr>
          <w:rFonts w:hint="eastAsia"/>
        </w:rPr>
        <w:t>，确定资源从炼厂至加油站的最优运输方案。</w:t>
      </w:r>
    </w:p>
    <w:p w14:paraId="4F22F46C">
      <w:pPr>
        <w:pStyle w:val="3"/>
        <w:rPr>
          <w:rFonts w:hint="eastAsia" w:asciiTheme="majorEastAsia" w:hAnsiTheme="majorEastAsia" w:eastAsiaTheme="majorEastAsia" w:cstheme="majorEastAsia"/>
          <w:b/>
          <w:bCs w:val="0"/>
          <w:kern w:val="2"/>
          <w:sz w:val="28"/>
          <w:szCs w:val="22"/>
          <w:lang w:val="en-US" w:eastAsia="zh-CN" w:bidi="ar-SA"/>
        </w:rPr>
      </w:pPr>
      <w:r>
        <w:rPr>
          <w:rFonts w:hint="eastAsia" w:asciiTheme="majorEastAsia" w:hAnsiTheme="majorEastAsia" w:eastAsiaTheme="majorEastAsia" w:cstheme="majorEastAsia"/>
          <w:b/>
          <w:bCs w:val="0"/>
          <w:kern w:val="2"/>
          <w:sz w:val="28"/>
          <w:szCs w:val="22"/>
          <w:lang w:val="en-US" w:eastAsia="zh-CN" w:bidi="ar-SA"/>
        </w:rPr>
        <w:t>3.1案例测算</w:t>
      </w:r>
    </w:p>
    <w:p w14:paraId="666678CC">
      <w:pPr>
        <w:keepNext w:val="0"/>
        <w:keepLines w:val="0"/>
        <w:pageBreakBefore w:val="0"/>
        <w:widowControl w:val="0"/>
        <w:kinsoku/>
        <w:wordWrap/>
        <w:overflowPunct/>
        <w:topLinePunct w:val="0"/>
        <w:autoSpaceDE/>
        <w:autoSpaceDN/>
        <w:bidi w:val="0"/>
        <w:adjustRightInd/>
        <w:snapToGrid/>
        <w:ind w:firstLine="420" w:firstLineChars="200"/>
        <w:textAlignment w:val="auto"/>
        <w:rPr>
          <w:b/>
          <w:bCs/>
        </w:rPr>
      </w:pPr>
      <w:r>
        <w:t>C</w:t>
      </w:r>
      <w:r>
        <w:rPr>
          <w:rFonts w:hint="eastAsia"/>
        </w:rPr>
        <w:t>、</w:t>
      </w:r>
      <w:r>
        <w:t>D公司均为</w:t>
      </w:r>
      <w:r>
        <w:rPr>
          <w:rFonts w:hint="eastAsia"/>
        </w:rPr>
        <w:t>S省公司下属的地市公司，</w:t>
      </w:r>
      <w:r>
        <w:t>C</w:t>
      </w:r>
      <w:r>
        <w:rPr>
          <w:rFonts w:hint="eastAsia"/>
        </w:rPr>
        <w:t>公司的p片区位于C、</w:t>
      </w:r>
      <w:r>
        <w:t>D</w:t>
      </w:r>
      <w:r>
        <w:rPr>
          <w:rFonts w:hint="eastAsia"/>
        </w:rPr>
        <w:t>两市之间,</w:t>
      </w:r>
      <w:r>
        <w:t>其周边有</w:t>
      </w:r>
      <w:r>
        <w:rPr>
          <w:rFonts w:hint="eastAsia"/>
        </w:rPr>
        <w:t>2座油库，分别为</w:t>
      </w:r>
      <w:r>
        <w:t>C</w:t>
      </w:r>
      <w:r>
        <w:rPr>
          <w:rFonts w:hint="eastAsia"/>
        </w:rPr>
        <w:t>公司的c</w:t>
      </w:r>
      <w:r>
        <w:t>油库</w:t>
      </w:r>
      <w:r>
        <w:rPr>
          <w:rFonts w:hint="eastAsia"/>
        </w:rPr>
        <w:t>、</w:t>
      </w:r>
      <w:r>
        <w:t>D公司的d油库</w:t>
      </w:r>
      <w:r>
        <w:rPr>
          <w:rFonts w:hint="eastAsia"/>
        </w:rPr>
        <w:t>，在配送时长满足保供需求的前提下，p片区加油站的资源需求可从c油库或d油库配送,</w:t>
      </w:r>
      <w:r>
        <w:t>其中</w:t>
      </w:r>
      <w:r>
        <w:rPr>
          <w:rFonts w:hint="eastAsia"/>
        </w:rPr>
        <w:t>d油库为中心库，其进库资源为管输；c油库为分销库，进库资源以管输为主、铁路为辅。不同资源组织方式，到达p片区加油站的全环节运费比对如下：</w:t>
      </w:r>
    </w:p>
    <w:p w14:paraId="6324CE23">
      <w:r>
        <w:drawing>
          <wp:inline distT="0" distB="0" distL="114300" distR="114300">
            <wp:extent cx="5269230" cy="2074545"/>
            <wp:effectExtent l="0" t="0" r="762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9230" cy="2074545"/>
                    </a:xfrm>
                    <a:prstGeom prst="rect">
                      <a:avLst/>
                    </a:prstGeom>
                    <a:noFill/>
                    <a:ln>
                      <a:noFill/>
                    </a:ln>
                  </pic:spPr>
                </pic:pic>
              </a:graphicData>
            </a:graphic>
          </wp:inline>
        </w:drawing>
      </w:r>
    </w:p>
    <w:p w14:paraId="07D02BE2">
      <w:pPr>
        <w:jc w:val="center"/>
        <w:rPr>
          <w:rFonts w:hint="default"/>
          <w:lang w:val="en-US" w:eastAsia="zh-CN"/>
        </w:rPr>
      </w:pPr>
      <w:r>
        <w:rPr>
          <w:rFonts w:hint="eastAsia"/>
          <w:lang w:val="en-US" w:eastAsia="zh-CN"/>
        </w:rPr>
        <w:t>图3-1</w:t>
      </w:r>
    </w:p>
    <w:p w14:paraId="12492FE2">
      <w:pPr>
        <w:rPr>
          <w:rFonts w:hint="default"/>
          <w:lang w:val="en-US" w:eastAsia="zh-CN"/>
        </w:rPr>
      </w:pPr>
    </w:p>
    <w:p w14:paraId="046CBC0F">
      <w:pPr>
        <w:rPr>
          <w:rFonts w:hint="default"/>
          <w:lang w:val="en-US" w:eastAsia="zh-CN"/>
        </w:rPr>
      </w:pPr>
    </w:p>
    <w:p w14:paraId="7E672568">
      <w:pPr>
        <w:keepNext w:val="0"/>
        <w:keepLines w:val="0"/>
        <w:pageBreakBefore w:val="0"/>
        <w:widowControl w:val="0"/>
        <w:kinsoku/>
        <w:wordWrap/>
        <w:overflowPunct/>
        <w:topLinePunct w:val="0"/>
        <w:autoSpaceDE/>
        <w:autoSpaceDN/>
        <w:bidi w:val="0"/>
        <w:adjustRightInd/>
        <w:snapToGrid/>
        <w:spacing w:before="156" w:beforeLines="50"/>
        <w:ind w:firstLine="420" w:firstLineChars="200"/>
        <w:textAlignment w:val="auto"/>
      </w:pPr>
      <w:r>
        <w:rPr>
          <w:rFonts w:hint="eastAsia"/>
        </w:rPr>
        <w:t>由上表可见，按方式3即p片区加油站至d油库公路提油全环节吨油运费最省，较方式</w:t>
      </w:r>
      <w:r>
        <w:t>1</w:t>
      </w:r>
      <w:r>
        <w:rPr>
          <w:rFonts w:hint="eastAsia"/>
        </w:rPr>
        <w:t>组织方式，全环节运费节省22元/吨，其中一级物流运费节省44元/吨，三级物流运费增加</w:t>
      </w:r>
      <w:bookmarkStart w:id="1" w:name="_GoBack"/>
      <w:bookmarkEnd w:id="1"/>
      <w:r>
        <w:rPr>
          <w:rFonts w:hint="eastAsia"/>
        </w:rPr>
        <w:t>23元/吨。根据测算结果，C公司p片区加油站宜打破行政区划，调整至D公司</w:t>
      </w:r>
      <w:r>
        <w:t>d</w:t>
      </w:r>
      <w:r>
        <w:rPr>
          <w:rFonts w:hint="eastAsia"/>
        </w:rPr>
        <w:t>油库出库。</w:t>
      </w:r>
    </w:p>
    <w:p w14:paraId="7C4FB51B">
      <w:pPr>
        <w:rPr>
          <w:rFonts w:hint="default"/>
          <w:lang w:val="en-US" w:eastAsia="zh-CN"/>
        </w:rPr>
      </w:pPr>
    </w:p>
    <w:p w14:paraId="245CDEDD">
      <w:pPr>
        <w:rPr>
          <w:rFonts w:hint="eastAsia" w:asciiTheme="majorEastAsia" w:hAnsiTheme="majorEastAsia" w:eastAsiaTheme="majorEastAsia" w:cstheme="majorEastAsia"/>
          <w:b/>
          <w:bCs w:val="0"/>
          <w:kern w:val="2"/>
          <w:sz w:val="28"/>
          <w:szCs w:val="22"/>
          <w:lang w:val="en-US" w:eastAsia="zh-CN" w:bidi="ar-SA"/>
        </w:rPr>
      </w:pPr>
    </w:p>
    <w:p w14:paraId="09E8A3C4">
      <w:pPr>
        <w:pStyle w:val="3"/>
        <w:rPr>
          <w:rFonts w:hint="default" w:asciiTheme="majorEastAsia" w:hAnsiTheme="majorEastAsia" w:eastAsiaTheme="majorEastAsia" w:cstheme="majorEastAsia"/>
          <w:b/>
          <w:bCs w:val="0"/>
          <w:kern w:val="2"/>
          <w:sz w:val="28"/>
          <w:szCs w:val="22"/>
          <w:lang w:val="en-US" w:eastAsia="zh-CN" w:bidi="ar-SA"/>
        </w:rPr>
      </w:pPr>
      <w:bookmarkStart w:id="0" w:name="_3.2需求管理"/>
      <w:r>
        <w:rPr>
          <w:rFonts w:hint="eastAsia" w:asciiTheme="majorEastAsia" w:hAnsiTheme="majorEastAsia" w:eastAsiaTheme="majorEastAsia" w:cstheme="majorEastAsia"/>
          <w:b/>
          <w:bCs w:val="0"/>
          <w:kern w:val="2"/>
          <w:sz w:val="28"/>
          <w:szCs w:val="22"/>
          <w:lang w:val="en-US" w:eastAsia="zh-CN" w:bidi="ar-SA"/>
        </w:rPr>
        <w:t>3.2具体措施</w:t>
      </w:r>
    </w:p>
    <w:bookmarkEnd w:id="0"/>
    <w:p w14:paraId="23DA87E6">
      <w:pPr>
        <w:pStyle w:val="4"/>
        <w:rPr>
          <w:rFonts w:hint="default" w:asciiTheme="majorEastAsia" w:hAnsiTheme="majorEastAsia" w:eastAsiaTheme="majorEastAsia" w:cstheme="majorEastAsia"/>
          <w:b/>
          <w:bCs w:val="0"/>
          <w:kern w:val="2"/>
          <w:sz w:val="28"/>
          <w:szCs w:val="22"/>
          <w:lang w:val="en-US" w:eastAsia="zh-CN" w:bidi="ar-SA"/>
        </w:rPr>
      </w:pPr>
      <w:r>
        <w:rPr>
          <w:rFonts w:hint="eastAsia" w:asciiTheme="majorEastAsia" w:hAnsiTheme="majorEastAsia" w:eastAsiaTheme="majorEastAsia" w:cstheme="majorEastAsia"/>
          <w:b/>
          <w:bCs w:val="0"/>
          <w:kern w:val="2"/>
          <w:sz w:val="28"/>
          <w:szCs w:val="22"/>
          <w:lang w:val="en-US" w:eastAsia="zh-CN" w:bidi="ar-SA"/>
        </w:rPr>
        <w:t>3.2.1深化改革，打破行政区划</w:t>
      </w:r>
    </w:p>
    <w:p w14:paraId="6DED2F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rPr>
        <w:t>引入扁平化管理思维，取消地市公司物流配送中心设置，将物流调运职责全部上划至省公司物流中心，并开展主动配送改革，全省</w:t>
      </w:r>
      <w:r>
        <w:t>加油站的</w:t>
      </w:r>
      <w:r>
        <w:rPr>
          <w:rFonts w:hint="eastAsia"/>
        </w:rPr>
        <w:t>资源</w:t>
      </w:r>
      <w:r>
        <w:t>调度均由省公司物流中心负责</w:t>
      </w:r>
      <w:r>
        <w:rPr>
          <w:rFonts w:hint="eastAsia"/>
        </w:rPr>
        <w:t>。此外，赋予物流中心油库收发作业指挥权，要求油库对待跨区配送一视同仁，提高现场资源管控力度。通过以上措施，实现资源集中调度、仓储统筹优化、运力统一安排，完全打破区域屏障，为一二三级物流优化提供了坚实的机制保障。</w:t>
      </w:r>
    </w:p>
    <w:p w14:paraId="2ECD96B6">
      <w:pPr>
        <w:pStyle w:val="4"/>
        <w:rPr>
          <w:rFonts w:hint="eastAsia" w:asciiTheme="majorEastAsia" w:hAnsiTheme="majorEastAsia" w:eastAsiaTheme="majorEastAsia" w:cstheme="majorEastAsia"/>
          <w:b/>
          <w:bCs w:val="0"/>
          <w:kern w:val="2"/>
          <w:sz w:val="28"/>
          <w:szCs w:val="22"/>
          <w:lang w:val="en-US" w:eastAsia="zh-CN" w:bidi="ar-SA"/>
        </w:rPr>
      </w:pPr>
      <w:r>
        <w:rPr>
          <w:rFonts w:hint="eastAsia" w:asciiTheme="majorEastAsia" w:hAnsiTheme="majorEastAsia" w:eastAsiaTheme="majorEastAsia" w:cstheme="majorEastAsia"/>
          <w:b/>
          <w:bCs w:val="0"/>
          <w:kern w:val="2"/>
          <w:sz w:val="28"/>
          <w:szCs w:val="22"/>
          <w:lang w:val="en-US" w:eastAsia="zh-CN" w:bidi="ar-SA"/>
        </w:rPr>
        <w:t>3.2.2动态优化，确保效益最大化</w:t>
      </w:r>
    </w:p>
    <w:p w14:paraId="6DC0DE0E">
      <w:pPr>
        <w:pStyle w:val="10"/>
        <w:rPr>
          <w:rFonts w:hint="default"/>
          <w:lang w:val="en-US" w:eastAsia="zh-CN"/>
        </w:rPr>
      </w:pPr>
      <w:r>
        <w:rPr>
          <w:rFonts w:hint="eastAsia"/>
        </w:rPr>
        <w:t>与大区公司建立常态化沟通机制，密切关注影响一二三级物流费用变化因素，如各类运输工具运价调整、一次资源流向改变等，并定期复核公路运距，根据一二三级物流吨油变化情况，重新测算全环节物流费用，评估原有优化通道的可行性，及时发现新通道。</w:t>
      </w:r>
    </w:p>
    <w:p w14:paraId="164C66F6">
      <w:pPr>
        <w:pStyle w:val="4"/>
        <w:rPr>
          <w:rFonts w:hint="eastAsia" w:asciiTheme="majorEastAsia" w:hAnsiTheme="majorEastAsia" w:eastAsiaTheme="majorEastAsia" w:cstheme="majorEastAsia"/>
          <w:b/>
          <w:bCs w:val="0"/>
          <w:kern w:val="2"/>
          <w:sz w:val="28"/>
          <w:szCs w:val="22"/>
          <w:lang w:val="en-US" w:eastAsia="zh-CN" w:bidi="ar-SA"/>
        </w:rPr>
      </w:pPr>
      <w:r>
        <w:rPr>
          <w:rFonts w:hint="eastAsia" w:asciiTheme="majorEastAsia" w:hAnsiTheme="majorEastAsia" w:eastAsiaTheme="majorEastAsia" w:cstheme="majorEastAsia"/>
          <w:b/>
          <w:bCs w:val="0"/>
          <w:kern w:val="2"/>
          <w:sz w:val="28"/>
          <w:szCs w:val="22"/>
          <w:lang w:val="en-US" w:eastAsia="zh-CN" w:bidi="ar-SA"/>
        </w:rPr>
        <w:t>3.2.3考核激励，提高一线积极性</w:t>
      </w:r>
    </w:p>
    <w:p w14:paraId="303E9BD4">
      <w:pPr>
        <w:pStyle w:val="10"/>
        <w:ind w:firstLine="640"/>
        <w:rPr>
          <w:rFonts w:hint="eastAsia"/>
        </w:rPr>
      </w:pPr>
      <w:r>
        <w:rPr>
          <w:rFonts w:hint="eastAsia"/>
        </w:rPr>
        <w:t>将油库吞吐量与油库绩效考核挂钩，实现按劳分配，充分激发油库参与一二三级物流优化的热情。油库从过去干多干少都一样、不是自己公司的计划不愿意发等抵触心态，改变为主动找量、抢量的积极心态。</w:t>
      </w:r>
    </w:p>
    <w:p w14:paraId="32447A12">
      <w:pPr>
        <w:pStyle w:val="2"/>
        <w:numPr>
          <w:ilvl w:val="0"/>
          <w:numId w:val="2"/>
        </w:numPr>
        <w:bidi w:val="0"/>
        <w:spacing w:line="240" w:lineRule="auto"/>
        <w:rPr>
          <w:rFonts w:hint="default" w:asciiTheme="majorEastAsia" w:hAnsiTheme="majorEastAsia" w:eastAsiaTheme="majorEastAsia" w:cstheme="majorEastAsia"/>
          <w:b/>
          <w:bCs w:val="0"/>
          <w:kern w:val="2"/>
          <w:sz w:val="28"/>
          <w:szCs w:val="22"/>
          <w:lang w:val="en-US" w:eastAsia="zh-CN" w:bidi="ar-SA"/>
        </w:rPr>
      </w:pPr>
      <w:r>
        <w:rPr>
          <w:rFonts w:hint="eastAsia" w:asciiTheme="majorEastAsia" w:hAnsiTheme="majorEastAsia" w:eastAsiaTheme="majorEastAsia" w:cstheme="majorEastAsia"/>
          <w:b/>
          <w:bCs w:val="0"/>
          <w:kern w:val="2"/>
          <w:sz w:val="28"/>
          <w:szCs w:val="22"/>
          <w:lang w:val="en-US" w:eastAsia="zh-CN" w:bidi="ar-SA"/>
        </w:rPr>
        <w:t>功能清单</w:t>
      </w:r>
    </w:p>
    <w:p w14:paraId="26C7EDB9">
      <w:pPr>
        <w:pStyle w:val="3"/>
        <w:rPr>
          <w:rFonts w:hint="eastAsia" w:asciiTheme="majorEastAsia" w:hAnsiTheme="majorEastAsia" w:eastAsiaTheme="majorEastAsia" w:cstheme="majorEastAsia"/>
          <w:b/>
          <w:bCs w:val="0"/>
          <w:kern w:val="2"/>
          <w:sz w:val="28"/>
          <w:szCs w:val="22"/>
          <w:lang w:val="en-US" w:eastAsia="zh-CN" w:bidi="ar-SA"/>
        </w:rPr>
      </w:pPr>
      <w:r>
        <w:rPr>
          <w:rFonts w:hint="eastAsia" w:asciiTheme="majorEastAsia" w:hAnsiTheme="majorEastAsia" w:eastAsiaTheme="majorEastAsia" w:cstheme="majorEastAsia"/>
          <w:b/>
          <w:bCs w:val="0"/>
          <w:kern w:val="2"/>
          <w:sz w:val="28"/>
          <w:szCs w:val="22"/>
          <w:lang w:val="en-US" w:eastAsia="zh-CN" w:bidi="ar-SA"/>
        </w:rPr>
        <w:t>4.1运输方式管理</w:t>
      </w:r>
    </w:p>
    <w:p w14:paraId="5E228BE2">
      <w:pPr>
        <w:pStyle w:val="6"/>
        <w:keepNext w:val="0"/>
        <w:keepLines w:val="0"/>
        <w:widowControl/>
        <w:suppressLineNumbers w:val="0"/>
        <w:spacing w:before="0" w:beforeAutospacing="0" w:after="0" w:afterAutospacing="0"/>
        <w:ind w:left="0" w:right="0" w:firstLine="56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维护中心油库/分销油库</w:t>
      </w:r>
      <w:r>
        <w:rPr>
          <w:rFonts w:hint="eastAsia" w:cstheme="minorBidi"/>
          <w:kern w:val="2"/>
          <w:sz w:val="21"/>
          <w:szCs w:val="24"/>
          <w:lang w:val="en-US" w:eastAsia="zh-CN" w:bidi="ar-SA"/>
        </w:rPr>
        <w:t>到</w:t>
      </w:r>
      <w:r>
        <w:rPr>
          <w:rFonts w:hint="eastAsia" w:asciiTheme="minorHAnsi" w:hAnsiTheme="minorHAnsi" w:eastAsiaTheme="minorEastAsia" w:cstheme="minorBidi"/>
          <w:kern w:val="2"/>
          <w:sz w:val="21"/>
          <w:szCs w:val="24"/>
          <w:lang w:val="en-US" w:eastAsia="zh-CN" w:bidi="ar-SA"/>
        </w:rPr>
        <w:t>加油站供油的每吨运费情况基础数据维护功能，运输方式为公路。</w:t>
      </w:r>
    </w:p>
    <w:p w14:paraId="134C1F9F">
      <w:pPr>
        <w:rPr>
          <w:rFonts w:hint="default"/>
          <w:lang w:val="en-US" w:eastAsia="zh-CN"/>
        </w:rPr>
      </w:pPr>
    </w:p>
    <w:p w14:paraId="78014902">
      <w:pPr>
        <w:keepNext w:val="0"/>
        <w:keepLines w:val="0"/>
        <w:pageBreakBefore w:val="0"/>
        <w:widowControl/>
        <w:numPr>
          <w:ilvl w:val="0"/>
          <w:numId w:val="0"/>
        </w:numPr>
        <w:suppressLineNumbers w:val="0"/>
        <w:kinsoku/>
        <w:wordWrap/>
        <w:overflowPunct/>
        <w:topLinePunct w:val="0"/>
        <w:autoSpaceDE/>
        <w:autoSpaceDN/>
        <w:bidi w:val="0"/>
        <w:adjustRightInd/>
        <w:snapToGrid/>
        <w:ind w:leftChars="200"/>
        <w:jc w:val="left"/>
        <w:textAlignment w:val="auto"/>
        <w:rPr>
          <w:rFonts w:hint="eastAsia" w:asciiTheme="minorHAnsi" w:hAnsiTheme="minorHAnsi" w:eastAsiaTheme="minorEastAsia" w:cstheme="minorBidi"/>
          <w:kern w:val="2"/>
          <w:sz w:val="21"/>
          <w:szCs w:val="24"/>
          <w:lang w:val="en-US" w:eastAsia="zh-CN" w:bidi="ar-SA"/>
        </w:rPr>
      </w:pPr>
    </w:p>
    <w:p w14:paraId="421EE89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heme="minorHAnsi" w:hAnsiTheme="minorHAnsi" w:eastAsiaTheme="minorEastAsia" w:cstheme="minorBidi"/>
          <w:kern w:val="2"/>
          <w:sz w:val="21"/>
          <w:szCs w:val="24"/>
          <w:lang w:val="en-US" w:eastAsia="zh-CN" w:bidi="ar-SA"/>
        </w:rPr>
      </w:pPr>
    </w:p>
    <w:p w14:paraId="2696EDFF">
      <w:pPr>
        <w:pStyle w:val="4"/>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4.1.1站点运输方式管理</w:t>
      </w:r>
    </w:p>
    <w:p w14:paraId="0316A6D7">
      <w:pPr>
        <w:pStyle w:val="6"/>
        <w:keepNext w:val="0"/>
        <w:keepLines w:val="0"/>
        <w:widowControl/>
        <w:suppressLineNumbers w:val="0"/>
        <w:spacing w:before="0" w:beforeAutospacing="0" w:after="0" w:afterAutospacing="0"/>
        <w:ind w:left="0" w:right="0" w:firstLine="560"/>
        <w:jc w:val="left"/>
        <w:rPr>
          <w:rFonts w:hint="eastAsia" w:cstheme="minorBidi"/>
          <w:kern w:val="2"/>
          <w:sz w:val="21"/>
          <w:szCs w:val="24"/>
          <w:lang w:val="en-US" w:eastAsia="zh-CN" w:bidi="ar-SA"/>
        </w:rPr>
      </w:pPr>
      <w:r>
        <w:rPr>
          <w:rFonts w:hint="eastAsia" w:cstheme="minorBidi"/>
          <w:kern w:val="2"/>
          <w:sz w:val="21"/>
          <w:szCs w:val="24"/>
          <w:lang w:val="en-US" w:eastAsia="zh-CN" w:bidi="ar-SA"/>
        </w:rPr>
        <w:t>1.实现要求：展示全区的油库至加油站的供油运输费用数据以列表形式展示出来，支持导入、导出、新增、查看、编辑和删除操作。</w:t>
      </w:r>
    </w:p>
    <w:p w14:paraId="155CC838">
      <w:pPr>
        <w:pStyle w:val="6"/>
        <w:keepNext w:val="0"/>
        <w:keepLines w:val="0"/>
        <w:widowControl/>
        <w:suppressLineNumbers w:val="0"/>
        <w:spacing w:before="0" w:beforeAutospacing="0" w:after="0" w:afterAutospacing="0"/>
        <w:ind w:left="0" w:right="0" w:firstLine="560"/>
        <w:jc w:val="left"/>
        <w:rPr>
          <w:rFonts w:hint="eastAsia" w:cstheme="minorBidi"/>
          <w:kern w:val="2"/>
          <w:sz w:val="21"/>
          <w:szCs w:val="24"/>
          <w:lang w:val="en-US" w:eastAsia="zh-CN" w:bidi="ar-SA"/>
        </w:rPr>
      </w:pPr>
      <w:r>
        <w:rPr>
          <w:rFonts w:hint="eastAsia" w:cstheme="minorBidi"/>
          <w:kern w:val="2"/>
          <w:sz w:val="21"/>
          <w:szCs w:val="24"/>
          <w:lang w:val="en-US" w:eastAsia="zh-CN" w:bidi="ar-SA"/>
        </w:rPr>
        <w:t>2.列表字段：发站名称、到站名称、油站所属单位名称、合理运费标识、自有范围、运距、吨油运价、启用日期、是否启用、备注。</w:t>
      </w:r>
    </w:p>
    <w:p w14:paraId="51EF35C2">
      <w:pPr>
        <w:pStyle w:val="6"/>
        <w:keepNext w:val="0"/>
        <w:keepLines w:val="0"/>
        <w:widowControl/>
        <w:suppressLineNumbers w:val="0"/>
        <w:spacing w:before="0" w:beforeAutospacing="0" w:after="0" w:afterAutospacing="0"/>
        <w:ind w:left="0" w:right="0" w:firstLine="560"/>
        <w:jc w:val="left"/>
        <w:rPr>
          <w:rFonts w:hint="eastAsia" w:cstheme="minorBidi"/>
          <w:kern w:val="2"/>
          <w:sz w:val="21"/>
          <w:szCs w:val="24"/>
          <w:lang w:val="en-US" w:eastAsia="zh-CN" w:bidi="ar-SA"/>
        </w:rPr>
      </w:pPr>
      <w:r>
        <w:rPr>
          <w:rFonts w:hint="eastAsia" w:cstheme="minorBidi"/>
          <w:kern w:val="2"/>
          <w:sz w:val="21"/>
          <w:szCs w:val="24"/>
          <w:lang w:val="en-US" w:eastAsia="zh-CN" w:bidi="ar-SA"/>
        </w:rPr>
        <w:t>3.新增字段说明：发站点编号（下拉筛选形式支持模糊搜索）、到站点编号（下拉筛选形式支持模糊搜索）、合理运费标识（合理、非合理）、自有库范围（范围内、范围外）、运距（千米）、吨油运价（顿/元）、运输方式（写死公路）、启用日期（创建时间，界面不显示）、更新时间（界面不显示）、创建人（界面不显示）、更新人（界面不显示）、备注、是否启用（是、否；默认是）。</w:t>
      </w:r>
    </w:p>
    <w:p w14:paraId="0554E783">
      <w:pPr>
        <w:pStyle w:val="6"/>
        <w:keepNext w:val="0"/>
        <w:keepLines w:val="0"/>
        <w:widowControl/>
        <w:suppressLineNumbers w:val="0"/>
        <w:spacing w:before="0" w:beforeAutospacing="0" w:after="0" w:afterAutospacing="0"/>
        <w:ind w:left="0" w:right="0" w:firstLine="560"/>
        <w:jc w:val="left"/>
        <w:rPr>
          <w:rFonts w:hint="default"/>
          <w:lang w:val="en-US" w:eastAsia="zh-CN"/>
        </w:rPr>
      </w:pPr>
      <w:r>
        <w:rPr>
          <w:rFonts w:hint="eastAsia" w:cstheme="minorBidi"/>
          <w:kern w:val="2"/>
          <w:sz w:val="21"/>
          <w:szCs w:val="24"/>
          <w:lang w:val="en-US" w:eastAsia="zh-CN" w:bidi="ar-SA"/>
        </w:rPr>
        <w:t>4.特别说明：</w:t>
      </w:r>
      <w:r>
        <w:rPr>
          <w:rFonts w:hint="eastAsia" w:cstheme="minorBidi"/>
          <w:color w:val="E54C5E" w:themeColor="accent6"/>
          <w:kern w:val="2"/>
          <w:sz w:val="21"/>
          <w:szCs w:val="24"/>
          <w:lang w:val="en-US" w:eastAsia="zh-CN" w:bidi="ar-SA"/>
          <w14:textFill>
            <w14:solidFill>
              <w14:schemeClr w14:val="accent6"/>
            </w14:solidFill>
          </w14:textFill>
        </w:rPr>
        <w:t>发站点+到站点为唯一数据。</w:t>
      </w:r>
    </w:p>
    <w:p w14:paraId="41A498AC">
      <w:pPr>
        <w:pStyle w:val="4"/>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4.1.2油库运输方式管理</w:t>
      </w:r>
    </w:p>
    <w:p w14:paraId="56B2BE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维护炼油厂到中心油库、炼油厂到分销油库、中心油库到分销油库的供油每吨运价费用数据维护，作为基础数据供其它功能模块使用。</w:t>
      </w:r>
    </w:p>
    <w:p w14:paraId="5520670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1.实现要求：展示全区油库的所有运输方式数据，支持导入、导出、新增、编辑和删除操作。</w:t>
      </w:r>
    </w:p>
    <w:p w14:paraId="4E7DD0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2.列表字段：发站点名称、到站点名称、运输方式、运距、吨油运价、油品类型、启用日期、备注、状态、更新时间。</w:t>
      </w:r>
    </w:p>
    <w:p w14:paraId="4A1337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cstheme="minorBidi"/>
          <w:kern w:val="2"/>
          <w:sz w:val="21"/>
          <w:szCs w:val="24"/>
          <w:lang w:val="en-US" w:eastAsia="zh-CN" w:bidi="ar-SA"/>
        </w:rPr>
      </w:pPr>
      <w:r>
        <w:rPr>
          <w:rFonts w:hint="eastAsia" w:cstheme="minorBidi"/>
          <w:kern w:val="2"/>
          <w:sz w:val="21"/>
          <w:szCs w:val="24"/>
          <w:lang w:val="en-US" w:eastAsia="zh-CN" w:bidi="ar-SA"/>
        </w:rPr>
        <w:t>3.新增字段说明：发站点、到站点下拉选择支持模糊搜索，运输方式有三种分别为：管输、水路、铁路，</w:t>
      </w:r>
      <w:r>
        <w:rPr>
          <w:rFonts w:hint="eastAsia" w:cstheme="minorBidi"/>
          <w:color w:val="E54C5E" w:themeColor="accent6"/>
          <w:kern w:val="2"/>
          <w:sz w:val="21"/>
          <w:szCs w:val="24"/>
          <w:lang w:val="en-US" w:eastAsia="zh-CN" w:bidi="ar-SA"/>
          <w14:textFill>
            <w14:solidFill>
              <w14:schemeClr w14:val="accent6"/>
            </w14:solidFill>
          </w14:textFill>
        </w:rPr>
        <w:t>发站点只能是炼油厂或者中心油库，到站点可以是中心油库或者分销油库，其中当发站点选择的是中心油库时，运输方式只有铁路一种，且到站点只能是分销油库</w:t>
      </w:r>
      <w:r>
        <w:rPr>
          <w:rFonts w:hint="eastAsia" w:cstheme="minorBidi"/>
          <w:kern w:val="2"/>
          <w:sz w:val="21"/>
          <w:szCs w:val="24"/>
          <w:lang w:val="en-US" w:eastAsia="zh-CN" w:bidi="ar-SA"/>
        </w:rPr>
        <w:t>，油品类型（汽油、柴油），启用日期（是、否）默认是。</w:t>
      </w:r>
    </w:p>
    <w:p w14:paraId="63B59F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4.</w:t>
      </w:r>
      <w:r>
        <w:rPr>
          <w:rFonts w:hint="eastAsia" w:cstheme="minorBidi"/>
          <w:color w:val="E54C5E" w:themeColor="accent6"/>
          <w:kern w:val="2"/>
          <w:sz w:val="21"/>
          <w:szCs w:val="24"/>
          <w:lang w:val="en-US" w:eastAsia="zh-CN" w:bidi="ar-SA"/>
          <w14:textFill>
            <w14:solidFill>
              <w14:schemeClr w14:val="accent6"/>
            </w14:solidFill>
          </w14:textFill>
        </w:rPr>
        <w:t>发站点+到站点+运输方式+油品类型为唯一数据</w:t>
      </w:r>
      <w:r>
        <w:rPr>
          <w:rFonts w:hint="eastAsia" w:cstheme="minorBidi"/>
          <w:kern w:val="2"/>
          <w:sz w:val="21"/>
          <w:szCs w:val="24"/>
          <w:lang w:val="en-US" w:eastAsia="zh-CN" w:bidi="ar-SA"/>
        </w:rPr>
        <w:t>。</w:t>
      </w:r>
    </w:p>
    <w:p w14:paraId="3832798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cstheme="minorBidi"/>
          <w:kern w:val="2"/>
          <w:sz w:val="21"/>
          <w:szCs w:val="24"/>
          <w:lang w:val="en-US" w:eastAsia="zh-CN" w:bidi="ar-SA"/>
        </w:rPr>
      </w:pPr>
    </w:p>
    <w:p w14:paraId="67DB0A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cstheme="minorBidi"/>
          <w:kern w:val="2"/>
          <w:sz w:val="21"/>
          <w:szCs w:val="24"/>
          <w:lang w:val="en-US" w:eastAsia="zh-CN" w:bidi="ar-SA"/>
        </w:rPr>
      </w:pPr>
    </w:p>
    <w:p w14:paraId="2A4966C2">
      <w:pPr>
        <w:pStyle w:val="3"/>
        <w:rPr>
          <w:rFonts w:hint="eastAsia" w:asciiTheme="majorEastAsia" w:hAnsiTheme="majorEastAsia" w:eastAsiaTheme="majorEastAsia" w:cstheme="majorEastAsia"/>
          <w:b/>
          <w:bCs w:val="0"/>
          <w:kern w:val="2"/>
          <w:sz w:val="28"/>
          <w:szCs w:val="22"/>
          <w:lang w:val="en-US" w:eastAsia="zh-CN" w:bidi="ar-SA"/>
        </w:rPr>
      </w:pPr>
      <w:r>
        <w:rPr>
          <w:rFonts w:hint="eastAsia" w:asciiTheme="majorEastAsia" w:hAnsiTheme="majorEastAsia" w:eastAsiaTheme="majorEastAsia" w:cstheme="majorEastAsia"/>
          <w:b/>
          <w:bCs w:val="0"/>
          <w:kern w:val="2"/>
          <w:sz w:val="28"/>
          <w:szCs w:val="22"/>
          <w:lang w:val="en-US" w:eastAsia="zh-CN" w:bidi="ar-SA"/>
        </w:rPr>
        <w:t>4.2基础数据维护</w:t>
      </w:r>
    </w:p>
    <w:p w14:paraId="7E0D052C">
      <w:pPr>
        <w:pStyle w:val="4"/>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4.2.1油库管理</w:t>
      </w:r>
    </w:p>
    <w:p w14:paraId="5E0D01AC">
      <w:pPr>
        <w:keepNext w:val="0"/>
        <w:keepLines w:val="0"/>
        <w:pageBreakBefore w:val="0"/>
        <w:widowControl/>
        <w:numPr>
          <w:ilvl w:val="0"/>
          <w:numId w:val="3"/>
        </w:numPr>
        <w:suppressLineNumbers w:val="0"/>
        <w:kinsoku/>
        <w:wordWrap/>
        <w:overflowPunct/>
        <w:topLinePunct w:val="0"/>
        <w:autoSpaceDE/>
        <w:autoSpaceDN/>
        <w:bidi w:val="0"/>
        <w:adjustRightInd/>
        <w:snapToGrid/>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实现要求：支持导入、导出、编辑、新增、删除操作。</w:t>
      </w:r>
    </w:p>
    <w:p w14:paraId="23CFB03F">
      <w:pPr>
        <w:keepNext w:val="0"/>
        <w:keepLines w:val="0"/>
        <w:pageBreakBefore w:val="0"/>
        <w:widowControl/>
        <w:numPr>
          <w:ilvl w:val="0"/>
          <w:numId w:val="3"/>
        </w:numPr>
        <w:suppressLineNumbers w:val="0"/>
        <w:kinsoku/>
        <w:wordWrap/>
        <w:overflowPunct/>
        <w:topLinePunct w:val="0"/>
        <w:autoSpaceDE/>
        <w:autoSpaceDN/>
        <w:bidi w:val="0"/>
        <w:adjustRightInd/>
        <w:snapToGrid/>
        <w:ind w:firstLine="420" w:firstLineChars="200"/>
        <w:jc w:val="left"/>
        <w:textAlignment w:val="auto"/>
      </w:pPr>
      <w:r>
        <w:rPr>
          <w:rFonts w:hint="eastAsia" w:cstheme="minorBidi"/>
          <w:kern w:val="2"/>
          <w:sz w:val="21"/>
          <w:szCs w:val="24"/>
          <w:lang w:val="en-US" w:eastAsia="zh-CN" w:bidi="ar-SA"/>
        </w:rPr>
        <w:t>列表字段：油库编码、油库名称、油库类型、所属区域、油库等级、备注、更新时间等。</w:t>
      </w:r>
    </w:p>
    <w:p w14:paraId="63E0F2EC">
      <w:pPr>
        <w:keepNext w:val="0"/>
        <w:keepLines w:val="0"/>
        <w:pageBreakBefore w:val="0"/>
        <w:widowControl/>
        <w:numPr>
          <w:ilvl w:val="0"/>
          <w:numId w:val="3"/>
        </w:numPr>
        <w:suppressLineNumbers w:val="0"/>
        <w:kinsoku/>
        <w:wordWrap/>
        <w:overflowPunct/>
        <w:topLinePunct w:val="0"/>
        <w:autoSpaceDE/>
        <w:autoSpaceDN/>
        <w:bidi w:val="0"/>
        <w:adjustRightInd/>
        <w:snapToGrid/>
        <w:ind w:firstLine="420" w:firstLineChars="200"/>
        <w:jc w:val="left"/>
        <w:textAlignment w:val="auto"/>
      </w:pPr>
      <w:r>
        <w:rPr>
          <w:rFonts w:hint="eastAsia" w:cstheme="minorBidi"/>
          <w:kern w:val="2"/>
          <w:sz w:val="21"/>
          <w:szCs w:val="24"/>
          <w:lang w:val="en-US" w:eastAsia="zh-CN" w:bidi="ar-SA"/>
        </w:rPr>
        <w:t>新增字段说明：油库类型有：中心油库、分销油库，油库等级从1级到5级，所属区域根据区域表下拉筛选。</w:t>
      </w:r>
    </w:p>
    <w:p w14:paraId="736563D8">
      <w:pPr>
        <w:rPr>
          <w:rFonts w:hint="default"/>
          <w:lang w:val="en-US" w:eastAsia="zh-CN"/>
        </w:rPr>
      </w:pPr>
    </w:p>
    <w:p w14:paraId="63874436">
      <w:pPr>
        <w:pStyle w:val="4"/>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4.2.2炼厂管理</w:t>
      </w:r>
    </w:p>
    <w:p w14:paraId="151D577B">
      <w:pPr>
        <w:keepNext w:val="0"/>
        <w:keepLines w:val="0"/>
        <w:pageBreakBefore w:val="0"/>
        <w:widowControl/>
        <w:numPr>
          <w:ilvl w:val="0"/>
          <w:numId w:val="4"/>
        </w:numPr>
        <w:suppressLineNumbers w:val="0"/>
        <w:kinsoku/>
        <w:wordWrap/>
        <w:overflowPunct/>
        <w:topLinePunct w:val="0"/>
        <w:autoSpaceDE/>
        <w:autoSpaceDN/>
        <w:bidi w:val="0"/>
        <w:adjustRightInd/>
        <w:snapToGrid/>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实现要求：支持导入、导出、编辑、新增、删除操作。</w:t>
      </w:r>
    </w:p>
    <w:p w14:paraId="06234460">
      <w:pPr>
        <w:keepNext w:val="0"/>
        <w:keepLines w:val="0"/>
        <w:pageBreakBefore w:val="0"/>
        <w:widowControl/>
        <w:numPr>
          <w:ilvl w:val="0"/>
          <w:numId w:val="4"/>
        </w:numPr>
        <w:suppressLineNumbers w:val="0"/>
        <w:kinsoku/>
        <w:wordWrap/>
        <w:overflowPunct/>
        <w:topLinePunct w:val="0"/>
        <w:autoSpaceDE/>
        <w:autoSpaceDN/>
        <w:bidi w:val="0"/>
        <w:adjustRightInd/>
        <w:snapToGrid/>
        <w:ind w:firstLine="420" w:firstLineChars="200"/>
        <w:jc w:val="left"/>
        <w:textAlignment w:val="auto"/>
        <w:rPr>
          <w:rFonts w:hint="default"/>
          <w:lang w:val="en-US" w:eastAsia="zh-CN"/>
        </w:rPr>
      </w:pPr>
      <w:r>
        <w:rPr>
          <w:rFonts w:hint="eastAsia" w:cstheme="minorBidi"/>
          <w:kern w:val="2"/>
          <w:sz w:val="21"/>
          <w:szCs w:val="24"/>
          <w:lang w:val="en-US" w:eastAsia="zh-CN" w:bidi="ar-SA"/>
        </w:rPr>
        <w:t>列表字段：炼厂编号、炼厂名称、所属地区、加工能力、隶属关系、投产日期、更新时间、备注等。</w:t>
      </w:r>
    </w:p>
    <w:p w14:paraId="203C35A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p>
    <w:p w14:paraId="7A2A8A9C">
      <w:pPr>
        <w:pStyle w:val="3"/>
        <w:rPr>
          <w:rFonts w:hint="eastAsia" w:asciiTheme="majorEastAsia" w:hAnsiTheme="majorEastAsia" w:eastAsiaTheme="majorEastAsia" w:cstheme="majorEastAsia"/>
          <w:b/>
          <w:bCs w:val="0"/>
          <w:kern w:val="2"/>
          <w:sz w:val="28"/>
          <w:szCs w:val="22"/>
          <w:lang w:val="en-US" w:eastAsia="zh-CN" w:bidi="ar-SA"/>
        </w:rPr>
      </w:pPr>
      <w:r>
        <w:rPr>
          <w:rFonts w:hint="eastAsia" w:asciiTheme="majorEastAsia" w:hAnsiTheme="majorEastAsia" w:eastAsiaTheme="majorEastAsia" w:cstheme="majorEastAsia"/>
          <w:b/>
          <w:bCs w:val="0"/>
          <w:kern w:val="2"/>
          <w:sz w:val="28"/>
          <w:szCs w:val="22"/>
          <w:lang w:val="en-US" w:eastAsia="zh-CN" w:bidi="ar-SA"/>
        </w:rPr>
        <w:t>4.3油库吞吐量管理</w:t>
      </w:r>
    </w:p>
    <w:p w14:paraId="66470658">
      <w:pPr>
        <w:pStyle w:val="4"/>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4.3.1上月油库吞量情况填报</w:t>
      </w:r>
    </w:p>
    <w:p w14:paraId="7B1A4812">
      <w:pPr>
        <w:keepNext w:val="0"/>
        <w:keepLines w:val="0"/>
        <w:pageBreakBefore w:val="0"/>
        <w:widowControl/>
        <w:numPr>
          <w:ilvl w:val="0"/>
          <w:numId w:val="5"/>
        </w:numPr>
        <w:suppressLineNumbers w:val="0"/>
        <w:kinsoku/>
        <w:wordWrap/>
        <w:overflowPunct/>
        <w:topLinePunct w:val="0"/>
        <w:autoSpaceDE/>
        <w:autoSpaceDN/>
        <w:bidi w:val="0"/>
        <w:adjustRightInd/>
        <w:snapToGrid/>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实现要求：支持导入、导出、新增、编辑和删除操作。</w:t>
      </w:r>
    </w:p>
    <w:p w14:paraId="583F814C">
      <w:pPr>
        <w:keepNext w:val="0"/>
        <w:keepLines w:val="0"/>
        <w:pageBreakBefore w:val="0"/>
        <w:widowControl/>
        <w:numPr>
          <w:ilvl w:val="0"/>
          <w:numId w:val="5"/>
        </w:numPr>
        <w:suppressLineNumbers w:val="0"/>
        <w:kinsoku/>
        <w:wordWrap/>
        <w:overflowPunct/>
        <w:topLinePunct w:val="0"/>
        <w:autoSpaceDE/>
        <w:autoSpaceDN/>
        <w:bidi w:val="0"/>
        <w:adjustRightInd/>
        <w:snapToGrid/>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列表字段：油库编号、油库名称、油库类型、所属区域、运输方式、发站点名称、油品类型、上月吞量、总运价、统计时间（固定上月日期）。</w:t>
      </w:r>
    </w:p>
    <w:p w14:paraId="6198F69F">
      <w:pPr>
        <w:keepNext w:val="0"/>
        <w:keepLines w:val="0"/>
        <w:pageBreakBefore w:val="0"/>
        <w:widowControl/>
        <w:numPr>
          <w:ilvl w:val="0"/>
          <w:numId w:val="0"/>
        </w:numPr>
        <w:suppressLineNumbers w:val="0"/>
        <w:kinsoku/>
        <w:wordWrap/>
        <w:overflowPunct/>
        <w:topLinePunct w:val="0"/>
        <w:autoSpaceDE/>
        <w:autoSpaceDN/>
        <w:bidi w:val="0"/>
        <w:adjustRightInd/>
        <w:snapToGrid/>
        <w:ind w:leftChars="200"/>
        <w:jc w:val="left"/>
        <w:textAlignment w:val="auto"/>
        <w:rPr>
          <w:rFonts w:hint="eastAsia" w:cstheme="minorBidi"/>
          <w:color w:val="E54C5E" w:themeColor="accent6"/>
          <w:kern w:val="2"/>
          <w:sz w:val="21"/>
          <w:szCs w:val="24"/>
          <w:lang w:val="en-US" w:eastAsia="zh-CN" w:bidi="ar-SA"/>
          <w14:textFill>
            <w14:solidFill>
              <w14:schemeClr w14:val="accent6"/>
            </w14:solidFill>
          </w14:textFill>
        </w:rPr>
      </w:pPr>
      <w:r>
        <w:rPr>
          <w:rFonts w:hint="eastAsia" w:cstheme="minorBidi"/>
          <w:kern w:val="2"/>
          <w:sz w:val="21"/>
          <w:szCs w:val="24"/>
          <w:lang w:val="en-US" w:eastAsia="zh-CN" w:bidi="ar-SA"/>
        </w:rPr>
        <w:t>3.唯一数据：</w:t>
      </w:r>
      <w:r>
        <w:rPr>
          <w:rFonts w:hint="eastAsia" w:cstheme="minorBidi"/>
          <w:color w:val="E54C5E" w:themeColor="accent6"/>
          <w:kern w:val="2"/>
          <w:sz w:val="21"/>
          <w:szCs w:val="24"/>
          <w:lang w:val="en-US" w:eastAsia="zh-CN" w:bidi="ar-SA"/>
          <w14:textFill>
            <w14:solidFill>
              <w14:schemeClr w14:val="accent6"/>
            </w14:solidFill>
          </w14:textFill>
        </w:rPr>
        <w:t>油库编号+发站点名称+运输方式+油品类型。</w:t>
      </w:r>
    </w:p>
    <w:p w14:paraId="7E501A85">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4.运输场景：</w:t>
      </w:r>
    </w:p>
    <w:p w14:paraId="5F63BD31">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xml:space="preserve">炼厂～中心油库，运输方式（管输、铁路、水路） </w:t>
      </w:r>
    </w:p>
    <w:p w14:paraId="64AA00AC">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xml:space="preserve">炼厂～分销油库，运输方式（管输、铁路、水路） </w:t>
      </w:r>
    </w:p>
    <w:p w14:paraId="3876049A">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中心油库～分销油库，运输方式（铁路）</w:t>
      </w:r>
    </w:p>
    <w:p w14:paraId="791E357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cstheme="minorBidi"/>
          <w:color w:val="4874CB" w:themeColor="accent1"/>
          <w:kern w:val="2"/>
          <w:sz w:val="21"/>
          <w:szCs w:val="24"/>
          <w:lang w:val="en-US" w:eastAsia="zh-CN" w:bidi="ar-SA"/>
          <w14:textFill>
            <w14:solidFill>
              <w14:schemeClr w14:val="accent1"/>
            </w14:solidFill>
          </w14:textFill>
        </w:rPr>
      </w:pPr>
      <w:r>
        <w:rPr>
          <w:rFonts w:hint="eastAsia" w:cstheme="minorBidi"/>
          <w:kern w:val="2"/>
          <w:sz w:val="21"/>
          <w:szCs w:val="24"/>
          <w:lang w:val="en-US" w:eastAsia="zh-CN" w:bidi="ar-SA"/>
        </w:rPr>
        <w:t>5.</w:t>
      </w:r>
      <w:r>
        <w:rPr>
          <w:rFonts w:hint="eastAsia" w:cstheme="minorBidi"/>
          <w:color w:val="4874CB" w:themeColor="accent1"/>
          <w:kern w:val="2"/>
          <w:sz w:val="21"/>
          <w:szCs w:val="24"/>
          <w:lang w:val="en-US" w:eastAsia="zh-CN" w:bidi="ar-SA"/>
          <w14:textFill>
            <w14:solidFill>
              <w14:schemeClr w14:val="accent1"/>
            </w14:solidFill>
          </w14:textFill>
        </w:rPr>
        <w:t>重要说明：根据填报的运输方式、发站点编号、油品类型、该油库编号去油库运输方式管理模块找到该条数据在根据填报的上月吞量自动计算出总运价，如果找不到油库运输方式管理的数据则给用户提示去该模块增加该油库运输费用的基础维护数据。如果该油库类型为中心油库，则发站点只能选择炼油厂。</w:t>
      </w:r>
    </w:p>
    <w:p w14:paraId="091257E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cstheme="minorBidi"/>
          <w:color w:val="4874CB" w:themeColor="accent1"/>
          <w:kern w:val="2"/>
          <w:sz w:val="21"/>
          <w:szCs w:val="24"/>
          <w:lang w:val="en-US" w:eastAsia="zh-CN" w:bidi="ar-SA"/>
          <w14:textFill>
            <w14:solidFill>
              <w14:schemeClr w14:val="accent1"/>
            </w14:solidFill>
          </w14:textFill>
        </w:rPr>
      </w:pPr>
    </w:p>
    <w:p w14:paraId="23069E2C">
      <w:pPr>
        <w:pStyle w:val="4"/>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4.3.2上月油库吐量情况填报</w:t>
      </w:r>
    </w:p>
    <w:p w14:paraId="73B7EB0E">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1.实现要求：支持导入、导出、新增、编辑和删除操作。</w:t>
      </w:r>
    </w:p>
    <w:p w14:paraId="4167C84D">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2.列表字段：油库编号、油库名称、油库类型、所属区域、运输方式、油品类型、到站点名称、上月吐量、总运价、统计时间。</w:t>
      </w:r>
    </w:p>
    <w:p w14:paraId="34D1AEC6">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3.运输场景：</w:t>
      </w:r>
    </w:p>
    <w:p w14:paraId="23BFCFD4">
      <w:pPr>
        <w:keepNext w:val="0"/>
        <w:keepLines w:val="0"/>
        <w:pageBreakBefore w:val="0"/>
        <w:widowControl/>
        <w:numPr>
          <w:ilvl w:val="0"/>
          <w:numId w:val="0"/>
        </w:numPr>
        <w:suppressLineNumbers w:val="0"/>
        <w:kinsoku/>
        <w:wordWrap/>
        <w:overflowPunct/>
        <w:topLinePunct w:val="0"/>
        <w:autoSpaceDE/>
        <w:autoSpaceDN/>
        <w:bidi w:val="0"/>
        <w:adjustRightInd/>
        <w:snapToGrid/>
        <w:ind w:left="210" w:leftChars="0"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xml:space="preserve">中心油库～分销油库，运输方式（铁路） </w:t>
      </w:r>
    </w:p>
    <w:p w14:paraId="097C3F4B">
      <w:pPr>
        <w:keepNext w:val="0"/>
        <w:keepLines w:val="0"/>
        <w:pageBreakBefore w:val="0"/>
        <w:widowControl/>
        <w:numPr>
          <w:ilvl w:val="0"/>
          <w:numId w:val="0"/>
        </w:numPr>
        <w:suppressLineNumbers w:val="0"/>
        <w:kinsoku/>
        <w:wordWrap/>
        <w:overflowPunct/>
        <w:topLinePunct w:val="0"/>
        <w:autoSpaceDE/>
        <w:autoSpaceDN/>
        <w:bidi w:val="0"/>
        <w:adjustRightInd/>
        <w:snapToGrid/>
        <w:ind w:left="210" w:leftChars="0"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xml:space="preserve">中心油库～加油站，运输方式（公路） </w:t>
      </w:r>
    </w:p>
    <w:p w14:paraId="6AA2E739">
      <w:pPr>
        <w:keepNext w:val="0"/>
        <w:keepLines w:val="0"/>
        <w:pageBreakBefore w:val="0"/>
        <w:widowControl/>
        <w:numPr>
          <w:ilvl w:val="0"/>
          <w:numId w:val="0"/>
        </w:numPr>
        <w:suppressLineNumbers w:val="0"/>
        <w:kinsoku/>
        <w:wordWrap/>
        <w:overflowPunct/>
        <w:topLinePunct w:val="0"/>
        <w:autoSpaceDE/>
        <w:autoSpaceDN/>
        <w:bidi w:val="0"/>
        <w:adjustRightInd/>
        <w:snapToGrid/>
        <w:ind w:left="210" w:leftChars="0"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分销油库～加油站，运输方式（公路）</w:t>
      </w:r>
    </w:p>
    <w:p w14:paraId="38171B9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color w:val="4874CB" w:themeColor="accent1"/>
          <w14:textFill>
            <w14:solidFill>
              <w14:schemeClr w14:val="accent1"/>
            </w14:solidFill>
          </w14:textFill>
        </w:rPr>
      </w:pPr>
      <w:r>
        <w:rPr>
          <w:rFonts w:hint="eastAsia" w:cstheme="minorBidi"/>
          <w:kern w:val="2"/>
          <w:sz w:val="21"/>
          <w:szCs w:val="24"/>
          <w:lang w:val="en-US" w:eastAsia="zh-CN" w:bidi="ar-SA"/>
        </w:rPr>
        <w:t>4.重要说明：</w:t>
      </w:r>
      <w:r>
        <w:rPr>
          <w:rFonts w:hint="eastAsia" w:cstheme="minorBidi"/>
          <w:color w:val="4874CB" w:themeColor="accent1"/>
          <w:kern w:val="2"/>
          <w:sz w:val="21"/>
          <w:szCs w:val="24"/>
          <w:lang w:val="en-US" w:eastAsia="zh-CN" w:bidi="ar-SA"/>
          <w14:textFill>
            <w14:solidFill>
              <w14:schemeClr w14:val="accent1"/>
            </w14:solidFill>
          </w14:textFill>
        </w:rPr>
        <w:t>如果该油库为中心油库、到站点为分销油库则去油库运输方式管理模块根据该油库编号、到站点编号、油品类型、运输方式找到该运输物流数据，然后在根据填报的上月吐量自动计算出总运价，如果找不到该数据则提示去油库运输方式管理模块增加该条运输费用基础维护数据。如果到站点是加油站，则根据该油库编号+到站点编号去站点运输方式管理找到该条数据并根据填报的上月吐量自动计算出总运价，如果找不到则提示增加维护数据。</w:t>
      </w:r>
    </w:p>
    <w:p w14:paraId="07D8E82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stheme="minorBidi"/>
          <w:kern w:val="2"/>
          <w:sz w:val="21"/>
          <w:szCs w:val="24"/>
          <w:lang w:val="en-US" w:eastAsia="zh-CN" w:bidi="ar-SA"/>
        </w:rPr>
      </w:pPr>
    </w:p>
    <w:p w14:paraId="67C7B612">
      <w:pPr>
        <w:keepNext w:val="0"/>
        <w:keepLines w:val="0"/>
        <w:widowControl/>
        <w:numPr>
          <w:ilvl w:val="0"/>
          <w:numId w:val="0"/>
        </w:numPr>
        <w:suppressLineNumbers w:val="0"/>
        <w:ind w:left="210" w:leftChars="0"/>
        <w:jc w:val="left"/>
        <w:rPr>
          <w:rFonts w:hint="eastAsia" w:cstheme="minorBidi"/>
          <w:kern w:val="2"/>
          <w:sz w:val="21"/>
          <w:szCs w:val="24"/>
          <w:lang w:val="en-US" w:eastAsia="zh-CN" w:bidi="ar-SA"/>
        </w:rPr>
      </w:pPr>
    </w:p>
    <w:p w14:paraId="371B3566">
      <w:pPr>
        <w:rPr>
          <w:rFonts w:hint="default"/>
          <w:lang w:val="en-US" w:eastAsia="zh-CN"/>
        </w:rPr>
      </w:pPr>
    </w:p>
    <w:p w14:paraId="4604E059">
      <w:pPr>
        <w:pStyle w:val="4"/>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4.3.3每月油库吞量情况统计</w:t>
      </w:r>
    </w:p>
    <w:p w14:paraId="73580C0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1.实现要求：支持导出、查看操作，展示每个油库每月的吞量情况，默认显示上月吞量数据。</w:t>
      </w:r>
    </w:p>
    <w:p w14:paraId="17D2B73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cstheme="minorBidi"/>
          <w:kern w:val="2"/>
          <w:sz w:val="21"/>
          <w:szCs w:val="24"/>
          <w:lang w:val="en-US" w:eastAsia="zh-CN" w:bidi="ar-SA"/>
        </w:rPr>
        <w:t>2.列表字段：油库编号、油库名称、油库类型、所属区域、上月吞量、总运价、平均运价、统计时间。</w:t>
      </w:r>
    </w:p>
    <w:p w14:paraId="2184106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lang w:val="en-US" w:eastAsia="zh-CN"/>
        </w:rPr>
      </w:pPr>
      <w:r>
        <w:rPr>
          <w:rFonts w:hint="eastAsia" w:cstheme="minorBidi"/>
          <w:kern w:val="2"/>
          <w:sz w:val="21"/>
          <w:szCs w:val="24"/>
          <w:lang w:val="en-US" w:eastAsia="zh-CN" w:bidi="ar-SA"/>
        </w:rPr>
        <w:t>3.查看：点击查看按钮展示默认以运输方式统计的数据展示出来，可切换成按油品类型统计，字段和列表一致，加上运输方式/油品类型，用那个统计就显示那个。</w:t>
      </w:r>
    </w:p>
    <w:p w14:paraId="62967B15">
      <w:pPr>
        <w:pStyle w:val="4"/>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4.3.4每月油库吐量情况统计</w:t>
      </w:r>
    </w:p>
    <w:p w14:paraId="6F0C0B9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cstheme="minorBidi"/>
          <w:kern w:val="2"/>
          <w:sz w:val="21"/>
          <w:szCs w:val="24"/>
          <w:lang w:val="en-US" w:eastAsia="zh-CN" w:bidi="ar-SA"/>
        </w:rPr>
      </w:pPr>
      <w:r>
        <w:rPr>
          <w:rFonts w:hint="eastAsia"/>
          <w:lang w:val="en-US" w:eastAsia="zh-CN"/>
        </w:rPr>
        <w:t>1.实现要求：</w:t>
      </w:r>
      <w:r>
        <w:rPr>
          <w:rFonts w:hint="eastAsia" w:cstheme="minorBidi"/>
          <w:kern w:val="2"/>
          <w:sz w:val="21"/>
          <w:szCs w:val="24"/>
          <w:lang w:val="en-US" w:eastAsia="zh-CN" w:bidi="ar-SA"/>
        </w:rPr>
        <w:t>支持导出、查看操作，展示每个油库每月的吐量情况，默认显示上月吐量数据。</w:t>
      </w:r>
    </w:p>
    <w:p w14:paraId="4E2E4B5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cstheme="minorBidi"/>
          <w:kern w:val="2"/>
          <w:sz w:val="21"/>
          <w:szCs w:val="24"/>
          <w:lang w:val="en-US" w:eastAsia="zh-CN" w:bidi="ar-SA"/>
        </w:rPr>
      </w:pPr>
      <w:r>
        <w:rPr>
          <w:rFonts w:hint="eastAsia"/>
          <w:lang w:val="en-US" w:eastAsia="zh-CN"/>
        </w:rPr>
        <w:t>2.列表字段：</w:t>
      </w:r>
      <w:r>
        <w:rPr>
          <w:rFonts w:hint="eastAsia" w:cstheme="minorBidi"/>
          <w:kern w:val="2"/>
          <w:sz w:val="21"/>
          <w:szCs w:val="24"/>
          <w:lang w:val="en-US" w:eastAsia="zh-CN" w:bidi="ar-SA"/>
        </w:rPr>
        <w:t>油库编号、油库名称、油库类型、所属区域、上月吐量、总运价、平均运价、统计时间。</w:t>
      </w:r>
    </w:p>
    <w:p w14:paraId="2F51916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3.查看：点击查看按钮展示默认以运输方式统计的数据展示出来，可切换成按油品类型统计，字段和列表一致，加上运输方式/油品类型，用那个统计就显示那个。</w:t>
      </w:r>
    </w:p>
    <w:p w14:paraId="0CFEE0D0">
      <w:pPr>
        <w:keepNext w:val="0"/>
        <w:keepLines w:val="0"/>
        <w:widowControl/>
        <w:suppressLineNumbers w:val="0"/>
        <w:jc w:val="left"/>
        <w:rPr>
          <w:rFonts w:hint="default" w:cstheme="minorBidi"/>
          <w:kern w:val="2"/>
          <w:sz w:val="21"/>
          <w:szCs w:val="24"/>
          <w:lang w:val="en-US" w:eastAsia="zh-CN" w:bidi="ar-SA"/>
        </w:rPr>
      </w:pPr>
    </w:p>
    <w:p w14:paraId="0181368F">
      <w:pPr>
        <w:rPr>
          <w:rFonts w:hint="default"/>
          <w:lang w:val="en-US" w:eastAsia="zh-CN"/>
        </w:rPr>
      </w:pPr>
    </w:p>
    <w:p w14:paraId="10769597">
      <w:pPr>
        <w:pStyle w:val="3"/>
        <w:rPr>
          <w:rFonts w:hint="eastAsia" w:asciiTheme="majorEastAsia" w:hAnsiTheme="majorEastAsia" w:eastAsiaTheme="majorEastAsia" w:cstheme="majorEastAsia"/>
          <w:b/>
          <w:bCs w:val="0"/>
          <w:kern w:val="2"/>
          <w:sz w:val="28"/>
          <w:szCs w:val="22"/>
          <w:lang w:val="en-US" w:eastAsia="zh-CN" w:bidi="ar-SA"/>
        </w:rPr>
      </w:pPr>
      <w:r>
        <w:rPr>
          <w:rFonts w:hint="eastAsia" w:asciiTheme="majorEastAsia" w:hAnsiTheme="majorEastAsia" w:eastAsiaTheme="majorEastAsia" w:cstheme="majorEastAsia"/>
          <w:b/>
          <w:bCs w:val="0"/>
          <w:kern w:val="2"/>
          <w:sz w:val="28"/>
          <w:szCs w:val="22"/>
          <w:lang w:val="en-US" w:eastAsia="zh-CN" w:bidi="ar-SA"/>
        </w:rPr>
        <w:t>4.4全环节系统运输路线规划</w:t>
      </w:r>
    </w:p>
    <w:p w14:paraId="4A3A11C5">
      <w:pPr>
        <w:keepNext w:val="0"/>
        <w:keepLines w:val="0"/>
        <w:widowControl/>
        <w:numPr>
          <w:ilvl w:val="0"/>
          <w:numId w:val="6"/>
        </w:numPr>
        <w:suppressLineNumbers w:val="0"/>
        <w:jc w:val="left"/>
        <w:rPr>
          <w:rFonts w:hint="eastAsia"/>
          <w:lang w:val="en-US" w:eastAsia="zh-CN"/>
        </w:rPr>
      </w:pPr>
      <w:r>
        <w:rPr>
          <w:rFonts w:hint="eastAsia"/>
          <w:lang w:val="en-US" w:eastAsia="zh-CN"/>
        </w:rPr>
        <w:t>实现要求：展示全区的加油站站点数据，点击查看按钮显示该油站的所有路线规划数据。</w:t>
      </w:r>
    </w:p>
    <w:p w14:paraId="4A181C63">
      <w:pPr>
        <w:keepNext w:val="0"/>
        <w:keepLines w:val="0"/>
        <w:widowControl/>
        <w:numPr>
          <w:ilvl w:val="0"/>
          <w:numId w:val="6"/>
        </w:numPr>
        <w:suppressLineNumbers w:val="0"/>
        <w:jc w:val="left"/>
        <w:rPr>
          <w:rFonts w:hint="default"/>
          <w:lang w:val="en-US" w:eastAsia="zh-CN"/>
        </w:rPr>
      </w:pPr>
      <w:r>
        <w:rPr>
          <w:rFonts w:hint="eastAsia"/>
          <w:lang w:val="en-US" w:eastAsia="zh-CN"/>
        </w:rPr>
        <w:t>场景：</w:t>
      </w:r>
    </w:p>
    <w:p w14:paraId="27ADFA2F">
      <w:pPr>
        <w:keepNext w:val="0"/>
        <w:keepLines w:val="0"/>
        <w:widowControl/>
        <w:numPr>
          <w:ilvl w:val="0"/>
          <w:numId w:val="0"/>
        </w:numPr>
        <w:suppressLineNumbers w:val="0"/>
        <w:jc w:val="left"/>
        <w:rPr>
          <w:rFonts w:hint="eastAsia"/>
          <w:lang w:val="en-US" w:eastAsia="zh-CN"/>
        </w:rPr>
      </w:pPr>
      <w:r>
        <w:rPr>
          <w:rFonts w:hint="eastAsia"/>
          <w:lang w:val="en-US" w:eastAsia="zh-CN"/>
        </w:rPr>
        <w:t xml:space="preserve">   </w:t>
      </w:r>
      <w:r>
        <w:rPr>
          <w:rFonts w:hint="eastAsia" w:cstheme="minorBidi"/>
          <w:kern w:val="2"/>
          <w:sz w:val="21"/>
          <w:szCs w:val="24"/>
          <w:lang w:val="en-US" w:eastAsia="zh-CN" w:bidi="ar-SA"/>
        </w:rPr>
        <w:t>**</w:t>
      </w:r>
      <w:r>
        <w:rPr>
          <w:rFonts w:hint="eastAsia"/>
          <w:lang w:val="en-US" w:eastAsia="zh-CN"/>
        </w:rPr>
        <w:t>炼油厂～</w:t>
      </w:r>
      <w:r>
        <w:rPr>
          <w:rFonts w:hint="eastAsia" w:cstheme="minorBidi"/>
          <w:kern w:val="2"/>
          <w:sz w:val="21"/>
          <w:szCs w:val="24"/>
          <w:lang w:val="en-US" w:eastAsia="zh-CN" w:bidi="ar-SA"/>
        </w:rPr>
        <w:t>**</w:t>
      </w:r>
      <w:r>
        <w:rPr>
          <w:rFonts w:hint="eastAsia"/>
          <w:lang w:val="en-US" w:eastAsia="zh-CN"/>
        </w:rPr>
        <w:t>中心油库～</w:t>
      </w:r>
      <w:r>
        <w:rPr>
          <w:rFonts w:hint="eastAsia" w:cstheme="minorBidi"/>
          <w:kern w:val="2"/>
          <w:sz w:val="21"/>
          <w:szCs w:val="24"/>
          <w:lang w:val="en-US" w:eastAsia="zh-CN" w:bidi="ar-SA"/>
        </w:rPr>
        <w:t>**</w:t>
      </w:r>
      <w:r>
        <w:rPr>
          <w:rFonts w:hint="eastAsia"/>
          <w:lang w:val="en-US" w:eastAsia="zh-CN"/>
        </w:rPr>
        <w:t>分销油库～加油站/客户终端</w:t>
      </w:r>
    </w:p>
    <w:p w14:paraId="671D418D">
      <w:pPr>
        <w:keepNext w:val="0"/>
        <w:keepLines w:val="0"/>
        <w:widowControl/>
        <w:numPr>
          <w:ilvl w:val="0"/>
          <w:numId w:val="0"/>
        </w:numPr>
        <w:suppressLineNumbers w:val="0"/>
        <w:jc w:val="left"/>
        <w:rPr>
          <w:rFonts w:hint="eastAsia"/>
          <w:lang w:val="en-US" w:eastAsia="zh-CN"/>
        </w:rPr>
      </w:pPr>
      <w:r>
        <w:rPr>
          <w:rFonts w:hint="eastAsia"/>
          <w:lang w:val="en-US" w:eastAsia="zh-CN"/>
        </w:rPr>
        <w:t xml:space="preserve">   </w:t>
      </w:r>
      <w:r>
        <w:rPr>
          <w:rFonts w:hint="eastAsia" w:cstheme="minorBidi"/>
          <w:kern w:val="2"/>
          <w:sz w:val="21"/>
          <w:szCs w:val="24"/>
          <w:lang w:val="en-US" w:eastAsia="zh-CN" w:bidi="ar-SA"/>
        </w:rPr>
        <w:t>**</w:t>
      </w:r>
      <w:r>
        <w:rPr>
          <w:rFonts w:hint="eastAsia"/>
          <w:lang w:val="en-US" w:eastAsia="zh-CN"/>
        </w:rPr>
        <w:t>炼油厂～</w:t>
      </w:r>
      <w:r>
        <w:rPr>
          <w:rFonts w:hint="eastAsia" w:cstheme="minorBidi"/>
          <w:kern w:val="2"/>
          <w:sz w:val="21"/>
          <w:szCs w:val="24"/>
          <w:lang w:val="en-US" w:eastAsia="zh-CN" w:bidi="ar-SA"/>
        </w:rPr>
        <w:t>**</w:t>
      </w:r>
      <w:r>
        <w:rPr>
          <w:rFonts w:hint="eastAsia"/>
          <w:lang w:val="en-US" w:eastAsia="zh-CN"/>
        </w:rPr>
        <w:t>分销油库～</w:t>
      </w:r>
      <w:r>
        <w:rPr>
          <w:rFonts w:hint="eastAsia" w:cstheme="minorBidi"/>
          <w:kern w:val="2"/>
          <w:sz w:val="21"/>
          <w:szCs w:val="24"/>
          <w:lang w:val="en-US" w:eastAsia="zh-CN" w:bidi="ar-SA"/>
        </w:rPr>
        <w:t>**</w:t>
      </w:r>
      <w:r>
        <w:rPr>
          <w:rFonts w:hint="eastAsia"/>
          <w:lang w:val="en-US" w:eastAsia="zh-CN"/>
        </w:rPr>
        <w:t>加油站/客户终端</w:t>
      </w:r>
    </w:p>
    <w:p w14:paraId="2DE834E1">
      <w:pPr>
        <w:keepNext w:val="0"/>
        <w:keepLines w:val="0"/>
        <w:widowControl/>
        <w:numPr>
          <w:ilvl w:val="0"/>
          <w:numId w:val="0"/>
        </w:numPr>
        <w:suppressLineNumbers w:val="0"/>
        <w:jc w:val="left"/>
        <w:rPr>
          <w:rFonts w:hint="eastAsia"/>
          <w:lang w:val="en-US" w:eastAsia="zh-CN"/>
        </w:rPr>
      </w:pPr>
      <w:r>
        <w:rPr>
          <w:rFonts w:hint="eastAsia"/>
          <w:lang w:val="en-US" w:eastAsia="zh-CN"/>
        </w:rPr>
        <w:t xml:space="preserve">   </w:t>
      </w:r>
      <w:r>
        <w:rPr>
          <w:rFonts w:hint="eastAsia" w:cstheme="minorBidi"/>
          <w:kern w:val="2"/>
          <w:sz w:val="21"/>
          <w:szCs w:val="24"/>
          <w:lang w:val="en-US" w:eastAsia="zh-CN" w:bidi="ar-SA"/>
        </w:rPr>
        <w:t>**</w:t>
      </w:r>
      <w:r>
        <w:rPr>
          <w:rFonts w:hint="eastAsia"/>
          <w:lang w:val="en-US" w:eastAsia="zh-CN"/>
        </w:rPr>
        <w:t>炼油厂～</w:t>
      </w:r>
      <w:r>
        <w:rPr>
          <w:rFonts w:hint="eastAsia" w:cstheme="minorBidi"/>
          <w:kern w:val="2"/>
          <w:sz w:val="21"/>
          <w:szCs w:val="24"/>
          <w:lang w:val="en-US" w:eastAsia="zh-CN" w:bidi="ar-SA"/>
        </w:rPr>
        <w:t>**</w:t>
      </w:r>
      <w:r>
        <w:rPr>
          <w:rFonts w:hint="eastAsia"/>
          <w:lang w:val="en-US" w:eastAsia="zh-CN"/>
        </w:rPr>
        <w:t>中心油库～</w:t>
      </w:r>
      <w:r>
        <w:rPr>
          <w:rFonts w:hint="eastAsia" w:cstheme="minorBidi"/>
          <w:kern w:val="2"/>
          <w:sz w:val="21"/>
          <w:szCs w:val="24"/>
          <w:lang w:val="en-US" w:eastAsia="zh-CN" w:bidi="ar-SA"/>
        </w:rPr>
        <w:t>**</w:t>
      </w:r>
      <w:r>
        <w:rPr>
          <w:rFonts w:hint="eastAsia"/>
          <w:lang w:val="en-US" w:eastAsia="zh-CN"/>
        </w:rPr>
        <w:t>加油站/客户终端</w:t>
      </w:r>
    </w:p>
    <w:p w14:paraId="61B921C0">
      <w:pPr>
        <w:keepNext w:val="0"/>
        <w:keepLines w:val="0"/>
        <w:widowControl/>
        <w:numPr>
          <w:ilvl w:val="0"/>
          <w:numId w:val="0"/>
        </w:numPr>
        <w:suppressLineNumbers w:val="0"/>
        <w:jc w:val="left"/>
        <w:rPr>
          <w:rFonts w:hint="default"/>
          <w:lang w:val="en-US" w:eastAsia="zh-CN"/>
        </w:rPr>
      </w:pPr>
      <w:r>
        <w:rPr>
          <w:rFonts w:hint="eastAsia"/>
          <w:lang w:val="en-US" w:eastAsia="zh-CN"/>
        </w:rPr>
        <w:t>3.查看按钮：根据该油站编码在运输方式管理模块的站点运输方式管理数据中查询出所有该站点的运输费用信息，然后逐级上推，得出第二点场景的全环节运输路线数据，并把总运费最低的数据标注出来，可看案例测算的图3-1说明。</w:t>
      </w:r>
    </w:p>
    <w:p w14:paraId="4051809B">
      <w:pPr>
        <w:pStyle w:val="3"/>
        <w:rPr>
          <w:rFonts w:hint="eastAsia" w:asciiTheme="majorEastAsia" w:hAnsiTheme="majorEastAsia" w:eastAsiaTheme="majorEastAsia" w:cstheme="majorEastAsia"/>
          <w:b/>
          <w:bCs w:val="0"/>
          <w:kern w:val="2"/>
          <w:sz w:val="28"/>
          <w:szCs w:val="22"/>
          <w:lang w:val="en-US" w:eastAsia="zh-CN" w:bidi="ar-SA"/>
        </w:rPr>
      </w:pPr>
      <w:r>
        <w:rPr>
          <w:rFonts w:hint="eastAsia" w:asciiTheme="majorEastAsia" w:hAnsiTheme="majorEastAsia" w:eastAsiaTheme="majorEastAsia" w:cstheme="majorEastAsia"/>
          <w:b/>
          <w:bCs w:val="0"/>
          <w:kern w:val="2"/>
          <w:sz w:val="28"/>
          <w:szCs w:val="22"/>
          <w:lang w:val="en-US" w:eastAsia="zh-CN" w:bidi="ar-SA"/>
        </w:rPr>
        <w:t>4.5绩效考核</w:t>
      </w:r>
    </w:p>
    <w:p w14:paraId="4B2581CD">
      <w:pPr>
        <w:pStyle w:val="4"/>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stheme="minorBidi"/>
          <w:kern w:val="2"/>
          <w:sz w:val="21"/>
          <w:szCs w:val="24"/>
          <w:lang w:val="en-US" w:eastAsia="zh-CN" w:bidi="ar-SA"/>
        </w:rPr>
      </w:pPr>
      <w:r>
        <w:rPr>
          <w:rFonts w:hint="eastAsia" w:cstheme="minorBidi"/>
          <w:kern w:val="2"/>
          <w:sz w:val="21"/>
          <w:szCs w:val="24"/>
          <w:lang w:val="en-US" w:eastAsia="zh-CN" w:bidi="ar-SA"/>
        </w:rPr>
        <w:t>4.5.1油库考核结果公布</w:t>
      </w:r>
    </w:p>
    <w:p w14:paraId="160FDB8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cstheme="minorBidi"/>
          <w:kern w:val="2"/>
          <w:sz w:val="21"/>
          <w:szCs w:val="24"/>
          <w:lang w:val="en-US" w:eastAsia="zh-CN" w:bidi="ar-SA"/>
        </w:rPr>
      </w:pPr>
      <w:r>
        <w:rPr>
          <w:rFonts w:hint="eastAsia" w:cstheme="minorBidi"/>
          <w:kern w:val="2"/>
          <w:sz w:val="21"/>
          <w:szCs w:val="24"/>
          <w:lang w:val="en-US" w:eastAsia="zh-CN" w:bidi="ar-SA"/>
        </w:rPr>
        <w:t>1.实现要求：展示定时任务生成的绩效考核数据。</w:t>
      </w:r>
    </w:p>
    <w:p w14:paraId="4BD80E9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2.列表字段：油库名称、油库类型、所属区域、汽油吞吐量、柴油吞吐量、总运价、平均运价、总吞吐量、汽油吞吐量得分、柴油吞吐量得分、综合得分、统计时间。</w:t>
      </w:r>
    </w:p>
    <w:p w14:paraId="1F623AF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cstheme="minorBidi"/>
          <w:kern w:val="2"/>
          <w:sz w:val="21"/>
          <w:szCs w:val="24"/>
          <w:lang w:val="en-US" w:eastAsia="zh-CN" w:bidi="ar-SA"/>
        </w:rPr>
      </w:pPr>
      <w:r>
        <w:rPr>
          <w:rFonts w:hint="eastAsia" w:cstheme="minorBidi"/>
          <w:kern w:val="2"/>
          <w:sz w:val="21"/>
          <w:szCs w:val="24"/>
          <w:lang w:val="en-US" w:eastAsia="zh-CN" w:bidi="ar-SA"/>
        </w:rPr>
        <w:t>3.数据显示：默认显示吐量数据和上月数据。</w:t>
      </w:r>
    </w:p>
    <w:p w14:paraId="30C7C764">
      <w:pPr>
        <w:pStyle w:val="4"/>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stheme="minorBidi"/>
          <w:kern w:val="2"/>
          <w:sz w:val="21"/>
          <w:szCs w:val="24"/>
          <w:lang w:val="en-US" w:eastAsia="zh-CN" w:bidi="ar-SA"/>
        </w:rPr>
      </w:pPr>
      <w:r>
        <w:rPr>
          <w:rFonts w:hint="eastAsia" w:cstheme="minorBidi"/>
          <w:kern w:val="2"/>
          <w:sz w:val="21"/>
          <w:szCs w:val="24"/>
          <w:lang w:val="en-US" w:eastAsia="zh-CN" w:bidi="ar-SA"/>
        </w:rPr>
        <w:t>4.5.2考核评分管理</w:t>
      </w:r>
    </w:p>
    <w:p w14:paraId="29BC244B">
      <w:pPr>
        <w:numPr>
          <w:ilvl w:val="0"/>
          <w:numId w:val="7"/>
        </w:numPr>
        <w:rPr>
          <w:rFonts w:hint="default" w:cstheme="minorBidi"/>
          <w:kern w:val="2"/>
          <w:sz w:val="21"/>
          <w:szCs w:val="24"/>
          <w:lang w:val="en-US" w:eastAsia="zh-CN" w:bidi="ar-SA"/>
        </w:rPr>
      </w:pPr>
      <w:r>
        <w:rPr>
          <w:rFonts w:hint="eastAsia" w:cstheme="minorBidi"/>
          <w:kern w:val="2"/>
          <w:sz w:val="21"/>
          <w:szCs w:val="24"/>
          <w:lang w:val="en-US" w:eastAsia="zh-CN" w:bidi="ar-SA"/>
        </w:rPr>
        <w:t>实现要求：展示已经配置好的列表数据，支持导入、新增、编辑和删除操作，以便于后续定时任务生成的吞吐量考核结果数据评分以这个作为参考点。</w:t>
      </w:r>
    </w:p>
    <w:p w14:paraId="09CE8A61">
      <w:pPr>
        <w:pStyle w:val="5"/>
        <w:numPr>
          <w:ilvl w:val="0"/>
          <w:numId w:val="0"/>
        </w:numPr>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4.5.2.1吞量考核</w:t>
      </w:r>
    </w:p>
    <w:p w14:paraId="52CF52B9">
      <w:pPr>
        <w:numPr>
          <w:ilvl w:val="0"/>
          <w:numId w:val="8"/>
        </w:numPr>
        <w:rPr>
          <w:rFonts w:hint="eastAsia" w:cstheme="minorBidi"/>
          <w:kern w:val="2"/>
          <w:sz w:val="21"/>
          <w:szCs w:val="24"/>
          <w:lang w:val="en-US" w:eastAsia="zh-CN" w:bidi="ar-SA"/>
        </w:rPr>
      </w:pPr>
      <w:r>
        <w:rPr>
          <w:rFonts w:hint="eastAsia" w:cstheme="minorBidi"/>
          <w:kern w:val="2"/>
          <w:sz w:val="21"/>
          <w:szCs w:val="24"/>
          <w:lang w:val="en-US" w:eastAsia="zh-CN" w:bidi="ar-SA"/>
        </w:rPr>
        <w:t>评级等级：优秀、良好、一般、较差、极差。</w:t>
      </w:r>
    </w:p>
    <w:p w14:paraId="7E54CBF4">
      <w:pPr>
        <w:numPr>
          <w:ilvl w:val="0"/>
          <w:numId w:val="8"/>
        </w:numPr>
        <w:rPr>
          <w:rFonts w:hint="eastAsia" w:cstheme="minorBidi"/>
          <w:kern w:val="2"/>
          <w:sz w:val="21"/>
          <w:szCs w:val="24"/>
          <w:lang w:val="en-US" w:eastAsia="zh-CN" w:bidi="ar-SA"/>
        </w:rPr>
      </w:pPr>
      <w:r>
        <w:rPr>
          <w:rFonts w:hint="eastAsia" w:cstheme="minorBidi"/>
          <w:kern w:val="2"/>
          <w:sz w:val="21"/>
          <w:szCs w:val="24"/>
          <w:lang w:val="en-US" w:eastAsia="zh-CN" w:bidi="ar-SA"/>
        </w:rPr>
        <w:t>配置字段：油库编码、吐量最小值、吞量最大值、评分级别。</w:t>
      </w:r>
    </w:p>
    <w:p w14:paraId="7940A7D9">
      <w:pPr>
        <w:numPr>
          <w:ilvl w:val="0"/>
          <w:numId w:val="8"/>
        </w:numPr>
        <w:rPr>
          <w:rFonts w:hint="eastAsia" w:cstheme="minorBidi"/>
          <w:kern w:val="2"/>
          <w:sz w:val="21"/>
          <w:szCs w:val="24"/>
          <w:lang w:val="en-US" w:eastAsia="zh-CN" w:bidi="ar-SA"/>
        </w:rPr>
      </w:pPr>
      <w:r>
        <w:rPr>
          <w:rFonts w:hint="eastAsia" w:cstheme="minorBidi"/>
          <w:kern w:val="2"/>
          <w:sz w:val="21"/>
          <w:szCs w:val="24"/>
          <w:lang w:val="en-US" w:eastAsia="zh-CN" w:bidi="ar-SA"/>
        </w:rPr>
        <w:t>举例：</w:t>
      </w:r>
    </w:p>
    <w:p w14:paraId="1DA3FFDC">
      <w:pPr>
        <w:pStyle w:val="6"/>
        <w:keepNext w:val="0"/>
        <w:keepLines w:val="0"/>
        <w:widowControl/>
        <w:suppressLineNumbers w:val="0"/>
        <w:spacing w:before="0" w:beforeAutospacing="0" w:after="0" w:afterAutospacing="0"/>
        <w:ind w:left="0" w:right="0" w:firstLine="560"/>
        <w:jc w:val="left"/>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油库      15000     20000   </w:t>
      </w:r>
      <w:r>
        <w:rPr>
          <w:rFonts w:hint="eastAsia" w:cstheme="minorBidi"/>
          <w:kern w:val="2"/>
          <w:sz w:val="21"/>
          <w:szCs w:val="24"/>
          <w:lang w:val="en-US" w:eastAsia="zh-CN" w:bidi="ar-SA"/>
        </w:rPr>
        <w:t xml:space="preserve"> </w:t>
      </w:r>
      <w:r>
        <w:rPr>
          <w:rFonts w:hint="eastAsia" w:asciiTheme="minorHAnsi" w:hAnsiTheme="minorHAnsi" w:eastAsiaTheme="minorEastAsia" w:cstheme="minorBidi"/>
          <w:kern w:val="2"/>
          <w:sz w:val="21"/>
          <w:szCs w:val="24"/>
          <w:lang w:val="en-US" w:eastAsia="zh-CN" w:bidi="ar-SA"/>
        </w:rPr>
        <w:t>优秀</w:t>
      </w:r>
    </w:p>
    <w:p w14:paraId="53D74EF4">
      <w:pPr>
        <w:pStyle w:val="6"/>
        <w:keepNext w:val="0"/>
        <w:keepLines w:val="0"/>
        <w:widowControl/>
        <w:suppressLineNumbers w:val="0"/>
        <w:spacing w:before="0" w:beforeAutospacing="0" w:after="0" w:afterAutospacing="0"/>
        <w:ind w:left="0" w:right="0" w:firstLine="560"/>
        <w:jc w:val="left"/>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油库      8000       14999   </w:t>
      </w:r>
      <w:r>
        <w:rPr>
          <w:rFonts w:hint="eastAsia" w:cstheme="minorBidi"/>
          <w:kern w:val="2"/>
          <w:sz w:val="21"/>
          <w:szCs w:val="24"/>
          <w:lang w:val="en-US" w:eastAsia="zh-CN" w:bidi="ar-SA"/>
        </w:rPr>
        <w:t xml:space="preserve"> </w:t>
      </w:r>
      <w:r>
        <w:rPr>
          <w:rFonts w:hint="eastAsia" w:asciiTheme="minorHAnsi" w:hAnsiTheme="minorHAnsi" w:eastAsiaTheme="minorEastAsia" w:cstheme="minorBidi"/>
          <w:kern w:val="2"/>
          <w:sz w:val="21"/>
          <w:szCs w:val="24"/>
          <w:lang w:val="en-US" w:eastAsia="zh-CN" w:bidi="ar-SA"/>
        </w:rPr>
        <w:t>良好</w:t>
      </w:r>
    </w:p>
    <w:p w14:paraId="5DD24179">
      <w:pPr>
        <w:pStyle w:val="6"/>
        <w:keepNext w:val="0"/>
        <w:keepLines w:val="0"/>
        <w:widowControl/>
        <w:suppressLineNumbers w:val="0"/>
        <w:spacing w:before="0" w:beforeAutospacing="0" w:after="0" w:afterAutospacing="0"/>
        <w:ind w:left="0" w:right="0" w:firstLine="560"/>
        <w:jc w:val="left"/>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油库      5000        7999    一般</w:t>
      </w:r>
    </w:p>
    <w:p w14:paraId="52235BFF">
      <w:pPr>
        <w:pStyle w:val="6"/>
        <w:keepNext w:val="0"/>
        <w:keepLines w:val="0"/>
        <w:widowControl/>
        <w:suppressLineNumbers w:val="0"/>
        <w:spacing w:before="0" w:beforeAutospacing="0" w:after="0" w:afterAutospacing="0"/>
        <w:ind w:left="0" w:right="0" w:firstLine="560"/>
        <w:jc w:val="left"/>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油库      3000        4999    较差</w:t>
      </w:r>
    </w:p>
    <w:p w14:paraId="361233FF">
      <w:pPr>
        <w:pStyle w:val="6"/>
        <w:keepNext w:val="0"/>
        <w:keepLines w:val="0"/>
        <w:widowControl/>
        <w:suppressLineNumbers w:val="0"/>
        <w:spacing w:before="0" w:beforeAutospacing="0" w:after="0" w:afterAutospacing="0"/>
        <w:ind w:left="0" w:right="0" w:firstLine="560"/>
        <w:jc w:val="left"/>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油库      1000        2999    极差</w:t>
      </w:r>
    </w:p>
    <w:p w14:paraId="62F2B88F">
      <w:pPr>
        <w:numPr>
          <w:ilvl w:val="0"/>
          <w:numId w:val="0"/>
        </w:numPr>
        <w:rPr>
          <w:rFonts w:hint="default" w:cstheme="minorBidi"/>
          <w:kern w:val="2"/>
          <w:sz w:val="21"/>
          <w:szCs w:val="24"/>
          <w:lang w:val="en-US" w:eastAsia="zh-CN" w:bidi="ar-SA"/>
        </w:rPr>
      </w:pPr>
    </w:p>
    <w:p w14:paraId="59676A14">
      <w:pPr>
        <w:pStyle w:val="5"/>
        <w:numPr>
          <w:ilvl w:val="0"/>
          <w:numId w:val="0"/>
        </w:numPr>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4.5.2.2吐量考核</w:t>
      </w:r>
    </w:p>
    <w:p w14:paraId="423D77E9">
      <w:pPr>
        <w:numPr>
          <w:ilvl w:val="0"/>
          <w:numId w:val="9"/>
        </w:numPr>
        <w:rPr>
          <w:rFonts w:hint="eastAsia" w:cstheme="minorBidi"/>
          <w:kern w:val="2"/>
          <w:sz w:val="21"/>
          <w:szCs w:val="24"/>
          <w:lang w:val="en-US" w:eastAsia="zh-CN" w:bidi="ar-SA"/>
        </w:rPr>
      </w:pPr>
      <w:r>
        <w:rPr>
          <w:rFonts w:hint="eastAsia" w:cstheme="minorBidi"/>
          <w:kern w:val="2"/>
          <w:sz w:val="21"/>
          <w:szCs w:val="24"/>
          <w:lang w:val="en-US" w:eastAsia="zh-CN" w:bidi="ar-SA"/>
        </w:rPr>
        <w:t>评分等级：优秀、良好、一般、较差、极差。</w:t>
      </w:r>
    </w:p>
    <w:p w14:paraId="2CF2581A">
      <w:pPr>
        <w:numPr>
          <w:ilvl w:val="0"/>
          <w:numId w:val="9"/>
        </w:numPr>
        <w:rPr>
          <w:rFonts w:hint="eastAsia" w:cstheme="minorBidi"/>
          <w:kern w:val="2"/>
          <w:sz w:val="21"/>
          <w:szCs w:val="24"/>
          <w:lang w:val="en-US" w:eastAsia="zh-CN" w:bidi="ar-SA"/>
        </w:rPr>
      </w:pPr>
      <w:r>
        <w:rPr>
          <w:rFonts w:hint="eastAsia" w:cstheme="minorBidi"/>
          <w:kern w:val="2"/>
          <w:sz w:val="21"/>
          <w:szCs w:val="24"/>
          <w:lang w:val="en-US" w:eastAsia="zh-CN" w:bidi="ar-SA"/>
        </w:rPr>
        <w:t>做法和吞量考核一致。</w:t>
      </w:r>
    </w:p>
    <w:p w14:paraId="7644AFCA">
      <w:pPr>
        <w:rPr>
          <w:rFonts w:hint="default"/>
          <w:lang w:val="en-US" w:eastAsia="zh-CN"/>
        </w:rPr>
      </w:pPr>
    </w:p>
    <w:p w14:paraId="425ACFF6"/>
    <w:p w14:paraId="5334F9C5">
      <w:r>
        <w:br w:type="page"/>
      </w:r>
    </w:p>
    <w:p w14:paraId="11C06BA9">
      <w:pPr>
        <w:pStyle w:val="2"/>
        <w:rPr>
          <w:b/>
        </w:rPr>
      </w:pPr>
      <w:r>
        <w:rPr>
          <w:b/>
        </w:rPr>
        <w:t>补充章节 - PRD完善（V2.0）</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4B4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31F97BD">
            <w:pPr>
              <w:jc w:val="both"/>
              <w:rPr>
                <w:rFonts w:hint="default"/>
                <w:sz w:val="21"/>
                <w:szCs w:val="21"/>
                <w:vertAlign w:val="baseline"/>
                <w:lang w:val="en-US" w:eastAsia="zh-CN"/>
              </w:rPr>
            </w:pPr>
            <w:r>
              <w:rPr>
                <w:rFonts w:hint="eastAsia"/>
                <w:sz w:val="21"/>
                <w:szCs w:val="21"/>
                <w:vertAlign w:val="baseline"/>
                <w:lang w:val="en-US" w:eastAsia="zh-CN"/>
              </w:rPr>
              <w:t>日期</w:t>
            </w:r>
          </w:p>
        </w:tc>
        <w:tc>
          <w:tcPr>
            <w:tcW w:w="2130" w:type="dxa"/>
          </w:tcPr>
          <w:p w14:paraId="77C76ACD">
            <w:pPr>
              <w:jc w:val="both"/>
              <w:rPr>
                <w:rFonts w:hint="default"/>
                <w:sz w:val="21"/>
                <w:szCs w:val="21"/>
                <w:vertAlign w:val="baseline"/>
                <w:lang w:val="en-US" w:eastAsia="zh-CN"/>
              </w:rPr>
            </w:pPr>
            <w:r>
              <w:rPr>
                <w:rFonts w:hint="eastAsia"/>
                <w:sz w:val="21"/>
                <w:szCs w:val="21"/>
                <w:vertAlign w:val="baseline"/>
                <w:lang w:val="en-US" w:eastAsia="zh-CN"/>
              </w:rPr>
              <w:t>版本</w:t>
            </w:r>
          </w:p>
        </w:tc>
        <w:tc>
          <w:tcPr>
            <w:tcW w:w="2131" w:type="dxa"/>
          </w:tcPr>
          <w:p w14:paraId="29DFF3A8">
            <w:pPr>
              <w:jc w:val="both"/>
              <w:rPr>
                <w:rFonts w:hint="default"/>
                <w:sz w:val="21"/>
                <w:szCs w:val="21"/>
                <w:vertAlign w:val="baseline"/>
                <w:lang w:val="en-US" w:eastAsia="zh-CN"/>
              </w:rPr>
            </w:pPr>
            <w:r>
              <w:rPr>
                <w:rFonts w:hint="eastAsia"/>
                <w:sz w:val="21"/>
                <w:szCs w:val="21"/>
                <w:vertAlign w:val="baseline"/>
                <w:lang w:val="en-US" w:eastAsia="zh-CN"/>
              </w:rPr>
              <w:t>修改人</w:t>
            </w:r>
          </w:p>
        </w:tc>
        <w:tc>
          <w:tcPr>
            <w:tcW w:w="2131" w:type="dxa"/>
          </w:tcPr>
          <w:p w14:paraId="4C59305F">
            <w:pPr>
              <w:jc w:val="both"/>
              <w:rPr>
                <w:rFonts w:hint="default"/>
                <w:sz w:val="21"/>
                <w:szCs w:val="21"/>
                <w:vertAlign w:val="baseline"/>
                <w:lang w:val="en-US" w:eastAsia="zh-CN"/>
              </w:rPr>
            </w:pPr>
            <w:r>
              <w:rPr>
                <w:rFonts w:hint="eastAsia"/>
                <w:sz w:val="21"/>
                <w:szCs w:val="21"/>
                <w:vertAlign w:val="baseline"/>
                <w:lang w:val="en-US" w:eastAsia="zh-CN"/>
              </w:rPr>
              <w:t>修改内容</w:t>
            </w:r>
          </w:p>
        </w:tc>
      </w:tr>
      <w:tr w14:paraId="03049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EB5955A">
            <w:pPr>
              <w:jc w:val="both"/>
              <w:rPr>
                <w:rFonts w:hint="default"/>
                <w:sz w:val="21"/>
                <w:szCs w:val="21"/>
                <w:vertAlign w:val="baseline"/>
                <w:lang w:val="en-US" w:eastAsia="zh-CN"/>
              </w:rPr>
            </w:pPr>
            <w:r>
              <w:rPr>
                <w:rFonts w:hint="eastAsia"/>
                <w:sz w:val="21"/>
                <w:szCs w:val="21"/>
                <w:vertAlign w:val="baseline"/>
                <w:lang w:val="en-US" w:eastAsia="zh-CN"/>
              </w:rPr>
              <w:t>2025-08-20</w:t>
            </w:r>
          </w:p>
        </w:tc>
        <w:tc>
          <w:tcPr>
            <w:tcW w:w="2130" w:type="dxa"/>
          </w:tcPr>
          <w:p w14:paraId="5FB4208D">
            <w:pPr>
              <w:jc w:val="both"/>
              <w:rPr>
                <w:rFonts w:hint="default"/>
                <w:sz w:val="21"/>
                <w:szCs w:val="21"/>
                <w:vertAlign w:val="baseline"/>
                <w:lang w:val="en-US" w:eastAsia="zh-CN"/>
              </w:rPr>
            </w:pPr>
            <w:r>
              <w:rPr>
                <w:rFonts w:hint="eastAsia"/>
                <w:sz w:val="21"/>
                <w:szCs w:val="21"/>
                <w:vertAlign w:val="baseline"/>
                <w:lang w:val="en-US" w:eastAsia="zh-CN"/>
              </w:rPr>
              <w:t>V2.0</w:t>
            </w:r>
          </w:p>
        </w:tc>
        <w:tc>
          <w:tcPr>
            <w:tcW w:w="2131" w:type="dxa"/>
          </w:tcPr>
          <w:p w14:paraId="2AB9116C">
            <w:pPr>
              <w:jc w:val="both"/>
              <w:rPr>
                <w:rFonts w:hint="default"/>
                <w:sz w:val="21"/>
                <w:szCs w:val="21"/>
                <w:vertAlign w:val="baseline"/>
                <w:lang w:val="en-US" w:eastAsia="zh-CN"/>
              </w:rPr>
            </w:pPr>
            <w:r>
              <w:rPr>
                <w:rFonts w:hint="eastAsia"/>
                <w:sz w:val="21"/>
                <w:szCs w:val="21"/>
                <w:vertAlign w:val="baseline"/>
                <w:lang w:val="en-US" w:eastAsia="zh-CN"/>
              </w:rPr>
              <w:t>黄俊棋</w:t>
            </w:r>
          </w:p>
        </w:tc>
        <w:tc>
          <w:tcPr>
            <w:tcW w:w="2131" w:type="dxa"/>
          </w:tcPr>
          <w:p w14:paraId="376769AD">
            <w:pPr>
              <w:jc w:val="both"/>
              <w:rPr>
                <w:rFonts w:hint="default"/>
                <w:sz w:val="21"/>
                <w:szCs w:val="21"/>
                <w:vertAlign w:val="baseline"/>
                <w:lang w:val="en-US" w:eastAsia="zh-CN"/>
              </w:rPr>
            </w:pPr>
            <w:r>
              <w:rPr>
                <w:rFonts w:hint="eastAsia"/>
                <w:sz w:val="21"/>
                <w:szCs w:val="21"/>
                <w:vertAlign w:val="baseline"/>
                <w:lang w:val="en-US" w:eastAsia="zh-CN"/>
              </w:rPr>
              <w:t>细化</w:t>
            </w:r>
          </w:p>
        </w:tc>
      </w:tr>
    </w:tbl>
    <w:p w14:paraId="65AFF47B"/>
    <w:p w14:paraId="5D6E67AC">
      <w:r>
        <w:t>说明：本章节在V1.0需求文档基础上进行补充完善，保留了原有的所有数据、图表和功能描述，新增了产品定位、目标用户、业务流程、技术架构、非功能性需求等内容，使PRD文档更加完整规范。</w:t>
      </w:r>
    </w:p>
    <w:p w14:paraId="45A1CEBE">
      <w:pPr>
        <w:pStyle w:val="3"/>
      </w:pPr>
      <w:r>
        <w:rPr>
          <w:b/>
        </w:rPr>
        <w:t>5. 产品定位与目标</w:t>
      </w:r>
    </w:p>
    <w:p w14:paraId="52A27868">
      <w:pPr>
        <w:pStyle w:val="4"/>
      </w:pPr>
      <w:r>
        <w:rPr>
          <w:b/>
        </w:rPr>
        <w:t>5.1 产品定位</w:t>
      </w:r>
    </w:p>
    <w:p w14:paraId="315DC708">
      <w:r>
        <w:t>全环节物流运输成本测算模型是一套面向石油销售企业的物流费用综合管理系统，旨在打破传统行政区划配送模式，通过统筹一二三级物流费用，实现从炼厂到加油站/终端客户的全环节物流费用最优配置。</w:t>
      </w:r>
    </w:p>
    <w:p w14:paraId="506739C5">
      <w:pPr>
        <w:pStyle w:val="4"/>
      </w:pPr>
      <w:r>
        <w:rPr>
          <w:b/>
        </w:rPr>
        <w:t>5.2 产品目标</w:t>
      </w:r>
    </w:p>
    <w:p w14:paraId="4C26E941">
      <w:r>
        <w:t>1. 短期目标：实现基础数据维护、运输费用管理、油库吞吐量统计等核心功能上线，支撑物流费用日常管理工作。</w:t>
      </w:r>
      <w:r>
        <w:br w:type="textWrapping"/>
      </w:r>
      <w:r>
        <w:t>2. 中期目标：完善全环节路线规划功能，实现基于算法的最优配送方案推荐，降低企业整体物流成本。</w:t>
      </w:r>
      <w:r>
        <w:br w:type="textWrapping"/>
      </w:r>
      <w:r>
        <w:t>3. 长期目标：建立完整的绩效考核体系，通过数据驱动持续优化物流效率，实现省公司层面的物流统筹管理。</w:t>
      </w:r>
    </w:p>
    <w:p w14:paraId="295E7536">
      <w:pPr>
        <w:pStyle w:val="4"/>
      </w:pPr>
      <w:r>
        <w:rPr>
          <w:b/>
        </w:rPr>
        <w:t>5.3 目标用户分析</w:t>
      </w:r>
    </w:p>
    <w:p w14:paraId="5C0D3A70">
      <w:r>
        <w:t>1. 省公司物流中心管理员：负责系统整体配置、基础数据维护、全环节路线规划决策、绩效考核管理。</w:t>
      </w:r>
      <w:r>
        <w:br w:type="textWrapping"/>
      </w:r>
      <w:r>
        <w:t>2. 地市公司物流管理员：负责本区域内油库吞吐量填报、数据统计查看、物流费用核对。</w:t>
      </w:r>
      <w:r>
        <w:br w:type="textWrapping"/>
      </w:r>
      <w:r>
        <w:t>3. 片区/油库管理员：负责具体油库的吞吐数据填报、日常数据维护、考核结果查看。</w:t>
      </w:r>
      <w:r>
        <w:br w:type="textWrapping"/>
      </w:r>
      <w:r>
        <w:t>4. 系统管理员：负责系统技术维护、用户权限管理、数据备份恢复等技术保障工作。</w:t>
      </w:r>
    </w:p>
    <w:p w14:paraId="638C4BD0">
      <w:r>
        <w:br w:type="page"/>
      </w:r>
    </w:p>
    <w:p w14:paraId="1AFCD137">
      <w:pPr>
        <w:pStyle w:val="3"/>
      </w:pPr>
      <w:r>
        <w:rPr>
          <w:b/>
        </w:rPr>
        <w:t>6. 核心业务流程</w:t>
      </w:r>
    </w:p>
    <w:p w14:paraId="238D1087">
      <w:pPr>
        <w:pStyle w:val="4"/>
      </w:pPr>
      <w:r>
        <w:rPr>
          <w:b/>
        </w:rPr>
        <w:t>6.1 基础数据维护流程</w:t>
      </w:r>
    </w:p>
    <w:p w14:paraId="16C69BBE">
      <w:r>
        <w:t>1. 油库数据维护：省公司管理员新增/编辑油库基本信息（编码、名称、类型、等级等），数据支持导入导出。</w:t>
      </w:r>
      <w:r>
        <w:br w:type="textWrapping"/>
      </w:r>
      <w:r>
        <w:t>2. 炼厂数据维护：维护炼厂的基本信息（编号、名称、加工能力等），作为一级物流的起点数据。</w:t>
      </w:r>
      <w:r>
        <w:br w:type="textWrapping"/>
      </w:r>
      <w:r>
        <w:t>3. 运输费用维护：</w:t>
      </w:r>
      <w:r>
        <w:br w:type="textWrapping"/>
      </w:r>
      <w:r>
        <w:t xml:space="preserve">   a. 站点运输方式：维护油库到加油站的公路运输费用，发站+到站为唯一键</w:t>
      </w:r>
      <w:r>
        <w:br w:type="textWrapping"/>
      </w:r>
      <w:r>
        <w:t xml:space="preserve">   b. 油库运输方式：维护炼厂-油库、油库-油库之间的管输/水路/铁路运输费用，发站+到站+运输方式+油品类型为唯一键</w:t>
      </w:r>
    </w:p>
    <w:p w14:paraId="5E4FCCA3">
      <w:pPr>
        <w:pStyle w:val="4"/>
      </w:pPr>
      <w:r>
        <w:rPr>
          <w:b/>
        </w:rPr>
        <w:t>6.2 油库吞吐量管理流程</w:t>
      </w:r>
    </w:p>
    <w:p w14:paraId="033FC8C5">
      <w:r>
        <w:t>1. 上月吞量填报：油库/片区管理员填报上月各运输方式的吞量数据，系统自动根据运输费用基础数据计算总运价，缺失基础数据时提示用户补充。</w:t>
      </w:r>
      <w:r>
        <w:br w:type="textWrapping"/>
      </w:r>
      <w:r>
        <w:t>2. 上月吐量填报：油库/片区管理员填报上月各运输方式的吐量数据，系统自动关联对应的运输费用数据计算总运价。</w:t>
      </w:r>
      <w:r>
        <w:br w:type="textWrapping"/>
      </w:r>
      <w:r>
        <w:t>3. 月度统计分析：系统自动汇总各油库每月的吞量/吐量数据，支持按运输方式或油品类型进行多维度统计分析。</w:t>
      </w:r>
    </w:p>
    <w:p w14:paraId="600301DF">
      <w:pPr>
        <w:pStyle w:val="4"/>
      </w:pPr>
      <w:r>
        <w:rPr>
          <w:b/>
        </w:rPr>
        <w:t>6.3 全环节路线规划流程</w:t>
      </w:r>
    </w:p>
    <w:p w14:paraId="7B7A3BAF">
      <w:r>
        <w:t>1. 选择目标加油站：用户在系统中选择需要规划路线的加油站。</w:t>
      </w:r>
      <w:r>
        <w:br w:type="textWrapping"/>
      </w:r>
      <w:r>
        <w:t>2. 查询可用路径：系统根据该加油站在站点运输方式管理中的数据，逐级上推查找所有可能的运输路径组合。</w:t>
      </w:r>
      <w:r>
        <w:br w:type="textWrapping"/>
      </w:r>
      <w:r>
        <w:t>3. 计算全环节费用：对每条可能的路径（炼厂→中心库→分销库→加油站、炼厂→中心库→加油站、炼厂→分销库→加油站、炼厂→加油站等）计算总运费。</w:t>
      </w:r>
      <w:r>
        <w:br w:type="textWrapping"/>
      </w:r>
      <w:r>
        <w:t>4. 推荐最优方案：系统将所有路径按总运费排序，将费用最低的路径标注为推荐方案，供用户决策参考。</w:t>
      </w:r>
    </w:p>
    <w:p w14:paraId="3CA12CB6">
      <w:r>
        <w:br w:type="page"/>
      </w:r>
    </w:p>
    <w:p w14:paraId="7C94C119">
      <w:pPr>
        <w:pStyle w:val="3"/>
      </w:pPr>
      <w:r>
        <w:rPr>
          <w:b/>
        </w:rPr>
        <w:t>7. 技术架构设计</w:t>
      </w:r>
    </w:p>
    <w:p w14:paraId="2034D11A">
      <w:pPr>
        <w:pStyle w:val="4"/>
      </w:pPr>
      <w:r>
        <w:rPr>
          <w:b/>
        </w:rPr>
        <w:t>7.1 整体架构</w:t>
      </w:r>
    </w:p>
    <w:p w14:paraId="5B123488">
      <w:r>
        <w:t>系统采用前后端分离的B/S架构设计：</w:t>
      </w:r>
      <w:r>
        <w:br w:type="textWrapping"/>
      </w:r>
      <w:r>
        <w:t>- 前端：Vue3 + Vite + TypeScript + Pinia + Element Plus，实现单页应用（SPA）交互体验</w:t>
      </w:r>
      <w:r>
        <w:br w:type="textWrapping"/>
      </w:r>
      <w:r>
        <w:t>- 后端：Spring Boot 3.2.4 + Java 17 + MyBatis-Plus + PostgreSQL + Redis + Druid</w:t>
      </w:r>
      <w:r>
        <w:br w:type="textWrapping"/>
      </w:r>
      <w:r>
        <w:t>- 数据库：PostgreSQL作为主数据库，Redis用于缓存加速</w:t>
      </w:r>
      <w:r>
        <w:br w:type="textWrapping"/>
      </w:r>
      <w:r>
        <w:t>- 架构模式：标准的三层架构（Controller层 -&gt; Service层 -&gt; Mapper层）</w:t>
      </w:r>
    </w:p>
    <w:p w14:paraId="63439814">
      <w:pPr>
        <w:pStyle w:val="4"/>
      </w:pPr>
      <w:r>
        <w:rPr>
          <w:b/>
        </w:rPr>
        <w:t>7.2 核心技术选型说明</w:t>
      </w:r>
    </w:p>
    <w:p w14:paraId="0EFDBD7F">
      <w:r>
        <w:t>1. 前端技术栈：</w:t>
      </w:r>
      <w:r>
        <w:br w:type="textWrapping"/>
      </w:r>
      <w:r>
        <w:t xml:space="preserve">   - Vue3：采用Composition API，提供更好的代码复用和逻辑组织能力</w:t>
      </w:r>
      <w:r>
        <w:br w:type="textWrapping"/>
      </w:r>
      <w:r>
        <w:t xml:space="preserve">   - Vite：快速的开发构建工具，提升开发效率</w:t>
      </w:r>
      <w:r>
        <w:br w:type="textWrapping"/>
      </w:r>
      <w:r>
        <w:t xml:space="preserve">   - TypeScript：类型安全，减少运行时错误</w:t>
      </w:r>
      <w:r>
        <w:br w:type="textWrapping"/>
      </w:r>
      <w:r>
        <w:t xml:space="preserve">   - Element Plus：企业级UI组件库，提供丰富的表单、表格、弹窗等组件</w:t>
      </w:r>
      <w:r>
        <w:br w:type="textWrapping"/>
      </w:r>
      <w:r>
        <w:t xml:space="preserve">   - Pinia：Vue3状态管理，简化状态管理逻辑</w:t>
      </w:r>
      <w:r>
        <w:br w:type="textWrapping"/>
      </w:r>
      <w:r>
        <w:br w:type="textWrapping"/>
      </w:r>
      <w:r>
        <w:t>2. 后端技术栈：</w:t>
      </w:r>
      <w:r>
        <w:br w:type="textWrapping"/>
      </w:r>
      <w:r>
        <w:t xml:space="preserve">   - Spring Boot 3.2.4：简化Spring应用开发，提供自动配置和快速启动</w:t>
      </w:r>
      <w:r>
        <w:br w:type="textWrapping"/>
      </w:r>
      <w:r>
        <w:t xml:space="preserve">   - Java 17：最新LTS版本，提供更好的性能和新特性</w:t>
      </w:r>
      <w:r>
        <w:br w:type="textWrapping"/>
      </w:r>
      <w:r>
        <w:t xml:space="preserve">   - MyBatis-Plus：MyBatis增强工具，内置通用Mapper，简化CRUD操作</w:t>
      </w:r>
      <w:r>
        <w:br w:type="textWrapping"/>
      </w:r>
      <w:r>
        <w:t xml:space="preserve">   - PostgreSQL：企业级关系型数据库，支持复杂查询和事务处理</w:t>
      </w:r>
      <w:r>
        <w:br w:type="textWrapping"/>
      </w:r>
      <w:r>
        <w:t xml:space="preserve">   - Redis：高性能缓存数据库，用于热点数据缓存</w:t>
      </w:r>
      <w:r>
        <w:br w:type="textWrapping"/>
      </w:r>
      <w:r>
        <w:t xml:space="preserve">   - Druid：阿里开源的数据库连接池，提供监控和SQL防火墙功能</w:t>
      </w:r>
    </w:p>
    <w:p w14:paraId="06AA36D3">
      <w:r>
        <w:br w:type="page"/>
      </w:r>
    </w:p>
    <w:p w14:paraId="21A695DC">
      <w:pPr>
        <w:pStyle w:val="3"/>
      </w:pPr>
      <w:r>
        <w:rPr>
          <w:b/>
        </w:rPr>
        <w:t>8. 非功能性需求</w:t>
      </w:r>
    </w:p>
    <w:p w14:paraId="1703903C">
      <w:pPr>
        <w:pStyle w:val="4"/>
      </w:pPr>
      <w:r>
        <w:rPr>
          <w:b/>
        </w:rPr>
        <w:t>8.1 性能需求</w:t>
      </w:r>
    </w:p>
    <w:p w14:paraId="5221B546">
      <w:r>
        <w:t>1. 响应时间：页面加载时间≤2秒，列表查询响应时间≤1秒，全环节路线规划计算响应时间≤3秒</w:t>
      </w:r>
      <w:r>
        <w:br w:type="textWrapping"/>
      </w:r>
      <w:r>
        <w:rPr>
          <w:rFonts w:hint="eastAsia"/>
          <w:lang w:val="en-US" w:eastAsia="zh-CN"/>
        </w:rPr>
        <w:t>2</w:t>
      </w:r>
      <w:r>
        <w:t>. 数据量：支持油库数据≥100条、加油站数据≥5000条、运输费用数据≥10000条的高效查询</w:t>
      </w:r>
      <w:r>
        <w:br w:type="textWrapping"/>
      </w:r>
      <w:r>
        <w:rPr>
          <w:rFonts w:hint="eastAsia"/>
          <w:lang w:val="en-US" w:eastAsia="zh-CN"/>
        </w:rPr>
        <w:t>3</w:t>
      </w:r>
      <w:r>
        <w:t>. 导入导出：支持10000条以内数据的批量导入导出，耗时≤10秒</w:t>
      </w:r>
    </w:p>
    <w:p w14:paraId="3E200A9D">
      <w:pPr>
        <w:pStyle w:val="4"/>
      </w:pPr>
      <w:r>
        <w:rPr>
          <w:b/>
        </w:rPr>
        <w:t>8.2 安全需求</w:t>
      </w:r>
    </w:p>
    <w:p w14:paraId="4B29A2DA">
      <w:r>
        <w:t>1. 身份认证：采用用户名+密码登录，支持密码加密存储和定期修改</w:t>
      </w:r>
      <w:r>
        <w:br w:type="textWrapping"/>
      </w:r>
      <w:r>
        <w:t>2. 权限控制：</w:t>
      </w:r>
      <w:r>
        <w:rPr>
          <w:rFonts w:hint="eastAsia"/>
          <w:lang w:val="en-US" w:eastAsia="zh-CN"/>
        </w:rPr>
        <w:t>不区分超级用户，各项操作留痕入库</w:t>
      </w:r>
      <w:r>
        <w:br w:type="textWrapping"/>
      </w:r>
      <w:r>
        <w:t>3. 数据安全：敏感数据加密存储，操作日志完整记录，支持数据备份恢复</w:t>
      </w:r>
      <w:r>
        <w:br w:type="textWrapping"/>
      </w:r>
      <w:r>
        <w:t>4. 防SQL注入：使用MyBatis-Plus的参数化查询防止SQL注入攻击</w:t>
      </w:r>
      <w:r>
        <w:br w:type="textWrapping"/>
      </w:r>
      <w:r>
        <w:t>5. 数据权限：支持组织层级数据隔离，用户只能查看和操作所属组织范围内的数据</w:t>
      </w:r>
    </w:p>
    <w:p w14:paraId="0382880B">
      <w:pPr>
        <w:pStyle w:val="4"/>
      </w:pPr>
      <w:r>
        <w:rPr>
          <w:b/>
        </w:rPr>
        <w:t>8.3 可用性需求</w:t>
      </w:r>
    </w:p>
    <w:p w14:paraId="377D0581">
      <w:r>
        <w:t>1. 系统可用性：系统年可用性≥99.5%，计划停机维护时间每月≤4小时</w:t>
      </w:r>
      <w:r>
        <w:br w:type="textWrapping"/>
      </w:r>
      <w:r>
        <w:t>2. 错误处理：提供友好的错误提示信息，关键操作有二次确认</w:t>
      </w:r>
      <w:r>
        <w:br w:type="textWrapping"/>
      </w:r>
      <w:r>
        <w:t>3. 操作便捷：采用搜索表单+表格分页+弹窗增删改的标准企业级交互模式</w:t>
      </w:r>
      <w:r>
        <w:br w:type="textWrapping"/>
      </w:r>
      <w:r>
        <w:t>4. 浏览器兼容性：支持Chrome、Firefox、Edge等主流浏览器最新版本</w:t>
      </w:r>
    </w:p>
    <w:p w14:paraId="0C570624">
      <w:r>
        <w:br w:type="page"/>
      </w:r>
    </w:p>
    <w:p w14:paraId="32FB3FFA">
      <w:pPr>
        <w:pStyle w:val="3"/>
      </w:pPr>
      <w:r>
        <w:rPr>
          <w:b/>
        </w:rPr>
        <w:t>9. 数据模型设计</w:t>
      </w:r>
    </w:p>
    <w:p w14:paraId="75062F58">
      <w:pPr>
        <w:pStyle w:val="4"/>
      </w:pPr>
      <w:r>
        <w:rPr>
          <w:b/>
        </w:rPr>
        <w:t>9.1 核心实体</w:t>
      </w:r>
    </w:p>
    <w:p w14:paraId="712689F2">
      <w:r>
        <w:t>1. 加油站（QhjDictJyz）：存储加油站基础信息</w:t>
      </w:r>
      <w:r>
        <w:br w:type="textWrapping"/>
      </w:r>
      <w:r>
        <w:t xml:space="preserve">   - 关键字段：id（主键）、油站编码、油站名称、所属区域、片区、油站类型等</w:t>
      </w:r>
      <w:r>
        <w:br w:type="textWrapping"/>
      </w:r>
      <w:r>
        <w:br w:type="textWrapping"/>
      </w:r>
      <w:r>
        <w:t>2. 油库（QhjDictYk）：存储油库基础信息</w:t>
      </w:r>
      <w:r>
        <w:br w:type="textWrapping"/>
      </w:r>
      <w:r>
        <w:t xml:space="preserve">   - 关键字段：id（主键）、油库编码、油库名称、油库类型（中心库/分销库）、油库等级、所属区域等</w:t>
      </w:r>
      <w:r>
        <w:br w:type="textWrapping"/>
      </w:r>
      <w:r>
        <w:br w:type="textWrapping"/>
      </w:r>
      <w:r>
        <w:t>3. 炼厂：存储炼厂基础信息</w:t>
      </w:r>
      <w:r>
        <w:br w:type="textWrapping"/>
      </w:r>
      <w:r>
        <w:t xml:space="preserve">   - 关键字段：炼厂编号、炼厂名称、所属地区、加工能力、隶属关系等</w:t>
      </w:r>
      <w:r>
        <w:br w:type="textWrapping"/>
      </w:r>
      <w:r>
        <w:br w:type="textWrapping"/>
      </w:r>
      <w:r>
        <w:t>4. 站点运输方式：存储油库到加油站的公路运输费用</w:t>
      </w:r>
      <w:r>
        <w:br w:type="textWrapping"/>
      </w:r>
      <w:r>
        <w:t xml:space="preserve">   - 唯一键：发站+到站</w:t>
      </w:r>
      <w:r>
        <w:br w:type="textWrapping"/>
      </w:r>
      <w:r>
        <w:t xml:space="preserve">   - 关键字段：发站编码、到站编码、合理运费标识、自有范围、运距、吨油运价等</w:t>
      </w:r>
      <w:r>
        <w:br w:type="textWrapping"/>
      </w:r>
      <w:r>
        <w:br w:type="textWrapping"/>
      </w:r>
      <w:r>
        <w:t>5. 油库运输方式：存储炼厂-油库、油库-油库之间的运输费用</w:t>
      </w:r>
      <w:r>
        <w:br w:type="textWrapping"/>
      </w:r>
      <w:r>
        <w:t xml:space="preserve">   - 唯一键：发站+到站+运输方式+油品类型</w:t>
      </w:r>
      <w:r>
        <w:br w:type="textWrapping"/>
      </w:r>
      <w:r>
        <w:t xml:space="preserve">   - 关键字段：发站、到站、运输方式（管输/水路/铁路）、运距、吨油运价、油品类型等</w:t>
      </w:r>
      <w:r>
        <w:br w:type="textWrapping"/>
      </w:r>
      <w:r>
        <w:br w:type="textWrapping"/>
      </w:r>
      <w:r>
        <w:t>6. 油库吞吐量：存储油库每月的吞量和吐量数据</w:t>
      </w:r>
      <w:r>
        <w:br w:type="textWrapping"/>
      </w:r>
      <w:r>
        <w:t xml:space="preserve">   - 关键字段：油库、运输方式、发站/到站、油品类型、吞吐量、总运价、统计时间等</w:t>
      </w:r>
    </w:p>
    <w:p w14:paraId="4F366A42">
      <w:r>
        <w:br w:type="page"/>
      </w:r>
    </w:p>
    <w:p w14:paraId="19E16BC6">
      <w:pPr>
        <w:pStyle w:val="3"/>
      </w:pPr>
      <w:r>
        <w:rPr>
          <w:b/>
        </w:rPr>
        <w:t>10. 界面与交互设计</w:t>
      </w:r>
    </w:p>
    <w:p w14:paraId="001B10F6">
      <w:pPr>
        <w:pStyle w:val="4"/>
      </w:pPr>
      <w:r>
        <w:rPr>
          <w:b/>
        </w:rPr>
        <w:t>10.1 整体布局</w:t>
      </w:r>
    </w:p>
    <w:p w14:paraId="39FE5AF5">
      <w:r>
        <w:t>1. 顶部导航栏：显示系统Logo、用户信息、退出登录按钮</w:t>
      </w:r>
      <w:r>
        <w:br w:type="textWrapping"/>
      </w:r>
      <w:r>
        <w:t>2. 左侧菜单栏：按功能模块分组展示菜单（基础数据、运输费用、吞吐量管理、路线规划、绩效考核、系统管理）</w:t>
      </w:r>
      <w:r>
        <w:br w:type="textWrapping"/>
      </w:r>
      <w:r>
        <w:t>3. 主内容区：展示当前功能模块的操作界面</w:t>
      </w:r>
      <w:r>
        <w:br w:type="textWrapping"/>
      </w:r>
      <w:r>
        <w:t>4. 界面风格：采用Element Plus默认主题，简洁、专业，符合企业级应用设计规范</w:t>
      </w:r>
    </w:p>
    <w:p w14:paraId="706D4881">
      <w:pPr>
        <w:pStyle w:val="4"/>
      </w:pPr>
      <w:r>
        <w:rPr>
          <w:b/>
        </w:rPr>
        <w:t>10.2 标准交互模式</w:t>
      </w:r>
    </w:p>
    <w:p w14:paraId="33EB9D22">
      <w:r>
        <w:t>1. 查询页面：采用搜索表单+表格分页的标准模式</w:t>
      </w:r>
      <w:r>
        <w:br w:type="textWrapping"/>
      </w:r>
      <w:r>
        <w:t xml:space="preserve">   - 搜索表单：位于页面上方，支持多条件组合查询，提供重置按钮</w:t>
      </w:r>
      <w:r>
        <w:br w:type="textWrapping"/>
      </w:r>
      <w:r>
        <w:t xml:space="preserve">   - 表格展示：展示查询结果，支持排序、分页（默认每页20条）</w:t>
      </w:r>
      <w:r>
        <w:br w:type="textWrapping"/>
      </w:r>
      <w:r>
        <w:t xml:space="preserve">   - 操作按钮：新增、编辑、删除、查看、导入、导出等</w:t>
      </w:r>
      <w:r>
        <w:br w:type="textWrapping"/>
      </w:r>
      <w:r>
        <w:br w:type="textWrapping"/>
      </w:r>
      <w:r>
        <w:t>2. 新增/编辑弹窗：</w:t>
      </w:r>
      <w:r>
        <w:br w:type="textWrapping"/>
      </w:r>
      <w:r>
        <w:t xml:space="preserve">   - 采用模态弹窗形式，不跳转页面</w:t>
      </w:r>
      <w:r>
        <w:br w:type="textWrapping"/>
      </w:r>
      <w:r>
        <w:t xml:space="preserve">   - 表单字段清晰分组，必填项用*标注</w:t>
      </w:r>
      <w:r>
        <w:br w:type="textWrapping"/>
      </w:r>
      <w:r>
        <w:t xml:space="preserve">   - 提供表单验证，实时提示错误信息</w:t>
      </w:r>
      <w:r>
        <w:br w:type="textWrapping"/>
      </w:r>
      <w:r>
        <w:t xml:space="preserve">   - 提交后自动关闭弹窗并刷新列表</w:t>
      </w:r>
      <w:r>
        <w:br w:type="textWrapping"/>
      </w:r>
      <w:r>
        <w:br w:type="textWrapping"/>
      </w:r>
      <w:r>
        <w:t>3. 数据导入：支持Excel格式批量导入，提供导入模板下载</w:t>
      </w:r>
      <w:r>
        <w:br w:type="textWrapping"/>
      </w:r>
      <w:r>
        <w:br w:type="textWrapping"/>
      </w:r>
      <w:r>
        <w:t>4. 数据导出：支持将查询结果导出为Excel文件</w:t>
      </w:r>
      <w:r>
        <w:br w:type="textWrapping"/>
      </w:r>
      <w:r>
        <w:br w:type="textWrapping"/>
      </w:r>
      <w:r>
        <w:t>5. 查看详情：采用弹窗或跳转页面展示完整信息，不可编辑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B959DE"/>
    <w:multiLevelType w:val="singleLevel"/>
    <w:tmpl w:val="D3B959DE"/>
    <w:lvl w:ilvl="0" w:tentative="0">
      <w:start w:val="1"/>
      <w:numFmt w:val="decimal"/>
      <w:lvlText w:val="%1."/>
      <w:lvlJc w:val="left"/>
      <w:pPr>
        <w:tabs>
          <w:tab w:val="left" w:pos="312"/>
        </w:tabs>
      </w:pPr>
    </w:lvl>
  </w:abstractNum>
  <w:abstractNum w:abstractNumId="1">
    <w:nsid w:val="DBEE3353"/>
    <w:multiLevelType w:val="singleLevel"/>
    <w:tmpl w:val="DBEE3353"/>
    <w:lvl w:ilvl="0" w:tentative="0">
      <w:start w:val="1"/>
      <w:numFmt w:val="decimal"/>
      <w:lvlText w:val="%1."/>
      <w:lvlJc w:val="left"/>
      <w:pPr>
        <w:tabs>
          <w:tab w:val="left" w:pos="312"/>
        </w:tabs>
      </w:pPr>
    </w:lvl>
  </w:abstractNum>
  <w:abstractNum w:abstractNumId="2">
    <w:nsid w:val="DE78F932"/>
    <w:multiLevelType w:val="singleLevel"/>
    <w:tmpl w:val="DE78F932"/>
    <w:lvl w:ilvl="0" w:tentative="0">
      <w:start w:val="2"/>
      <w:numFmt w:val="chineseCounting"/>
      <w:suff w:val="nothing"/>
      <w:lvlText w:val="%1、"/>
      <w:lvlJc w:val="left"/>
      <w:rPr>
        <w:rFonts w:hint="eastAsia"/>
      </w:rPr>
    </w:lvl>
  </w:abstractNum>
  <w:abstractNum w:abstractNumId="3">
    <w:nsid w:val="DFEF79F7"/>
    <w:multiLevelType w:val="singleLevel"/>
    <w:tmpl w:val="DFEF79F7"/>
    <w:lvl w:ilvl="0" w:tentative="0">
      <w:start w:val="1"/>
      <w:numFmt w:val="chineseCounting"/>
      <w:suff w:val="nothing"/>
      <w:lvlText w:val="%1、"/>
      <w:lvlJc w:val="left"/>
      <w:rPr>
        <w:rFonts w:hint="eastAsia"/>
      </w:rPr>
    </w:lvl>
  </w:abstractNum>
  <w:abstractNum w:abstractNumId="4">
    <w:nsid w:val="E6FD6BB0"/>
    <w:multiLevelType w:val="singleLevel"/>
    <w:tmpl w:val="E6FD6BB0"/>
    <w:lvl w:ilvl="0" w:tentative="0">
      <w:start w:val="1"/>
      <w:numFmt w:val="decimal"/>
      <w:lvlText w:val="%1."/>
      <w:lvlJc w:val="left"/>
      <w:pPr>
        <w:tabs>
          <w:tab w:val="left" w:pos="312"/>
        </w:tabs>
      </w:pPr>
    </w:lvl>
  </w:abstractNum>
  <w:abstractNum w:abstractNumId="5">
    <w:nsid w:val="1CDEC2E8"/>
    <w:multiLevelType w:val="singleLevel"/>
    <w:tmpl w:val="1CDEC2E8"/>
    <w:lvl w:ilvl="0" w:tentative="0">
      <w:start w:val="1"/>
      <w:numFmt w:val="decimal"/>
      <w:lvlText w:val="%1."/>
      <w:lvlJc w:val="left"/>
      <w:pPr>
        <w:tabs>
          <w:tab w:val="left" w:pos="312"/>
        </w:tabs>
      </w:pPr>
    </w:lvl>
  </w:abstractNum>
  <w:abstractNum w:abstractNumId="6">
    <w:nsid w:val="6FFC8E8E"/>
    <w:multiLevelType w:val="singleLevel"/>
    <w:tmpl w:val="6FFC8E8E"/>
    <w:lvl w:ilvl="0" w:tentative="0">
      <w:start w:val="1"/>
      <w:numFmt w:val="decimal"/>
      <w:lvlText w:val="%1."/>
      <w:lvlJc w:val="left"/>
      <w:pPr>
        <w:tabs>
          <w:tab w:val="left" w:pos="312"/>
        </w:tabs>
      </w:pPr>
    </w:lvl>
  </w:abstractNum>
  <w:abstractNum w:abstractNumId="7">
    <w:nsid w:val="73BDF409"/>
    <w:multiLevelType w:val="singleLevel"/>
    <w:tmpl w:val="73BDF409"/>
    <w:lvl w:ilvl="0" w:tentative="0">
      <w:start w:val="1"/>
      <w:numFmt w:val="decimal"/>
      <w:lvlText w:val="%1."/>
      <w:lvlJc w:val="left"/>
      <w:pPr>
        <w:tabs>
          <w:tab w:val="left" w:pos="312"/>
        </w:tabs>
      </w:pPr>
    </w:lvl>
  </w:abstractNum>
  <w:abstractNum w:abstractNumId="8">
    <w:nsid w:val="7DC6B1BC"/>
    <w:multiLevelType w:val="singleLevel"/>
    <w:tmpl w:val="7DC6B1BC"/>
    <w:lvl w:ilvl="0" w:tentative="0">
      <w:start w:val="1"/>
      <w:numFmt w:val="decimal"/>
      <w:lvlText w:val="%1."/>
      <w:lvlJc w:val="left"/>
      <w:pPr>
        <w:tabs>
          <w:tab w:val="left" w:pos="312"/>
        </w:tabs>
      </w:pPr>
    </w:lvl>
  </w:abstractNum>
  <w:num w:numId="1">
    <w:abstractNumId w:val="3"/>
  </w:num>
  <w:num w:numId="2">
    <w:abstractNumId w:val="2"/>
  </w:num>
  <w:num w:numId="3">
    <w:abstractNumId w:val="6"/>
  </w:num>
  <w:num w:numId="4">
    <w:abstractNumId w:val="7"/>
  </w:num>
  <w:num w:numId="5">
    <w:abstractNumId w:val="5"/>
  </w:num>
  <w:num w:numId="6">
    <w:abstractNumId w:val="0"/>
  </w:num>
  <w:num w:numId="7">
    <w:abstractNumId w:val="1"/>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C4D4E"/>
    <w:rsid w:val="04620A36"/>
    <w:rsid w:val="0D5026E4"/>
    <w:rsid w:val="2DAD7323"/>
    <w:rsid w:val="5BFC4D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rPr>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firstLine="420" w:firstLineChars="200"/>
    </w:pPr>
  </w:style>
  <w:style w:type="paragraph" w:customStyle="1" w:styleId="11">
    <w:name w:val="heading 5"/>
    <w:qFormat/>
    <w:uiPriority w:val="0"/>
    <w:rPr>
      <w:rFonts w:asciiTheme="minorHAnsi" w:hAnsiTheme="minorHAnsi" w:eastAsiaTheme="minorEastAsia" w:cstheme="minorBidi"/>
      <w:b/>
      <w:sz w:val="24"/>
    </w:rPr>
  </w:style>
  <w:style w:type="paragraph" w:customStyle="1" w:styleId="12">
    <w:name w:val="heading 6"/>
    <w:uiPriority w:val="0"/>
    <w:rPr>
      <w:rFonts w:asciiTheme="minorHAnsi" w:hAnsiTheme="minorHAnsi" w:eastAsiaTheme="minorEastAsia" w:cstheme="minorBidi"/>
      <w:b/>
      <w:sz w:val="24"/>
    </w:rPr>
  </w:style>
  <w:style w:type="paragraph" w:customStyle="1" w:styleId="13">
    <w:name w:val="heading 7"/>
    <w:uiPriority w:val="0"/>
    <w:rPr>
      <w:rFonts w:asciiTheme="minorHAnsi" w:hAnsiTheme="minorHAnsi" w:eastAsiaTheme="minorEastAsia" w:cstheme="minorBidi"/>
      <w:b/>
      <w:sz w:val="24"/>
    </w:rPr>
  </w:style>
  <w:style w:type="paragraph" w:customStyle="1" w:styleId="14">
    <w:name w:val="heading 8"/>
    <w:uiPriority w:val="0"/>
    <w:rPr>
      <w:rFonts w:asciiTheme="minorHAnsi" w:hAnsiTheme="minorHAnsi" w:eastAsiaTheme="minorEastAsia" w:cstheme="minorBidi"/>
      <w:b/>
      <w:sz w:val="24"/>
    </w:rPr>
  </w:style>
  <w:style w:type="paragraph" w:customStyle="1" w:styleId="15">
    <w:name w:val="heading 9"/>
    <w:uiPriority w:val="0"/>
    <w:rPr>
      <w:rFonts w:asciiTheme="minorHAnsi" w:hAnsiTheme="minorHAnsi" w:eastAsiaTheme="minorEastAsia" w:cstheme="minorBidi"/>
      <w:b/>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6622</Words>
  <Characters>7210</Characters>
  <Lines>0</Lines>
  <Paragraphs>0</Paragraphs>
  <TotalTime>3</TotalTime>
  <ScaleCrop>false</ScaleCrop>
  <LinksUpToDate>false</LinksUpToDate>
  <CharactersWithSpaces>7526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2026-07-08T00:30:00Z</dcterms:created>
  <dc:creator>Joinjunqi</dc:creator>
  <cp:lastModifiedBy>Joinjunqi</cp:lastModifiedBy>
  <dcterms:modified xsi:type="dcterms:W3CDTF">2026-07-09T22:46:12Z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7D1F25F4FA1E44E1969D19DF2C616405_11</vt:lpwstr>
  </property>
  <property fmtid="{D5CDD505-2E9C-101B-9397-08002B2CF9AE}" pid="4" name="KSOTemplateDocerSaveRecord">
    <vt:lpwstr>eyJoZGlkIjoiYTVjMmQ1ZGFiYjllY2FjNjFiMGQxZjkyNDE4NTc0YWYiLCJ1c2VySWQiOiI2MTIyNjgxMzEifQ==</vt:lpwstr>
  </property>
</Properties>
</file>