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Custody proposal for BlackRock</w:t>
      </w:r>
    </w:p>
    <w:p>
      <w:pPr>
        <w:keepNext w:val="0"/>
        <w:spacing w:before="0" w:after="140" w:line="290" w:lineRule="exact"/>
      </w:pPr>
      <w:r>
        <w:rPr>
          <w:sz w:val="22"/>
        </w:rPr>
        <w:t>Appoint Citigroup as successor custodian for SLV, combining bullion safekeeping with trading execution and a 50:50 share of net trading revenue with BlackRock.</w:t>
      </w:r>
    </w:p>
    <w:p>
      <w:pPr>
        <w:keepNext w:val="0"/>
        <w:spacing w:before="0" w:after="160" w:line="20" w:lineRule="exact"/>
      </w:pPr>
    </w:p>
    <w:p>
      <w:pPr>
        <w:pStyle w:val="Heading1"/>
      </w:pPr>
      <w:r>
        <w:t>Custody flows and the trading opportunity</w:t>
      </w:r>
    </w:p>
    <w:p>
      <w:pPr>
        <w:pStyle w:val="Heading2"/>
      </w:pPr>
      <w:r>
        <w:t>Deployment and tariff scenarios</w:t>
      </w:r>
    </w:p>
    <w:p>
      <w:pPr>
        <w:keepNext w:val="0"/>
        <w:spacing w:before="0" w:after="80" w:line="240" w:lineRule="auto"/>
      </w:pPr>
      <w:r>
        <w:drawing>
          <wp:inline xmlns:a="http://schemas.openxmlformats.org/drawingml/2006/main" xmlns:pic="http://schemas.openxmlformats.org/drawingml/2006/picture">
            <wp:extent cx="6493205" cy="4884019"/>
            <wp:docPr id="1" name="Picture 1" descr="At $65 spot, alternative tariff cases use the original 50% pool: 7.017m oz yields $38.77m gross at 10% tariff; 14.034m oz yields $155.07m at 20%. Initial deferred example is separate. No combined gross capture. Proposed 50:50 split: Citigroup and BlackRock each $19.38m at 10% tariff, or $77.54m at 20%, before costs."/>
            <wp:cNvGraphicFramePr>
              <a:graphicFrameLocks noChangeAspect="1"/>
            </wp:cNvGraphicFramePr>
            <a:graphic>
              <a:graphicData uri="http://schemas.openxmlformats.org/drawingml/2006/picture">
                <pic:pic>
                  <pic:nvPicPr>
                    <pic:cNvPr id="0" name="SLV-staged-deployment-pitch.png"/>
                    <pic:cNvPicPr/>
                  </pic:nvPicPr>
                  <pic:blipFill>
                    <a:blip r:embed="rId11"/>
                    <a:stretch>
                      <a:fillRect/>
                    </a:stretch>
                  </pic:blipFill>
                  <pic:spPr>
                    <a:xfrm>
                      <a:off x="0" y="0"/>
                      <a:ext cx="6493205" cy="4884019"/>
                    </a:xfrm>
                    <a:prstGeom prst="rect"/>
                  </pic:spPr>
                </pic:pic>
              </a:graphicData>
            </a:graphic>
          </wp:inline>
        </w:drawing>
      </w:r>
    </w:p>
    <w:p>
      <w:r>
        <w:br w:type="page"/>
      </w:r>
    </w:p>
    <w:p>
      <w:pPr>
        <w:pStyle w:val="Heading1"/>
      </w:pPr>
      <w:r>
        <w:t>Custody flows and the trading opportunity</w:t>
      </w:r>
    </w:p>
    <w:p>
      <w:pPr>
        <w:pStyle w:val="Heading2"/>
      </w:pPr>
      <w:r>
        <w:t>Worked example: 50 lots / 250,000 oz · CME premium</w:t>
      </w:r>
    </w:p>
    <w:p>
      <w:pPr>
        <w:keepNext w:val="0"/>
        <w:spacing w:before="0" w:after="80" w:line="240" w:lineRule="auto"/>
      </w:pPr>
      <w:r>
        <w:drawing>
          <wp:inline xmlns:a="http://schemas.openxmlformats.org/drawingml/2006/main" xmlns:pic="http://schemas.openxmlformats.org/drawingml/2006/picture">
            <wp:extent cx="6493205" cy="7266743"/>
            <wp:docPr id="2" name="Picture 2" descr="At a CME premium, six selling steps and six buying steps on the left show New York redemption and London creation. Six bank-principal steps show London replacement sourcing, short CME and long London, cash margin, New York warrants, reconciliation and cash payment of BlackRock’s revenue share."/>
            <wp:cNvGraphicFramePr>
              <a:graphicFrameLocks noChangeAspect="1"/>
            </wp:cNvGraphicFramePr>
            <a:graphic>
              <a:graphicData uri="http://schemas.openxmlformats.org/drawingml/2006/picture">
                <pic:pic>
                  <pic:nvPicPr>
                    <pic:cNvPr id="0" name="SLV-custody-premium-workflow.png"/>
                    <pic:cNvPicPr/>
                  </pic:nvPicPr>
                  <pic:blipFill>
                    <a:blip r:embed="rId12"/>
                    <a:stretch>
                      <a:fillRect/>
                    </a:stretch>
                  </pic:blipFill>
                  <pic:spPr>
                    <a:xfrm>
                      <a:off x="0" y="0"/>
                      <a:ext cx="6493205" cy="7266743"/>
                    </a:xfrm>
                    <a:prstGeom prst="rect"/>
                  </pic:spPr>
                </pic:pic>
              </a:graphicData>
            </a:graphic>
          </wp:inline>
        </w:drawing>
      </w:r>
    </w:p>
    <w:p>
      <w:r>
        <w:br w:type="page"/>
      </w:r>
    </w:p>
    <w:p>
      <w:pPr>
        <w:pStyle w:val="Heading1"/>
      </w:pPr>
      <w:r>
        <w:t>Custody flows and the trading opportunity</w:t>
      </w:r>
    </w:p>
    <w:p>
      <w:pPr>
        <w:pStyle w:val="Heading2"/>
      </w:pPr>
      <w:r>
        <w:t>Worked example: 50 lots / 250,000 oz · CME discount</w:t>
      </w:r>
    </w:p>
    <w:p>
      <w:pPr>
        <w:keepNext w:val="0"/>
        <w:spacing w:before="0" w:after="80" w:line="240" w:lineRule="auto"/>
      </w:pPr>
      <w:r>
        <w:drawing>
          <wp:inline xmlns:a="http://schemas.openxmlformats.org/drawingml/2006/main" xmlns:pic="http://schemas.openxmlformats.org/drawingml/2006/picture">
            <wp:extent cx="6493205" cy="7266743"/>
            <wp:docPr id="3" name="Picture 3" descr="At a CME discount, redeem London silver and create with New York silver. The separate desk goes long CME and short London. Each investor, authorised participant, trustee, custody and desk action is shown."/>
            <wp:cNvGraphicFramePr>
              <a:graphicFrameLocks noChangeAspect="1"/>
            </wp:cNvGraphicFramePr>
            <a:graphic>
              <a:graphicData uri="http://schemas.openxmlformats.org/drawingml/2006/picture">
                <pic:pic>
                  <pic:nvPicPr>
                    <pic:cNvPr id="0" name="SLV-custody-discount-workflow.png"/>
                    <pic:cNvPicPr/>
                  </pic:nvPicPr>
                  <pic:blipFill>
                    <a:blip r:embed="rId13"/>
                    <a:stretch>
                      <a:fillRect/>
                    </a:stretch>
                  </pic:blipFill>
                  <pic:spPr>
                    <a:xfrm>
                      <a:off x="0" y="0"/>
                      <a:ext cx="6493205" cy="7266743"/>
                    </a:xfrm>
                    <a:prstGeom prst="rect"/>
                  </pic:spPr>
                </pic:pic>
              </a:graphicData>
            </a:graphic>
          </wp:inline>
        </w:drawing>
      </w:r>
    </w:p>
    <w:p>
      <w:r>
        <w:br w:type="page"/>
      </w:r>
    </w:p>
    <w:p>
      <w:pPr>
        <w:pStyle w:val="Heading1"/>
      </w:pPr>
      <w:r>
        <w:t>Revenue sharing</w:t>
      </w:r>
    </w:p>
    <w:p>
      <w:pPr>
        <w:keepNext w:val="0"/>
        <w:spacing w:before="0" w:after="80" w:line="240" w:lineRule="auto"/>
      </w:pPr>
      <w:r>
        <w:drawing>
          <wp:inline xmlns:a="http://schemas.openxmlformats.org/drawingml/2006/main" xmlns:pic="http://schemas.openxmlformats.org/drawingml/2006/picture">
            <wp:extent cx="6493205" cy="782008"/>
            <wp:docPr id="4" name="Picture 4" descr="BlackRock revenue split"/>
            <wp:cNvGraphicFramePr>
              <a:graphicFrameLocks noChangeAspect="1"/>
            </wp:cNvGraphicFramePr>
            <a:graphic>
              <a:graphicData uri="http://schemas.openxmlformats.org/drawingml/2006/picture">
                <pic:pic>
                  <pic:nvPicPr>
                    <pic:cNvPr id="0" name="BlackRock-revenue-split.png"/>
                    <pic:cNvPicPr/>
                  </pic:nvPicPr>
                  <pic:blipFill>
                    <a:blip r:embed="rId14"/>
                    <a:stretch>
                      <a:fillRect/>
                    </a:stretch>
                  </pic:blipFill>
                  <pic:spPr>
                    <a:xfrm>
                      <a:off x="0" y="0"/>
                      <a:ext cx="6493205" cy="782008"/>
                    </a:xfrm>
                    <a:prstGeom prst="rect"/>
                  </pic:spPr>
                </pic:pic>
              </a:graphicData>
            </a:graphic>
          </wp:inline>
        </w:drawing>
      </w:r>
    </w:p>
    <w:p>
      <w:pPr>
        <w:keepNext w:val="0"/>
        <w:spacing w:before="0" w:after="140" w:line="290" w:lineRule="exact"/>
      </w:pPr>
      <w:r>
        <w:rPr>
          <w:sz w:val="22"/>
        </w:rPr>
        <w:t>Turn physical logistics bottlenecks into revenue opportunities.</w:t>
      </w:r>
    </w:p>
    <w:p>
      <w:r>
        <w:t>Combine custody, inventory positioning and Citi’s trading reach to capture value when metal is scarce in one location and available in another. Share the realised net trading revenue equally with BlackRock.</w:t>
      </w:r>
    </w:p>
    <w:p>
      <w:pPr>
        <w:keepNext w:val="0"/>
        <w:spacing w:before="0" w:after="160" w:line="20" w:lineRule="exact"/>
      </w:pPr>
    </w:p>
    <w:p>
      <w:pPr>
        <w:pStyle w:val="Heading1"/>
      </w:pPr>
      <w:r>
        <w:t>Future growth ideas</w:t>
      </w:r>
    </w:p>
    <w:p>
      <w:pPr>
        <w:keepNext w:val="0"/>
        <w:spacing w:before="0" w:after="140" w:line="290" w:lineRule="exact"/>
      </w:pPr>
      <w:r>
        <w:rPr>
          <w:sz w:val="22"/>
        </w:rPr>
        <w:t>Grow the Citigroup / BlackRock revenue share and partnership.</w:t>
      </w:r>
    </w:p>
    <w:tbl>
      <w:tblPr>
        <w:tblW w:type="auto" w:w="0"/>
        <w:jc w:val="center"/>
        <w:tblLayout w:type="fixed"/>
        <w:tblLook w:firstColumn="1" w:firstRow="1" w:lastColumn="0" w:lastRow="0" w:noHBand="0" w:noVBand="1" w:val="04A0"/>
      </w:tblPr>
      <w:tblGrid>
        <w:gridCol w:w="4943"/>
        <w:gridCol w:w="340"/>
        <w:gridCol w:w="4943"/>
      </w:tblGrid>
      <w:tr>
        <w:trPr>
          <w:cantSplit/>
        </w:trPr>
        <w:tc>
          <w:tcPr>
            <w:tcW w:type="dxa" w:w="4943"/>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FIRST-EVER AMBITION</w:t>
            </w:r>
          </w:p>
          <w:p>
            <w:pPr>
              <w:keepNext/>
              <w:spacing w:before="0" w:after="100" w:line="268" w:lineRule="exact"/>
            </w:pPr>
            <w:r>
              <w:rPr>
                <w:b/>
                <w:sz w:val="21"/>
              </w:rPr>
              <w:t>A dividend from location revenue</w:t>
            </w:r>
          </w:p>
          <w:p>
            <w:pPr>
              <w:keepNext w:val="0"/>
              <w:spacing w:before="0" w:after="0" w:line="266" w:lineRule="exact"/>
            </w:pPr>
            <w:r>
              <w:rPr>
                <w:sz w:val="20"/>
              </w:rPr>
              <w:t>Aim to be the first physical precious-metals ETF to pay a dividend funded by location revenue. Reinvest part of BlackRock’s share in a distinctive investor proposition.</w:t>
            </w:r>
          </w:p>
        </w:tc>
        <w:tc>
          <w:tcPr>
            <w:tcW w:type="dxa" w:w="340"/>
            <w:tcBorders>
              <w:top w:val="nil"/>
              <w:left w:val="nil"/>
              <w:bottom w:val="nil"/>
              <w:right w:val="nil"/>
            </w:tcBorders>
            <w:tcMar>
              <w:top w:w="160" w:type="dxa"/>
              <w:left w:w="0" w:type="dxa"/>
              <w:bottom w:w="60" w:type="dxa"/>
              <w:right w:w="0" w:type="dxa"/>
            </w:tcMar>
            <w:vAlign w:val="top"/>
          </w:tcPr>
          <w:p>
            <w:pPr>
              <w:keepNext w:val="0"/>
              <w:spacing w:before="0" w:after="0" w:line="20" w:lineRule="exact"/>
            </w:pPr>
          </w:p>
        </w:tc>
        <w:tc>
          <w:tcPr>
            <w:tcW w:type="dxa" w:w="4943"/>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BONDED MARKET ACCESS</w:t>
            </w:r>
          </w:p>
          <w:p>
            <w:pPr>
              <w:keepNext/>
              <w:spacing w:before="0" w:after="100" w:line="268" w:lineRule="exact"/>
            </w:pPr>
            <w:r>
              <w:rPr>
                <w:b/>
                <w:sz w:val="21"/>
              </w:rPr>
              <w:t>India, China and IIBX</w:t>
            </w:r>
          </w:p>
          <w:p>
            <w:pPr>
              <w:keepNext w:val="0"/>
              <w:spacing w:before="0" w:after="0" w:line="266" w:lineRule="exact"/>
            </w:pPr>
            <w:r>
              <w:rPr>
                <w:sz w:val="20"/>
              </w:rPr>
              <w:t>Add approved bonded locations: IIBX routes in India and international gold vaults in China. Aim to reduce onshore customs friction; use Citi’s client base and expertise to monetise regional dislocations.</w:t>
            </w:r>
          </w:p>
        </w:tc>
      </w:tr>
    </w:tbl>
    <w:p>
      <w:pPr>
        <w:keepNext w:val="0"/>
        <w:spacing w:before="0" w:after="200" w:line="20" w:lineRule="exact"/>
      </w:pPr>
    </w:p>
    <w:tbl>
      <w:tblPr>
        <w:tblW w:type="auto" w:w="0"/>
        <w:jc w:val="center"/>
        <w:tblLayout w:type="fixed"/>
        <w:tblLook w:firstColumn="1" w:firstRow="1" w:lastColumn="0" w:lastRow="0" w:noHBand="0" w:noVBand="1" w:val="04A0"/>
      </w:tblPr>
      <w:tblGrid>
        <w:gridCol w:w="4943"/>
        <w:gridCol w:w="340"/>
        <w:gridCol w:w="4943"/>
      </w:tblGrid>
      <w:tr>
        <w:trPr>
          <w:cantSplit/>
        </w:trPr>
        <w:tc>
          <w:tcPr>
            <w:tcW w:type="dxa" w:w="4943"/>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NEW MULTI-LOCATION FUNDS</w:t>
            </w:r>
          </w:p>
          <w:p>
            <w:pPr>
              <w:keepNext/>
              <w:spacing w:before="0" w:after="100" w:line="268" w:lineRule="exact"/>
            </w:pPr>
            <w:r>
              <w:rPr>
                <w:b/>
                <w:sz w:val="21"/>
              </w:rPr>
              <w:t>Platinum and palladium</w:t>
            </w:r>
          </w:p>
          <w:p>
            <w:pPr>
              <w:keepNext w:val="0"/>
              <w:spacing w:before="0" w:after="0" w:line="266" w:lineRule="exact"/>
            </w:pPr>
            <w:r>
              <w:rPr>
                <w:sz w:val="20"/>
              </w:rPr>
              <w:t>Extend the revenue-share model to more metals and locations. Our desk expects higher tariff risk in platinum and palladium, opening more opportunities to capture dislocations.</w:t>
            </w:r>
          </w:p>
        </w:tc>
        <w:tc>
          <w:tcPr>
            <w:tcW w:type="dxa" w:w="340"/>
            <w:tcBorders>
              <w:top w:val="nil"/>
              <w:left w:val="nil"/>
              <w:bottom w:val="nil"/>
              <w:right w:val="nil"/>
            </w:tcBorders>
            <w:tcMar>
              <w:top w:w="160" w:type="dxa"/>
              <w:left w:w="0" w:type="dxa"/>
              <w:bottom w:w="60" w:type="dxa"/>
              <w:right w:w="0" w:type="dxa"/>
            </w:tcMar>
            <w:vAlign w:val="top"/>
          </w:tcPr>
          <w:p>
            <w:pPr>
              <w:keepNext w:val="0"/>
              <w:spacing w:before="0" w:after="0" w:line="20" w:lineRule="exact"/>
            </w:pPr>
          </w:p>
        </w:tc>
        <w:tc>
          <w:tcPr>
            <w:tcW w:type="dxa" w:w="4943"/>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TRADING OPTIONALITY</w:t>
            </w:r>
          </w:p>
          <w:p>
            <w:pPr>
              <w:keepNext/>
              <w:spacing w:before="0" w:after="100" w:line="268" w:lineRule="exact"/>
            </w:pPr>
            <w:r>
              <w:rPr>
                <w:b/>
                <w:sz w:val="21"/>
              </w:rPr>
              <w:t>More bar formats and purities</w:t>
            </w:r>
          </w:p>
          <w:p>
            <w:pPr>
              <w:keepNext w:val="0"/>
              <w:spacing w:before="0" w:after="0" w:line="266" w:lineRule="exact"/>
            </w:pPr>
            <w:r>
              <w:rPr>
                <w:sz w:val="20"/>
              </w:rPr>
              <w:t>Approve commonly traded shapes, sizes and purities. Give Citi’s desk more sourcing and delivery choices to capture location and format spreads for the shared revenue pool.</w:t>
            </w:r>
          </w:p>
        </w:tc>
      </w:tr>
    </w:tbl>
    <w:p>
      <w:pPr>
        <w:keepNext w:val="0"/>
        <w:spacing w:before="0" w:after="140" w:line="20" w:lineRule="exact"/>
      </w:pPr>
    </w:p>
    <w:p>
      <w:r>
        <w:br w:type="page"/>
      </w:r>
    </w:p>
    <w:p>
      <w:pPr>
        <w:pStyle w:val="Heading1"/>
      </w:pPr>
      <w:r>
        <w:t>Operational and regulatory risk</w:t>
      </w:r>
    </w:p>
    <w:p>
      <w:pPr>
        <w:keepNext w:val="0"/>
        <w:spacing w:before="0" w:after="140" w:line="290" w:lineRule="exact"/>
      </w:pPr>
      <w:r>
        <w:rPr>
          <w:sz w:val="22"/>
        </w:rPr>
        <w:t>Tariff uncertainty shifts demand. A multi-location custody network creates more ways to respond.</w:t>
      </w:r>
    </w:p>
    <w:p>
      <w:pPr>
        <w:keepNext w:val="0"/>
        <w:spacing w:before="0" w:after="80" w:line="240" w:lineRule="auto"/>
      </w:pPr>
      <w:r>
        <w:drawing>
          <wp:inline xmlns:a="http://schemas.openxmlformats.org/drawingml/2006/main" xmlns:pic="http://schemas.openxmlformats.org/drawingml/2006/picture">
            <wp:extent cx="6493205" cy="1431327"/>
            <wp:docPr id="5" name="Picture 5" descr="Silver tariff market story"/>
            <wp:cNvGraphicFramePr>
              <a:graphicFrameLocks noChangeAspect="1"/>
            </wp:cNvGraphicFramePr>
            <a:graphic>
              <a:graphicData uri="http://schemas.openxmlformats.org/drawingml/2006/picture">
                <pic:pic>
                  <pic:nvPicPr>
                    <pic:cNvPr id="0" name="Silver-tariff-market-story.png"/>
                    <pic:cNvPicPr/>
                  </pic:nvPicPr>
                  <pic:blipFill>
                    <a:blip r:embed="rId15"/>
                    <a:stretch>
                      <a:fillRect/>
                    </a:stretch>
                  </pic:blipFill>
                  <pic:spPr>
                    <a:xfrm>
                      <a:off x="0" y="0"/>
                      <a:ext cx="6493205" cy="1431327"/>
                    </a:xfrm>
                    <a:prstGeom prst="rect"/>
                  </pic:spPr>
                </pic:pic>
              </a:graphicData>
            </a:graphic>
          </wp:inline>
        </w:drawing>
      </w:r>
    </w:p>
    <w:tbl>
      <w:tblPr>
        <w:tblW w:type="auto" w:w="0"/>
        <w:jc w:val="center"/>
        <w:tblLayout w:type="fixed"/>
        <w:tblLook w:firstColumn="1" w:firstRow="1" w:lastColumn="0" w:lastRow="0" w:noHBand="0" w:noVBand="1" w:val="04A0"/>
      </w:tblPr>
      <w:tblGrid>
        <w:gridCol w:w="3182"/>
        <w:gridCol w:w="340"/>
        <w:gridCol w:w="3182"/>
        <w:gridCol w:w="340"/>
        <w:gridCol w:w="3182"/>
      </w:tblGrid>
      <w:tr>
        <w:trPr>
          <w:cantSplit/>
        </w:trPr>
        <w:tc>
          <w:tcPr>
            <w:tcW w:type="dxa" w:w="3182"/>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PROTECT THE METAL</w:t>
            </w:r>
          </w:p>
          <w:p>
            <w:pPr>
              <w:keepNext/>
              <w:spacing w:before="0" w:after="100" w:line="268" w:lineRule="exact"/>
            </w:pPr>
            <w:r>
              <w:rPr>
                <w:b/>
                <w:sz w:val="21"/>
              </w:rPr>
              <w:t>Insurance and security</w:t>
            </w:r>
          </w:p>
          <w:p>
            <w:pPr>
              <w:keepNext w:val="0"/>
              <w:spacing w:before="0" w:after="0" w:line="266" w:lineRule="exact"/>
            </w:pPr>
            <w:r>
              <w:rPr>
                <w:sz w:val="20"/>
              </w:rPr>
              <w:t>Insured custody, secure transport and independent bar audits across the vault network.</w:t>
            </w:r>
          </w:p>
        </w:tc>
        <w:tc>
          <w:tcPr>
            <w:tcW w:type="dxa" w:w="340"/>
            <w:tcBorders>
              <w:top w:val="nil"/>
              <w:left w:val="nil"/>
              <w:bottom w:val="nil"/>
              <w:right w:val="nil"/>
            </w:tcBorders>
            <w:tcMar>
              <w:top w:w="160" w:type="dxa"/>
              <w:left w:w="0" w:type="dxa"/>
              <w:bottom w:w="60" w:type="dxa"/>
              <w:right w:w="0" w:type="dxa"/>
            </w:tcMar>
            <w:vAlign w:val="top"/>
          </w:tcPr>
          <w:p>
            <w:pPr>
              <w:keepNext w:val="0"/>
              <w:spacing w:before="0" w:after="0" w:line="20" w:lineRule="exact"/>
            </w:pPr>
          </w:p>
        </w:tc>
        <w:tc>
          <w:tcPr>
            <w:tcW w:type="dxa" w:w="3182"/>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KEEP FLOWS MOVING</w:t>
            </w:r>
          </w:p>
          <w:p>
            <w:pPr>
              <w:keepNext/>
              <w:spacing w:before="0" w:after="100" w:line="268" w:lineRule="exact"/>
            </w:pPr>
            <w:r>
              <w:rPr>
                <w:b/>
                <w:sz w:val="21"/>
              </w:rPr>
              <w:t>Settlement and liquidity</w:t>
            </w:r>
          </w:p>
          <w:p>
            <w:pPr>
              <w:keepNext w:val="0"/>
              <w:spacing w:before="0" w:after="0" w:line="266" w:lineRule="exact"/>
            </w:pPr>
            <w:r>
              <w:rPr>
                <w:sz w:val="20"/>
              </w:rPr>
              <w:t>Coordinate metal availability, cash and release instructions as creations and redemptions settle.</w:t>
            </w:r>
          </w:p>
        </w:tc>
        <w:tc>
          <w:tcPr>
            <w:tcW w:type="dxa" w:w="340"/>
            <w:tcBorders>
              <w:top w:val="nil"/>
              <w:left w:val="nil"/>
              <w:bottom w:val="nil"/>
              <w:right w:val="nil"/>
            </w:tcBorders>
            <w:tcMar>
              <w:top w:w="160" w:type="dxa"/>
              <w:left w:w="0" w:type="dxa"/>
              <w:bottom w:w="60" w:type="dxa"/>
              <w:right w:w="0" w:type="dxa"/>
            </w:tcMar>
            <w:vAlign w:val="top"/>
          </w:tcPr>
          <w:p>
            <w:pPr>
              <w:keepNext w:val="0"/>
              <w:spacing w:before="0" w:after="0" w:line="20" w:lineRule="exact"/>
            </w:pPr>
          </w:p>
        </w:tc>
        <w:tc>
          <w:tcPr>
            <w:tcW w:type="dxa" w:w="3182"/>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MANAGE LOCATION</w:t>
            </w:r>
          </w:p>
          <w:p>
            <w:pPr>
              <w:keepNext/>
              <w:spacing w:before="0" w:after="100" w:line="268" w:lineRule="exact"/>
            </w:pPr>
            <w:r>
              <w:rPr>
                <w:b/>
                <w:sz w:val="21"/>
              </w:rPr>
              <w:t>Customs and geography</w:t>
            </w:r>
          </w:p>
          <w:p>
            <w:pPr>
              <w:keepNext w:val="0"/>
              <w:spacing w:before="0" w:after="0" w:line="266" w:lineRule="exact"/>
            </w:pPr>
            <w:r>
              <w:rPr>
                <w:sz w:val="20"/>
              </w:rPr>
              <w:t>Build origin, tariff treatment and bonded routes into inventory and delivery decisions.</w:t>
            </w:r>
          </w:p>
        </w:tc>
      </w:tr>
    </w:tbl>
    <w:p>
      <w:pPr>
        <w:keepNext w:val="0"/>
        <w:spacing w:before="0" w:after="140" w:line="20" w:lineRule="exact"/>
      </w:pPr>
    </w:p>
    <w:p>
      <w:pPr>
        <w:keepNext w:val="0"/>
        <w:spacing w:before="0" w:after="160" w:line="20" w:lineRule="exact"/>
      </w:pPr>
    </w:p>
    <w:p>
      <w:pPr>
        <w:pStyle w:val="Heading1"/>
      </w:pPr>
      <w:r>
        <w:t>Operational innovation</w:t>
      </w:r>
    </w:p>
    <w:p>
      <w:pPr>
        <w:keepNext w:val="0"/>
        <w:spacing w:before="0" w:after="140" w:line="290" w:lineRule="exact"/>
      </w:pPr>
      <w:r>
        <w:rPr>
          <w:sz w:val="22"/>
        </w:rPr>
        <w:t>Citi is already delivering blockchain-enabled cash payments.</w:t>
      </w:r>
    </w:p>
    <w:p>
      <w:pPr>
        <w:keepNext w:val="0"/>
        <w:spacing w:before="0" w:after="80" w:line="340" w:lineRule="exact"/>
      </w:pPr>
      <w:r>
        <w:rPr>
          <w:color w:val="007F85"/>
          <w:sz w:val="26"/>
        </w:rPr>
        <w:t>“Citi’s Services Business Pioneers Live Transactions on Swift’s Ledger”</w:t>
      </w:r>
    </w:p>
    <w:p>
      <w:pPr>
        <w:keepNext w:val="0"/>
        <w:spacing w:before="0" w:after="180" w:line="220" w:lineRule="exact"/>
      </w:pPr>
      <w:r>
        <w:rPr>
          <w:color w:val="5A6B76"/>
          <w:sz w:val="17"/>
        </w:rPr>
        <w:t>Citi headline excerpt · 2 September 2026</w:t>
      </w:r>
    </w:p>
    <w:tbl>
      <w:tblPr>
        <w:tblW w:type="auto" w:w="0"/>
        <w:jc w:val="center"/>
        <w:tblLayout w:type="fixed"/>
        <w:tblLook w:firstColumn="1" w:firstRow="1" w:lastColumn="0" w:lastRow="0" w:noHBand="0" w:noVBand="1" w:val="04A0"/>
      </w:tblPr>
      <w:tblGrid>
        <w:gridCol w:w="3182"/>
        <w:gridCol w:w="340"/>
        <w:gridCol w:w="3182"/>
        <w:gridCol w:w="340"/>
        <w:gridCol w:w="3182"/>
      </w:tblGrid>
      <w:tr>
        <w:trPr>
          <w:cantSplit/>
        </w:trPr>
        <w:tc>
          <w:tcPr>
            <w:tcW w:type="dxa" w:w="3182"/>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LIVE CASH SERVICE</w:t>
            </w:r>
          </w:p>
          <w:p>
            <w:pPr>
              <w:keepNext/>
              <w:spacing w:before="0" w:after="100" w:line="268" w:lineRule="exact"/>
            </w:pPr>
            <w:r>
              <w:rPr>
                <w:b/>
                <w:sz w:val="21"/>
              </w:rPr>
              <w:t>24/7 payments</w:t>
            </w:r>
          </w:p>
          <w:p>
            <w:pPr>
              <w:keepNext w:val="0"/>
              <w:spacing w:before="0" w:after="0" w:line="266" w:lineRule="exact"/>
            </w:pPr>
            <w:r>
              <w:rPr>
                <w:sz w:val="20"/>
              </w:rPr>
              <w:t>Siam Commercial Bank went live with Citi’s integrated Token Services and USD Clearing in July 2026.</w:t>
            </w:r>
          </w:p>
        </w:tc>
        <w:tc>
          <w:tcPr>
            <w:tcW w:type="dxa" w:w="340"/>
            <w:tcBorders>
              <w:top w:val="nil"/>
              <w:left w:val="nil"/>
              <w:bottom w:val="nil"/>
              <w:right w:val="nil"/>
            </w:tcBorders>
            <w:tcMar>
              <w:top w:w="160" w:type="dxa"/>
              <w:left w:w="0" w:type="dxa"/>
              <w:bottom w:w="60" w:type="dxa"/>
              <w:right w:w="0" w:type="dxa"/>
            </w:tcMar>
            <w:vAlign w:val="top"/>
          </w:tcPr>
          <w:p>
            <w:pPr>
              <w:keepNext w:val="0"/>
              <w:spacing w:before="0" w:after="0" w:line="20" w:lineRule="exact"/>
            </w:pPr>
          </w:p>
        </w:tc>
        <w:tc>
          <w:tcPr>
            <w:tcW w:type="dxa" w:w="3182"/>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RECENT MILESTONE</w:t>
            </w:r>
          </w:p>
          <w:p>
            <w:pPr>
              <w:keepNext/>
              <w:spacing w:before="0" w:after="100" w:line="268" w:lineRule="exact"/>
            </w:pPr>
            <w:r>
              <w:rPr>
                <w:b/>
                <w:sz w:val="21"/>
              </w:rPr>
              <w:t>Minutes, on a weekend</w:t>
            </w:r>
          </w:p>
          <w:p>
            <w:pPr>
              <w:keepNext w:val="0"/>
              <w:spacing w:before="0" w:after="0" w:line="266" w:lineRule="exact"/>
            </w:pPr>
            <w:r>
              <w:rPr>
                <w:sz w:val="20"/>
              </w:rPr>
              <w:t>DBS and Citi completed a Singapore–US payment in minutes on 5 September, using Swift’s ledger pilot.</w:t>
            </w:r>
          </w:p>
        </w:tc>
        <w:tc>
          <w:tcPr>
            <w:tcW w:type="dxa" w:w="340"/>
            <w:tcBorders>
              <w:top w:val="nil"/>
              <w:left w:val="nil"/>
              <w:bottom w:val="nil"/>
              <w:right w:val="nil"/>
            </w:tcBorders>
            <w:tcMar>
              <w:top w:w="160" w:type="dxa"/>
              <w:left w:w="0" w:type="dxa"/>
              <w:bottom w:w="60" w:type="dxa"/>
              <w:right w:w="0" w:type="dxa"/>
            </w:tcMar>
            <w:vAlign w:val="top"/>
          </w:tcPr>
          <w:p>
            <w:pPr>
              <w:keepNext w:val="0"/>
              <w:spacing w:before="0" w:after="0" w:line="20" w:lineRule="exact"/>
            </w:pPr>
          </w:p>
        </w:tc>
        <w:tc>
          <w:tcPr>
            <w:tcW w:type="dxa" w:w="3182"/>
            <w:tcBorders>
              <w:top w:val="single" w:sz="8" w:color="007F85"/>
              <w:left w:val="nil"/>
              <w:bottom w:val="nil"/>
              <w:right w:val="nil"/>
            </w:tcBorders>
            <w:tcMar>
              <w:top w:w="160" w:type="dxa"/>
              <w:left w:w="0" w:type="dxa"/>
              <w:bottom w:w="60" w:type="dxa"/>
              <w:right w:w="0" w:type="dxa"/>
            </w:tcMar>
            <w:vAlign w:val="top"/>
          </w:tcPr>
          <w:p>
            <w:pPr>
              <w:keepNext/>
              <w:spacing w:before="0" w:after="100" w:line="200" w:lineRule="exact"/>
            </w:pPr>
            <w:r>
              <w:rPr>
                <w:b/>
                <w:color w:val="007F85"/>
                <w:sz w:val="15"/>
              </w:rPr>
              <w:t>PARTNERSHIP OPPORTUNITY</w:t>
            </w:r>
          </w:p>
          <w:p>
            <w:pPr>
              <w:keepNext/>
              <w:spacing w:before="0" w:after="100" w:line="268" w:lineRule="exact"/>
            </w:pPr>
            <w:r>
              <w:rPr>
                <w:b/>
                <w:sz w:val="21"/>
              </w:rPr>
              <w:t>Connect cash and metal</w:t>
            </w:r>
          </w:p>
          <w:p>
            <w:pPr>
              <w:keepNext w:val="0"/>
              <w:spacing w:before="0" w:after="0" w:line="266" w:lineRule="exact"/>
            </w:pPr>
            <w:r>
              <w:rPr>
                <w:sz w:val="20"/>
              </w:rPr>
              <w:t>Bring eligible cash services into BlackRock’s workflow: payment, title confirmation and shared reconciliation.</w:t>
            </w:r>
          </w:p>
        </w:tc>
      </w:tr>
    </w:tbl>
    <w:p>
      <w:pPr>
        <w:keepNext w:val="0"/>
        <w:spacing w:before="0" w:after="140" w:line="20" w:lineRule="exact"/>
      </w:pPr>
    </w:p>
    <w:p>
      <w:pPr>
        <w:keepNext w:val="0"/>
        <w:spacing w:before="0" w:after="160" w:line="20" w:lineRule="exact"/>
      </w:pPr>
    </w:p>
    <w:p>
      <w:pPr>
        <w:pStyle w:val="Heading1"/>
      </w:pPr>
      <w:r>
        <w:t>Proposed appointment and next steps</w:t>
      </w:r>
    </w:p>
    <w:p>
      <w:pPr>
        <w:keepNext w:val="0"/>
        <w:spacing w:before="100" w:after="140" w:line="280" w:lineRule="exact"/>
      </w:pPr>
      <w:r>
        <w:rPr>
          <w:b/>
          <w:sz w:val="21"/>
        </w:rPr>
        <w:t>The ask: a joint custody and execution assessment with BlackRock, the trustee and authorised participants.</w:t>
      </w:r>
    </w:p>
    <w:p>
      <w:r>
        <w:t>Agree the custody mandate, revenue-sharing terms and transition plan with BlackRock, the trustee and authorised participants.</w:t>
      </w:r>
    </w:p>
    <w:sectPr w:rsidR="00FC693F" w:rsidRPr="0006063C" w:rsidSect="00034616">
      <w:headerReference w:type="default" r:id="rId9"/>
      <w:footerReference w:type="default" r:id="rId10"/>
      <w:pgSz w:w="11906" w:h="16838"/>
      <w:pgMar w:top="1500" w:right="840" w:bottom="900" w:left="840" w:header="56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26" w:val="right"/>
      </w:tabs>
      <w:spacing w:after="100"/>
    </w:pPr>
    <w:r>
      <w:rPr>
        <w:b/>
        <w:color w:val="173746"/>
        <w:sz w:val="26"/>
      </w:rPr>
      <w:t>BlackRock | Citigroup</w:t>
    </w:r>
    <w:r>
      <w:rPr>
        <w:color w:val="5A6B76"/>
        <w:sz w:val="17"/>
      </w:rPr>
      <w:tab/>
      <w:t>BULLION CUSTODY PROPOSAL</w:t>
    </w:r>
  </w:p>
  <w:p>
    <w:pPr>
      <w:tabs>
        <w:tab w:pos="10226" w:val="right"/>
      </w:tabs>
      <w:spacing w:after="0"/>
    </w:pPr>
    <w:r>
      <w:rPr>
        <w:color w:val="5A6B76"/>
        <w:sz w:val="16"/>
      </w:rPr>
      <w:t>Location strategy, execution and shared revenue</w:t>
      <w:tab/>
      <w:t>Holdings: 23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0" w:lineRule="exact"/>
    </w:pPr>
    <w:rPr>
      <w:rFonts w:ascii="Arial" w:hAnsi="Arial"/>
      <w:color w:val="17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173746"/>
      <w:sz w:val="29"/>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Arial" w:hAnsi="Arial"/>
      <w:b/>
      <w:bCs/>
      <w:color w:val="1737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b/>
      <w:color w:val="173746"/>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BlackRock bullion custody proposal</dc:title>
  <dc:subject>Location strategy execution and shared revenue</dc:subject>
  <dc:creator/>
  <cp:keywords/>
  <dc:description/>
  <cp:lastModifiedBy/>
  <cp:revision>1</cp:revision>
  <dcterms:created xsi:type="dcterms:W3CDTF">2013-12-23T23:15:00Z</dcterms:created>
  <dcterms:modified xsi:type="dcterms:W3CDTF">2013-12-23T23:15:00Z</dcterms:modified>
  <cp:category/>
</cp:coreProperties>
</file>