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BlackRock precious metals</w:t>
      </w:r>
    </w:p>
    <w:p>
      <w:pPr>
        <w:pStyle w:val="Subtitle"/>
      </w:pPr>
      <w:r>
        <w:t>ETF background and detailed research</w:t>
      </w:r>
    </w:p>
    <w:p>
      <w:r>
        <w:rPr>
          <w:b/>
        </w:rPr>
        <w:t>Bullion custody and the proposed Citigroup partnership</w:t>
      </w:r>
    </w:p>
    <w:p>
      <w:pPr>
        <w:spacing w:after="100"/>
      </w:pPr>
      <w:r>
        <w:rPr>
          <w:b w:val="0"/>
          <w:sz w:val="18"/>
        </w:rPr>
        <w:t>Product snapshot 23 September 2026</w:t>
        <w:br/>
        <w:t>Detailed research through 24 September 2026</w:t>
        <w:br/>
        <w:t>Operational resilience strategy added 25 September 2026</w:t>
      </w:r>
    </w:p>
    <w:p>
      <w:r>
        <w:rPr>
          <w:b w:val="0"/>
        </w:rPr>
        <w:t>The proposed partnership combines bullion custody with location-based execution and shared revenue. This reference document brings together the BlackRock product background, legal and operational foundations, transaction economics, supporting evidence and future growth research behind that proposal.</w:t>
      </w:r>
    </w:p>
    <w:p>
      <w:r>
        <w:rPr>
          <w:b w:val="0"/>
        </w:rPr>
        <w:t>The product universe covers 20 product/class views representing 18 funds, trusts or ETC series: six Irish ETCs, three Swiss funds, three US bullion trusts, two Canadian funds represented by four currency classes, and four Australian and Japanese feeder ETFs. The feeder wrappers overlap underlying Irish bullion exposure; they are not additional metal pools.</w:t>
      </w:r>
    </w:p>
    <w:p>
      <w:pPr>
        <w:pStyle w:val="Heading2"/>
        <w:pageBreakBefore w:val="0"/>
      </w:pPr>
      <w:r>
        <w:t>Contents</w:t>
      </w:r>
    </w:p>
    <w:p>
      <w:hyperlink w:anchor="part_a">
        <w:r>
          <w:rPr>
            <w:color w:val="235779"/>
            <w:u w:val="single"/>
          </w:rPr>
          <w:t>ETF background and product comparison</w:t>
        </w:r>
      </w:hyperlink>
    </w:p>
    <w:p>
      <w:hyperlink w:anchor="products">
        <w:r>
          <w:rPr>
            <w:color w:val="235779"/>
            <w:u w:val="single"/>
          </w:rPr>
          <w:t>Detailed product records and sources</w:t>
        </w:r>
      </w:hyperlink>
    </w:p>
    <w:p>
      <w:hyperlink w:anchor="research">
        <w:r>
          <w:rPr>
            <w:color w:val="235779"/>
            <w:u w:val="single"/>
          </w:rPr>
          <w:t>Detailed research behind the pitch</w:t>
        </w:r>
      </w:hyperlink>
    </w:p>
    <w:p>
      <w:r>
        <w:br w:type="page"/>
      </w:r>
    </w:p>
    <w:p>
      <w:pPr>
        <w:pStyle w:val="Heading1"/>
        <w:pageBreakBefore w:val="0"/>
      </w:pPr>
      <w:r>
        <w:t>Research section guide</w:t>
      </w:r>
    </w:p>
    <w:p>
      <w:pPr>
        <w:spacing w:after="40"/>
      </w:pPr>
      <w:hyperlink w:anchor="research_1">
        <w:r>
          <w:rPr>
            <w:color w:val="235779"/>
            <w:u w:val="single"/>
          </w:rPr>
          <w:t>01  The first transaction: economics in dollars</w:t>
        </w:r>
      </w:hyperlink>
    </w:p>
    <w:p>
      <w:pPr>
        <w:spacing w:after="40"/>
      </w:pPr>
      <w:hyperlink w:anchor="research_2">
        <w:r>
          <w:rPr>
            <w:color w:val="235779"/>
            <w:u w:val="single"/>
          </w:rPr>
          <w:t>02  Three routes to test for positive net value</w:t>
        </w:r>
      </w:hyperlink>
    </w:p>
    <w:p>
      <w:pPr>
        <w:spacing w:after="40"/>
      </w:pPr>
      <w:hyperlink w:anchor="research_3">
        <w:r>
          <w:rPr>
            <w:color w:val="235779"/>
            <w:u w:val="single"/>
          </w:rPr>
          <w:t>03  A payment needs a named beneficiary</w:t>
        </w:r>
      </w:hyperlink>
    </w:p>
    <w:p>
      <w:pPr>
        <w:spacing w:after="40"/>
      </w:pPr>
      <w:hyperlink w:anchor="research_4">
        <w:r>
          <w:rPr>
            <w:color w:val="235779"/>
            <w:u w:val="single"/>
          </w:rPr>
          <w:t>04  How BlackRock could turn savings into growth</w:t>
        </w:r>
      </w:hyperlink>
    </w:p>
    <w:p>
      <w:pPr>
        <w:spacing w:after="40"/>
      </w:pPr>
      <w:hyperlink w:anchor="research_5">
        <w:r>
          <w:rPr>
            <w:color w:val="235779"/>
            <w:u w:val="single"/>
          </w:rPr>
          <w:t>05  A repeatable $10m case requires actual flow</w:t>
        </w:r>
      </w:hyperlink>
    </w:p>
    <w:p>
      <w:pPr>
        <w:spacing w:after="40"/>
      </w:pPr>
      <w:hyperlink w:anchor="research_6">
        <w:r>
          <w:rPr>
            <w:color w:val="235779"/>
            <w:u w:val="single"/>
          </w:rPr>
          <w:t>06  Interactive revenue-share example</w:t>
        </w:r>
      </w:hyperlink>
    </w:p>
    <w:p>
      <w:pPr>
        <w:spacing w:after="40"/>
      </w:pPr>
      <w:hyperlink w:anchor="research_7">
        <w:r>
          <w:rPr>
            <w:color w:val="235779"/>
            <w:u w:val="single"/>
          </w:rPr>
          <w:t>07  Prove the gain against the best feasible alternative</w:t>
        </w:r>
      </w:hyperlink>
    </w:p>
    <w:p>
      <w:pPr>
        <w:spacing w:after="40"/>
      </w:pPr>
      <w:hyperlink w:anchor="research_8">
        <w:r>
          <w:rPr>
            <w:color w:val="235779"/>
            <w:u w:val="single"/>
          </w:rPr>
          <w:t>08  SLV is the documented starting point</w:t>
        </w:r>
      </w:hyperlink>
    </w:p>
    <w:p>
      <w:pPr>
        <w:spacing w:after="40"/>
      </w:pPr>
      <w:hyperlink w:anchor="research_9">
        <w:r>
          <w:rPr>
            <w:color w:val="235779"/>
            <w:u w:val="single"/>
          </w:rPr>
          <w:t>09  Custodian appointment, authorised participant flows and desk execution</w:t>
        </w:r>
      </w:hyperlink>
    </w:p>
    <w:p>
      <w:pPr>
        <w:spacing w:after="40"/>
      </w:pPr>
      <w:hyperlink w:anchor="research_10">
        <w:r>
          <w:rPr>
            <w:color w:val="235779"/>
            <w:u w:val="single"/>
          </w:rPr>
          <w:t>10  Physical liquidity throughout the transaction</w:t>
        </w:r>
      </w:hyperlink>
    </w:p>
    <w:p>
      <w:pPr>
        <w:spacing w:after="40"/>
      </w:pPr>
      <w:hyperlink w:anchor="research_11">
        <w:r>
          <w:rPr>
            <w:color w:val="235779"/>
            <w:u w:val="single"/>
          </w:rPr>
          <w:t>11  Insurance and recovery rights</w:t>
        </w:r>
      </w:hyperlink>
    </w:p>
    <w:p>
      <w:pPr>
        <w:spacing w:after="40"/>
      </w:pPr>
      <w:hyperlink w:anchor="research_12">
        <w:r>
          <w:rPr>
            <w:color w:val="235779"/>
            <w:u w:val="single"/>
          </w:rPr>
          <w:t>12  Security and independent assurance</w:t>
        </w:r>
      </w:hyperlink>
    </w:p>
    <w:p>
      <w:pPr>
        <w:spacing w:after="40"/>
      </w:pPr>
      <w:hyperlink w:anchor="research_13">
        <w:r>
          <w:rPr>
            <w:color w:val="235779"/>
            <w:u w:val="single"/>
          </w:rPr>
          <w:t>13  Operating and geographical risk limits</w:t>
        </w:r>
      </w:hyperlink>
    </w:p>
    <w:p>
      <w:pPr>
        <w:spacing w:after="40"/>
      </w:pPr>
      <w:hyperlink w:anchor="research_14">
        <w:r>
          <w:rPr>
            <w:color w:val="235779"/>
            <w:u w:val="single"/>
          </w:rPr>
          <w:t>14  Settlement: improve the cash leg and measure the result</w:t>
        </w:r>
      </w:hyperlink>
    </w:p>
    <w:p>
      <w:pPr>
        <w:spacing w:after="40"/>
      </w:pPr>
      <w:hyperlink w:anchor="research_15">
        <w:r>
          <w:rPr>
            <w:color w:val="235779"/>
            <w:u w:val="single"/>
          </w:rPr>
          <w:t>15  Rules and permissions by jurisdiction</w:t>
        </w:r>
      </w:hyperlink>
    </w:p>
    <w:p>
      <w:pPr>
        <w:spacing w:after="40"/>
      </w:pPr>
      <w:hyperlink w:anchor="research_16">
        <w:r>
          <w:rPr>
            <w:color w:val="235779"/>
            <w:u w:val="single"/>
          </w:rPr>
          <w:t>16  India: a demand-backed bullion supply service</w:t>
        </w:r>
      </w:hyperlink>
    </w:p>
    <w:p>
      <w:pPr>
        <w:spacing w:after="40"/>
      </w:pPr>
      <w:hyperlink w:anchor="research_17">
        <w:r>
          <w:rPr>
            <w:color w:val="235779"/>
            <w:u w:val="single"/>
          </w:rPr>
          <w:t>17  Bar selection is the first execution decision</w:t>
        </w:r>
      </w:hyperlink>
    </w:p>
    <w:p>
      <w:pPr>
        <w:spacing w:after="40"/>
      </w:pPr>
      <w:hyperlink w:anchor="research_18">
        <w:r>
          <w:rPr>
            <w:color w:val="235779"/>
            <w:u w:val="single"/>
          </w:rPr>
          <w:t>18  Real activity, with a disciplined view of scale</w:t>
        </w:r>
      </w:hyperlink>
    </w:p>
    <w:p>
      <w:pPr>
        <w:spacing w:after="40"/>
      </w:pPr>
      <w:hyperlink w:anchor="research_19">
        <w:r>
          <w:rPr>
            <w:color w:val="235779"/>
            <w:u w:val="single"/>
          </w:rPr>
          <w:t>19  India economics: build from an executable invoice</w:t>
        </w:r>
      </w:hyperlink>
    </w:p>
    <w:p>
      <w:pPr>
        <w:spacing w:after="40"/>
      </w:pPr>
      <w:hyperlink w:anchor="research_20">
        <w:r>
          <w:rPr>
            <w:color w:val="235779"/>
            <w:u w:val="single"/>
          </w:rPr>
          <w:t>20  Worked delivery: ten bank-owned silver bars</w:t>
        </w:r>
      </w:hyperlink>
    </w:p>
    <w:p>
      <w:pPr>
        <w:spacing w:after="40"/>
      </w:pPr>
      <w:hyperlink w:anchor="research_21">
        <w:r>
          <w:rPr>
            <w:color w:val="235779"/>
            <w:u w:val="single"/>
          </w:rPr>
          <w:t>21  India delivery needs four separate approvals</w:t>
        </w:r>
      </w:hyperlink>
    </w:p>
    <w:p>
      <w:pPr>
        <w:spacing w:after="40"/>
      </w:pPr>
      <w:hyperlink w:anchor="research_22">
        <w:r>
          <w:rPr>
            <w:color w:val="235779"/>
            <w:u w:val="single"/>
          </w:rPr>
          <w:t>22  2025: tariff expectations changed location demand</w:t>
        </w:r>
      </w:hyperlink>
    </w:p>
    <w:p>
      <w:pPr>
        <w:spacing w:after="40"/>
      </w:pPr>
      <w:hyperlink w:anchor="research_23">
        <w:r>
          <w:rPr>
            <w:color w:val="235779"/>
            <w:u w:val="single"/>
          </w:rPr>
          <w:t>23  2025: classification shock, then a reversal of flows</w:t>
        </w:r>
      </w:hyperlink>
    </w:p>
    <w:p>
      <w:pPr>
        <w:spacing w:after="40"/>
      </w:pPr>
      <w:hyperlink w:anchor="research_24">
        <w:r>
          <w:rPr>
            <w:color w:val="235779"/>
            <w:u w:val="single"/>
          </w:rPr>
          <w:t>24  2026: the legal basis changed again</w:t>
        </w:r>
      </w:hyperlink>
    </w:p>
    <w:p>
      <w:pPr>
        <w:spacing w:after="40"/>
      </w:pPr>
      <w:hyperlink w:anchor="research_25">
        <w:r>
          <w:rPr>
            <w:color w:val="235779"/>
            <w:u w:val="single"/>
          </w:rPr>
          <w:t>25  A large quoted spread can contain a large cost</w:t>
        </w:r>
      </w:hyperlink>
    </w:p>
    <w:p>
      <w:pPr>
        <w:spacing w:after="40"/>
      </w:pPr>
      <w:hyperlink w:anchor="research_26">
        <w:r>
          <w:rPr>
            <w:color w:val="235779"/>
            <w:u w:val="single"/>
          </w:rPr>
          <w:t>26  China: distinguish International Board from domestic SGE</w:t>
        </w:r>
      </w:hyperlink>
    </w:p>
    <w:p>
      <w:pPr>
        <w:spacing w:after="40"/>
      </w:pPr>
      <w:hyperlink w:anchor="research_27">
        <w:r>
          <w:rPr>
            <w:color w:val="235779"/>
            <w:u w:val="single"/>
          </w:rPr>
          <w:t>27  China premium evidence: material, but not a trade ticket</w:t>
        </w:r>
      </w:hyperlink>
    </w:p>
    <w:p>
      <w:pPr>
        <w:spacing w:after="40"/>
      </w:pPr>
      <w:hyperlink w:anchor="research_28">
        <w:r>
          <w:rPr>
            <w:color w:val="235779"/>
            <w:u w:val="single"/>
          </w:rPr>
          <w:t>28  One comparable measure for each physical route</w:t>
        </w:r>
      </w:hyperlink>
    </w:p>
    <w:p>
      <w:pPr>
        <w:spacing w:after="40"/>
      </w:pPr>
      <w:hyperlink w:anchor="research_29">
        <w:r>
          <w:rPr>
            <w:color w:val="235779"/>
            <w:u w:val="single"/>
          </w:rPr>
          <w:t>29  Forward EFP: match the first delivery day</w:t>
        </w:r>
      </w:hyperlink>
    </w:p>
    <w:p>
      <w:pPr>
        <w:spacing w:after="40"/>
      </w:pPr>
      <w:hyperlink w:anchor="research_30">
        <w:r>
          <w:rPr>
            <w:color w:val="235779"/>
            <w:u w:val="single"/>
          </w:rPr>
          <w:t>30  Recovered history: useful points, different conventions</w:t>
        </w:r>
      </w:hyperlink>
    </w:p>
    <w:p>
      <w:pPr>
        <w:spacing w:after="40"/>
      </w:pPr>
      <w:hyperlink w:anchor="research_31">
        <w:r>
          <w:rPr>
            <w:color w:val="235779"/>
            <w:u w:val="single"/>
          </w:rPr>
          <w:t>31  The missing leg is an exact-date over-the-counter forward history</w:t>
        </w:r>
      </w:hyperlink>
    </w:p>
    <w:p>
      <w:pPr>
        <w:spacing w:after="40"/>
      </w:pPr>
      <w:hyperlink w:anchor="research_32">
        <w:r>
          <w:rPr>
            <w:color w:val="235779"/>
            <w:u w:val="single"/>
          </w:rPr>
          <w:t>32  Future innovation: investor distributions</w:t>
        </w:r>
      </w:hyperlink>
    </w:p>
    <w:p>
      <w:pPr>
        <w:spacing w:after="40"/>
      </w:pPr>
      <w:hyperlink w:anchor="research_33">
        <w:r>
          <w:rPr>
            <w:color w:val="235779"/>
            <w:u w:val="single"/>
          </w:rPr>
          <w:t>33  Future growth: locations, products and bar optionality</w:t>
        </w:r>
      </w:hyperlink>
    </w:p>
    <w:p>
      <w:pPr>
        <w:spacing w:after="40"/>
      </w:pPr>
      <w:hyperlink w:anchor="research_34">
        <w:r>
          <w:rPr>
            <w:color w:val="235779"/>
            <w:u w:val="single"/>
          </w:rPr>
          <w:t>34  Operational and regulatory risk: full tariff chronology</w:t>
        </w:r>
      </w:hyperlink>
    </w:p>
    <w:p>
      <w:pPr>
        <w:spacing w:after="40"/>
      </w:pPr>
      <w:hyperlink w:anchor="research_35">
        <w:r>
          <w:rPr>
            <w:color w:val="235779"/>
            <w:u w:val="single"/>
          </w:rPr>
          <w:t>35  Operational resilience built in by design</w:t>
        </w:r>
      </w:hyperlink>
    </w:p>
    <w:p>
      <w:bookmarkStart w:id="1" w:name="part_a"/>
      <w:pPr>
        <w:pStyle w:val="Heading1"/>
        <w:pageBreakBefore/>
      </w:pPr>
      <w:r>
        <w:t>ETF background and product comparison</w:t>
      </w:r>
      <w:bookmarkEnd w:id="1"/>
    </w:p>
    <w:p>
      <w:r>
        <w:rPr>
          <w:b w:val="0"/>
        </w:rPr>
        <w:t>20 product / class entries · 18 vehicles · 6 domiciles.</w:t>
      </w:r>
    </w:p>
    <w:p>
      <w:r>
        <w:rPr>
          <w:b w:val="0"/>
        </w:rPr>
        <w:t>Physical ETFs, bullion trusts and ETCs, including currency hedges and local feeder funds. Mining equities are excluded.</w:t>
      </w:r>
    </w:p>
    <w:p>
      <w:r>
        <w:rPr>
          <w:b w:val="0"/>
        </w:rPr>
        <w:t>UK/US custody verification</w:t>
      </w:r>
    </w:p>
    <w:p>
      <w:r>
        <w:rPr>
          <w:b w:val="0"/>
          <w:i w:val="0"/>
        </w:rPr>
        <w:t>IAU and SLV’s old aggregate delivery thresholds were deleted in 2020. No numerical geographic cap was found in the reviewed filed terms; private limits remain unconfirmed. SLV names England / New York. IAUM’s Canada permission needs documentary reconciliation. Irish ETC US storage permission is not established.</w:t>
      </w:r>
    </w:p>
    <w:p>
      <w:hyperlink r:id="rId10">
        <w:r>
          <w:rPr>
            <w:color w:val="235779"/>
            <w:u w:val="single"/>
          </w:rPr>
          <w:t>Read the contract and amendment audit ↗</w:t>
        </w:r>
      </w:hyperlink>
    </w:p>
    <w:p>
      <w:r>
        <w:rPr>
          <w:b w:val="0"/>
        </w:rPr>
        <w:t>New chapter: bullion location strategy</w:t>
      </w:r>
    </w:p>
    <w:p>
      <w:r>
        <w:rPr>
          <w:b w:val="0"/>
          <w:i w:val="0"/>
        </w:rPr>
        <w:t>SLV’s current vault split, the 200 million ounce New York scenario, creation/redemption mechanics, an interactive worked example, historical activity and India feasibility.</w:t>
      </w:r>
    </w:p>
    <w:p>
      <w:hyperlink r:id="rId11">
        <w:r>
          <w:rPr>
            <w:color w:val="235779"/>
            <w:u w:val="single"/>
          </w:rPr>
          <w:t>Open the proposal and evidence ↗</w:t>
        </w:r>
      </w:hyperlink>
    </w:p>
    <w:p>
      <w:r>
        <w:rPr>
          <w:b/>
          <w:i w:val="0"/>
        </w:rPr>
        <w:t>4. Custody and limits:</w:t>
      </w:r>
      <w:r>
        <w:rPr>
          <w:b w:val="0"/>
          <w:i w:val="0"/>
        </w:rPr>
        <w:t xml:space="preserve"> Named providers reflect retained issuer disclosures at 23 September 2026. No geographic cap identified in reviewed public terms is not confirmation of absent private or operating limits. See the UK/US custody audit above. Canada’s majority rule applies to the legal fund across both currency classes. Feeder rows show local fund custody and underlying ETC bullion custody separately.</w:t>
      </w:r>
    </w:p>
    <w:p>
      <w:r>
        <w:rPr>
          <w:b/>
          <w:i w:val="0"/>
        </w:rPr>
        <w:t>1. Size:</w:t>
      </w:r>
      <w:r>
        <w:rPr>
          <w:b w:val="0"/>
          <w:i w:val="0"/>
        </w:rPr>
        <w:t xml:space="preserve"> “Notional” is represented by reported net assets. Values retain their native currencies and dates. Do not add feeder assets to underlying ETC assets.</w:t>
      </w:r>
    </w:p>
    <w:p>
      <w:r>
        <w:rPr>
          <w:b/>
          <w:i w:val="0"/>
        </w:rPr>
        <w:t>2. Fees:</w:t>
      </w:r>
      <w:r>
        <w:rPr>
          <w:b w:val="0"/>
          <w:i w:val="0"/>
        </w:rPr>
        <w:t xml:space="preserve"> Annual rates use the issuer’s stated basis. IAUM shows the disclosed waiver. Canadian MERs differ from management fees. Japanese effective fees include underlying management charges.</w:t>
      </w:r>
    </w:p>
    <w:p>
      <w:r>
        <w:rPr>
          <w:b/>
          <w:i w:val="0"/>
        </w:rPr>
        <w:t>3. Location:</w:t>
      </w:r>
      <w:r>
        <w:rPr>
          <w:b w:val="0"/>
          <w:i w:val="0"/>
        </w:rPr>
        <w:t xml:space="preserve"> Domicile, exchange and bullion storage are separate. * Storage indicates documented permissions or the majority-location rule, rather than the current vault-by-vault inventory. IAUM Canada remains unreconciled. Details contain full qualifications.</w:t>
      </w:r>
    </w:p>
    <w:p>
      <w:r>
        <w:br w:type="page"/>
      </w:r>
    </w:p>
    <w:p>
      <w:pPr>
        <w:pStyle w:val="Heading2"/>
        <w:pageBreakBefore w:val="0"/>
      </w:pPr>
      <w:r>
        <w:t>How to read the comparison</w:t>
      </w:r>
    </w:p>
    <w:p>
      <w:pPr>
        <w:pStyle w:val="Heading3"/>
        <w:pageBreakBefore w:val="0"/>
      </w:pPr>
      <w:r>
        <w:t>Comparable fields, with the underlying structure preserved</w:t>
      </w:r>
    </w:p>
    <w:p>
      <w:pPr>
        <w:keepNext/>
      </w:pPr>
      <w:r>
        <w:rPr>
          <w:b/>
          <w:i w:val="0"/>
        </w:rPr>
        <w:t>1. Net assets as the size measure</w:t>
      </w:r>
    </w:p>
    <w:p>
      <w:r>
        <w:rPr>
          <w:b w:val="0"/>
          <w:i w:val="0"/>
        </w:rPr>
        <w:t>“Notional” means reported net assets in this foundation table. It is not trading volume or a derivative notional. Each value retains its source currency and valuation date. Details show exact amounts.</w:t>
      </w:r>
    </w:p>
    <w:p>
      <w:pPr>
        <w:keepNext/>
      </w:pPr>
      <w:r>
        <w:rPr>
          <w:b/>
          <w:i w:val="0"/>
        </w:rPr>
        <w:t>2. Fees retain the issuer’s definition</w:t>
      </w:r>
    </w:p>
    <w:p>
      <w:r>
        <w:rPr>
          <w:b w:val="0"/>
          <w:i w:val="0"/>
        </w:rPr>
        <w:t>US sponsor fee, European TER, Canadian MER and local effective management charges are different measures. IAUM has a voluntary fee waiver. Japanese effective fees already include underlying management charges. Brokerage, spreads and exceptional expenses can add to investor costs.</w:t>
      </w:r>
    </w:p>
    <w:p>
      <w:pPr>
        <w:keepNext/>
      </w:pPr>
      <w:r>
        <w:rPr>
          <w:b/>
          <w:i w:val="0"/>
        </w:rPr>
        <w:t>3. Domicile, trading and storage are distinct</w:t>
      </w:r>
    </w:p>
    <w:p>
      <w:r>
        <w:rPr>
          <w:b w:val="0"/>
          <w:i w:val="0"/>
        </w:rPr>
        <w:t>Selected markets keep the table readable. The listing register contains all 35 lines extracted from these issuer pages. A trading currency does not imply a currency hedge. Asterisked locations describe permitted vault geography rather than the current split of metal by vault.</w:t>
      </w:r>
    </w:p>
    <w:p>
      <w:pPr>
        <w:keepNext/>
      </w:pPr>
      <w:r>
        <w:rPr>
          <w:b/>
          <w:i w:val="0"/>
        </w:rPr>
        <w:t>4. The rows cannot be added into one global total</w:t>
      </w:r>
    </w:p>
    <w:p>
      <w:r>
        <w:rPr>
          <w:b w:val="0"/>
          <w:i w:val="0"/>
        </w:rPr>
        <w:t>Twenty product/class views represent eighteen vehicles. Canada has two classes per bullion fund. Australia and Japan hold Irish ETCs. Adding feeder AUM to underlying AUM counts some bullion twice. Currency conversion would also require an explicit FX date.</w:t>
      </w:r>
    </w:p>
    <w:p>
      <w:pPr>
        <w:keepNext/>
      </w:pPr>
      <w:r>
        <w:rPr>
          <w:b/>
          <w:i w:val="0"/>
        </w:rPr>
        <w:t>5. Evidence remains dated</w:t>
      </w:r>
    </w:p>
    <w:p>
      <w:r>
        <w:rPr>
          <w:b w:val="0"/>
          <w:i w:val="0"/>
        </w:rPr>
        <w:t>Research collected 23 September 2026. Most AUM observations are 22 September, Japan is 18 September. Metal dates can differ from AUM dates. Product details link to the issuer and saved legal documents. The existing archive retains historical holdings, news and Citi research for later sections.</w:t>
      </w:r>
    </w:p>
    <w:p>
      <w:pPr>
        <w:keepNext/>
      </w:pPr>
      <w:r>
        <w:rPr>
          <w:b/>
          <w:i w:val="0"/>
        </w:rPr>
        <w:t>6. Holding limits follow the legal wording</w:t>
      </w:r>
    </w:p>
    <w:p>
      <w:r>
        <w:rPr>
          <w:b w:val="0"/>
          <w:i w:val="0"/>
        </w:rPr>
        <w:t>Canada requires a majority of each bullion fund’s metal in Canada. Irish platinum/palladium allow Zurich only in limited circumstances. “No cap stated” means no numerical cap in the reviewed location clauses; it does not rule out private operating limits. Location restrictions apply to bullion, not automatically to cash, hedges or all fund NAV.</w:t>
      </w:r>
    </w:p>
    <w:p>
      <w:pPr>
        <w:sectPr>
          <w:footerReference w:type="default" r:id="rId9"/>
          <w:pgSz w:w="11906" w:h="16838"/>
          <w:pgMar w:top="960" w:right="1080" w:bottom="920" w:left="1080" w:header="400" w:footer="440" w:gutter="0"/>
          <w:cols w:space="720"/>
          <w:docGrid w:linePitch="360"/>
        </w:sectPr>
      </w:pPr>
    </w:p>
    <w:p>
      <w:pPr>
        <w:pStyle w:val="Heading1"/>
        <w:pageBreakBefore w:val="0"/>
      </w:pPr>
      <w:r>
        <w:t>Three bullion trusts with US listings</w:t>
      </w:r>
    </w:p>
    <w:p>
      <w:r>
        <w:rPr>
          <w:b w:val="0"/>
          <w:i w:val="0"/>
        </w:rPr>
        <w:t>The trust is US-domiciled. The custodian is JPMorgan’s London branch. Vault permissions span several jurisdictions.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69"/>
        <w:gridCol w:w="1761"/>
        <w:gridCol w:w="2202"/>
        <w:gridCol w:w="2202"/>
        <w:gridCol w:w="1761"/>
        <w:gridCol w:w="3082"/>
      </w:tblGrid>
      <w:tr>
        <w:trPr>
          <w:tblHeader/>
          <w:cantSplit/>
        </w:trPr>
        <w:tc>
          <w:tcPr>
            <w:tcW w:type="dxa" w:w="3669"/>
            <w:vAlign w:val="center"/>
            <w:tcMar>
              <w:top w:w="80" w:type="dxa"/>
              <w:bottom w:w="80" w:type="dxa"/>
              <w:left w:w="100" w:type="dxa"/>
              <w:right w:w="100" w:type="dxa"/>
            </w:tcMar>
            <w:shd w:fill="DCE6EB"/>
          </w:tcPr>
          <w:p>
            <w:pPr>
              <w:keepNext/>
              <w:spacing w:after="0" w:before="0" w:line="252" w:lineRule="auto"/>
            </w:pPr>
            <w:r>
              <w:rPr>
                <w:b/>
                <w:i w:val="0"/>
                <w:sz w:val="18"/>
              </w:rPr>
              <w:t>Product / trading ticker</w:t>
            </w:r>
          </w:p>
        </w:tc>
        <w:tc>
          <w:tcPr>
            <w:tcW w:type="dxa" w:w="1761"/>
            <w:vAlign w:val="center"/>
            <w:tcMar>
              <w:top w:w="80" w:type="dxa"/>
              <w:bottom w:w="80" w:type="dxa"/>
              <w:left w:w="100" w:type="dxa"/>
              <w:right w:w="100" w:type="dxa"/>
            </w:tcMar>
            <w:shd w:fill="DCE6EB"/>
          </w:tcPr>
          <w:p>
            <w:pPr>
              <w:keepNext/>
              <w:spacing w:after="0" w:before="0" w:line="252" w:lineRule="auto"/>
            </w:pPr>
            <w:r>
              <w:rPr>
                <w:b/>
                <w:i w:val="0"/>
                <w:sz w:val="18"/>
              </w:rPr>
              <w:t>Domicile / form</w:t>
            </w:r>
          </w:p>
        </w:tc>
        <w:tc>
          <w:tcPr>
            <w:tcW w:type="dxa" w:w="2202"/>
            <w:vAlign w:val="center"/>
            <w:tcMar>
              <w:top w:w="80" w:type="dxa"/>
              <w:bottom w:w="80" w:type="dxa"/>
              <w:left w:w="100" w:type="dxa"/>
              <w:right w:w="100" w:type="dxa"/>
            </w:tcMar>
            <w:shd w:fill="DCE6EB"/>
          </w:tcPr>
          <w:p>
            <w:pPr>
              <w:keepNext/>
              <w:spacing w:after="0" w:before="0" w:line="252" w:lineRule="auto"/>
            </w:pPr>
            <w:r>
              <w:rPr>
                <w:b/>
                <w:i w:val="0"/>
                <w:sz w:val="18"/>
              </w:rPr>
              <w:t>Selected market / hedge</w:t>
            </w:r>
          </w:p>
        </w:tc>
        <w:tc>
          <w:tcPr>
            <w:tcW w:type="dxa" w:w="2202"/>
            <w:vAlign w:val="center"/>
            <w:tcMar>
              <w:top w:w="80" w:type="dxa"/>
              <w:bottom w:w="80" w:type="dxa"/>
              <w:left w:w="100" w:type="dxa"/>
              <w:right w:w="100" w:type="dxa"/>
            </w:tcMar>
            <w:shd w:fill="DCE6EB"/>
          </w:tcPr>
          <w:p>
            <w:pPr>
              <w:keepNext/>
              <w:spacing w:after="0" w:before="0" w:line="252" w:lineRule="auto"/>
            </w:pPr>
            <w:r>
              <w:rPr>
                <w:b/>
                <w:i w:val="0"/>
                <w:sz w:val="18"/>
              </w:rPr>
              <w:t>Net assets¹</w:t>
            </w:r>
          </w:p>
        </w:tc>
        <w:tc>
          <w:tcPr>
            <w:tcW w:type="dxa" w:w="1761"/>
            <w:vAlign w:val="center"/>
            <w:tcMar>
              <w:top w:w="80" w:type="dxa"/>
              <w:bottom w:w="80" w:type="dxa"/>
              <w:left w:w="100" w:type="dxa"/>
              <w:right w:w="100" w:type="dxa"/>
            </w:tcMar>
            <w:shd w:fill="DCE6EB"/>
          </w:tcPr>
          <w:p>
            <w:pPr>
              <w:keepNext/>
              <w:spacing w:after="0" w:before="0" w:line="252" w:lineRule="auto"/>
            </w:pPr>
            <w:r>
              <w:rPr>
                <w:b/>
                <w:i w:val="0"/>
                <w:sz w:val="18"/>
              </w:rPr>
              <w:t>Annual fee²</w:t>
            </w:r>
          </w:p>
        </w:tc>
        <w:tc>
          <w:tcPr>
            <w:tcW w:type="dxa" w:w="3082"/>
            <w:vAlign w:val="center"/>
            <w:tcMar>
              <w:top w:w="80" w:type="dxa"/>
              <w:bottom w:w="80" w:type="dxa"/>
              <w:left w:w="100" w:type="dxa"/>
              <w:right w:w="100" w:type="dxa"/>
            </w:tcMar>
            <w:shd w:fill="DCE6EB"/>
          </w:tcPr>
          <w:p>
            <w:pPr>
              <w:keepNext/>
              <w:spacing w:after="0" w:before="0" w:line="252" w:lineRule="auto"/>
            </w:pPr>
            <w:r>
              <w:rPr>
                <w:b/>
                <w:i w:val="0"/>
                <w:sz w:val="18"/>
              </w:rPr>
              <w:t>Bullion location³ / allocation</w:t>
            </w:r>
          </w:p>
        </w:tc>
      </w:tr>
      <w:tr>
        <w:trPr>
          <w:cantSplit/>
        </w:trPr>
        <w:tc>
          <w:tcPr>
            <w:tcW w:type="dxa" w:w="3669"/>
            <w:vAlign w:val="center"/>
            <w:tcMar>
              <w:top w:w="80" w:type="dxa"/>
              <w:bottom w:w="80" w:type="dxa"/>
              <w:left w:w="100" w:type="dxa"/>
              <w:right w:w="100" w:type="dxa"/>
            </w:tcMar>
            <w:shd w:fill="FFFFFF"/>
          </w:tcPr>
          <w:p>
            <w:pPr>
              <w:keepNext w:val="0"/>
              <w:spacing w:after="0" w:before="0" w:line="252" w:lineRule="auto"/>
            </w:pPr>
            <w:r>
              <w:rPr>
                <w:b w:val="0"/>
                <w:i w:val="0"/>
                <w:sz w:val="18"/>
              </w:rPr>
              <w:t>IAU</w:t>
            </w:r>
            <w:r>
              <w:rPr>
                <w:sz w:val="18"/>
              </w:rPr>
              <w:br/>
            </w:r>
            <w:r>
              <w:rPr>
                <w:sz w:val="18"/>
              </w:rPr>
              <w:t xml:space="preserve"> </w:t>
            </w:r>
            <w:r>
              <w:rPr>
                <w:b w:val="0"/>
                <w:i w:val="0"/>
                <w:sz w:val="18"/>
              </w:rPr>
              <w:t>iShares Gold Trust</w:t>
            </w:r>
            <w:r>
              <w:rPr>
                <w:sz w:val="18"/>
              </w:rPr>
              <w:br/>
            </w:r>
            <w:r>
              <w:rPr>
                <w:sz w:val="18"/>
              </w:rPr>
              <w:t xml:space="preserve"> </w:t>
            </w:r>
            <w:r>
              <w:rPr>
                <w:b w:val="0"/>
                <w:i w:val="0"/>
                <w:sz w:val="18"/>
              </w:rPr>
              <w:t>Gold</w:t>
            </w:r>
          </w:p>
        </w:tc>
        <w:tc>
          <w:tcPr>
            <w:tcW w:type="dxa" w:w="1761"/>
            <w:vAlign w:val="center"/>
            <w:tcMar>
              <w:top w:w="80" w:type="dxa"/>
              <w:bottom w:w="80" w:type="dxa"/>
              <w:left w:w="100" w:type="dxa"/>
              <w:right w:w="100" w:type="dxa"/>
            </w:tcMar>
            <w:shd w:fill="FFFFFF"/>
          </w:tcPr>
          <w:p>
            <w:pPr>
              <w:keepNext w:val="0"/>
              <w:spacing w:after="0" w:before="0" w:line="252" w:lineRule="auto"/>
            </w:pPr>
            <w:r>
              <w:rPr>
                <w:b/>
                <w:i w:val="0"/>
                <w:sz w:val="18"/>
              </w:rPr>
              <w:t>US</w:t>
            </w:r>
            <w:r>
              <w:rPr>
                <w:sz w:val="18"/>
              </w:rPr>
              <w:br/>
            </w:r>
            <w:r>
              <w:rPr>
                <w:sz w:val="18"/>
              </w:rPr>
              <w:t xml:space="preserve"> </w:t>
            </w:r>
            <w:r>
              <w:rPr>
                <w:b w:val="0"/>
                <w:i w:val="0"/>
                <w:sz w:val="18"/>
              </w:rPr>
              <w:t>Bullion trust</w:t>
            </w:r>
          </w:p>
        </w:tc>
        <w:tc>
          <w:tcPr>
            <w:tcW w:type="dxa" w:w="2202"/>
            <w:vAlign w:val="center"/>
            <w:tcMar>
              <w:top w:w="80" w:type="dxa"/>
              <w:bottom w:w="80" w:type="dxa"/>
              <w:left w:w="100" w:type="dxa"/>
              <w:right w:w="100" w:type="dxa"/>
            </w:tcMar>
            <w:shd w:fill="FFFFFF"/>
          </w:tcPr>
          <w:p>
            <w:pPr>
              <w:keepNext w:val="0"/>
              <w:spacing w:after="0" w:before="0" w:line="252" w:lineRule="auto"/>
            </w:pPr>
            <w:r>
              <w:rPr>
                <w:b w:val="0"/>
                <w:i w:val="0"/>
                <w:sz w:val="18"/>
              </w:rPr>
              <w:t>NYSE Arca · USD</w:t>
            </w:r>
            <w:r>
              <w:rPr>
                <w:sz w:val="18"/>
              </w:rPr>
              <w:br/>
            </w:r>
            <w:r>
              <w:rPr>
                <w:sz w:val="18"/>
              </w:rPr>
              <w:t xml:space="preserve"> </w:t>
            </w:r>
            <w:r>
              <w:rPr>
                <w:b w:val="0"/>
                <w:i w:val="0"/>
                <w:sz w:val="18"/>
              </w:rPr>
              <w:t>Unhedged</w:t>
            </w:r>
          </w:p>
        </w:tc>
        <w:tc>
          <w:tcPr>
            <w:tcW w:type="dxa" w:w="2202"/>
            <w:vAlign w:val="center"/>
            <w:tcMar>
              <w:top w:w="80" w:type="dxa"/>
              <w:bottom w:w="80" w:type="dxa"/>
              <w:left w:w="100" w:type="dxa"/>
              <w:right w:w="100" w:type="dxa"/>
            </w:tcMar>
            <w:shd w:fill="FFFFFF"/>
          </w:tcPr>
          <w:p>
            <w:pPr>
              <w:keepNext w:val="0"/>
              <w:spacing w:after="0" w:before="0" w:line="252" w:lineRule="auto"/>
            </w:pPr>
            <w:r>
              <w:rPr>
                <w:b/>
                <w:i w:val="0"/>
                <w:sz w:val="18"/>
              </w:rPr>
              <w:t>USD 64.557bn</w:t>
            </w:r>
            <w:r>
              <w:rPr>
                <w:sz w:val="18"/>
              </w:rPr>
              <w:br/>
            </w:r>
            <w:r>
              <w:rPr>
                <w:sz w:val="18"/>
              </w:rPr>
              <w:t xml:space="preserve"> </w:t>
            </w:r>
            <w:r>
              <w:rPr>
                <w:b w:val="0"/>
                <w:i w:val="0"/>
                <w:sz w:val="18"/>
              </w:rPr>
              <w:t>22 Sep 2026</w:t>
            </w:r>
            <w:r>
              <w:rPr>
                <w:sz w:val="18"/>
              </w:rPr>
              <w:br/>
            </w:r>
            <w:r>
              <w:rPr>
                <w:sz w:val="18"/>
              </w:rPr>
              <w:t xml:space="preserve"> </w:t>
            </w:r>
            <w:r>
              <w:rPr>
                <w:b w:val="0"/>
                <w:i w:val="0"/>
                <w:sz w:val="18"/>
              </w:rPr>
              <w:t>Fund / trust / ETC series</w:t>
            </w:r>
          </w:p>
        </w:tc>
        <w:tc>
          <w:tcPr>
            <w:tcW w:type="dxa" w:w="1761"/>
            <w:vAlign w:val="center"/>
            <w:tcMar>
              <w:top w:w="80" w:type="dxa"/>
              <w:bottom w:w="80" w:type="dxa"/>
              <w:left w:w="100" w:type="dxa"/>
              <w:right w:w="100" w:type="dxa"/>
            </w:tcMar>
            <w:shd w:fill="FFFFFF"/>
          </w:tcPr>
          <w:p>
            <w:pPr>
              <w:keepNext w:val="0"/>
              <w:spacing w:after="0" w:before="0" w:line="252" w:lineRule="auto"/>
            </w:pPr>
            <w:r>
              <w:rPr>
                <w:b/>
                <w:i w:val="0"/>
                <w:sz w:val="18"/>
              </w:rPr>
              <w:t>0.25%</w:t>
            </w:r>
            <w:r>
              <w:rPr>
                <w:sz w:val="18"/>
              </w:rPr>
              <w:br/>
            </w:r>
            <w:r>
              <w:rPr>
                <w:b w:val="0"/>
                <w:i w:val="0"/>
                <w:sz w:val="18"/>
              </w:rPr>
              <w:t>Sponsor fee</w:t>
            </w:r>
          </w:p>
        </w:tc>
        <w:tc>
          <w:tcPr>
            <w:tcW w:type="dxa" w:w="3082"/>
            <w:vAlign w:val="center"/>
            <w:tcMar>
              <w:top w:w="80" w:type="dxa"/>
              <w:bottom w:w="80" w:type="dxa"/>
              <w:left w:w="100" w:type="dxa"/>
              <w:right w:w="100" w:type="dxa"/>
            </w:tcMar>
            <w:shd w:fill="FFFFFF"/>
          </w:tcPr>
          <w:p>
            <w:pPr>
              <w:keepNext w:val="0"/>
              <w:spacing w:after="0" w:before="0" w:line="252" w:lineRule="auto"/>
            </w:pPr>
            <w:r>
              <w:rPr>
                <w:b w:val="0"/>
                <w:i w:val="0"/>
                <w:sz w:val="18"/>
              </w:rPr>
              <w:t>London / New York / Toronto; England / US / Canada subcustody</w:t>
            </w:r>
            <w:r>
              <w:rPr>
                <w:sz w:val="18"/>
              </w:rPr>
              <w:br/>
            </w:r>
            <w:r>
              <w:rPr>
                <w:sz w:val="18"/>
              </w:rPr>
              <w:t xml:space="preserve"> </w:t>
            </w:r>
            <w:r>
              <w:rPr>
                <w:b w:val="0"/>
                <w:i w:val="0"/>
                <w:sz w:val="18"/>
              </w:rPr>
              <w:t>Allocated at day-end</w:t>
            </w:r>
          </w:p>
        </w:tc>
      </w:tr>
      <w:tr>
        <w:trPr>
          <w:cantSplit/>
        </w:trPr>
        <w:tc>
          <w:tcPr>
            <w:tcW w:type="dxa" w:w="3669"/>
            <w:vAlign w:val="center"/>
            <w:tcMar>
              <w:top w:w="80" w:type="dxa"/>
              <w:bottom w:w="80" w:type="dxa"/>
              <w:left w:w="100" w:type="dxa"/>
              <w:right w:w="100" w:type="dxa"/>
            </w:tcMar>
            <w:shd w:fill="F4F7F8"/>
          </w:tcPr>
          <w:p>
            <w:pPr>
              <w:keepNext w:val="0"/>
              <w:spacing w:after="0" w:before="0" w:line="252" w:lineRule="auto"/>
            </w:pPr>
            <w:r>
              <w:rPr>
                <w:b w:val="0"/>
                <w:i w:val="0"/>
                <w:sz w:val="18"/>
              </w:rPr>
              <w:t>IAUM</w:t>
            </w:r>
            <w:r>
              <w:rPr>
                <w:sz w:val="18"/>
              </w:rPr>
              <w:br/>
            </w:r>
            <w:r>
              <w:rPr>
                <w:sz w:val="18"/>
              </w:rPr>
              <w:t xml:space="preserve"> </w:t>
            </w:r>
            <w:r>
              <w:rPr>
                <w:b w:val="0"/>
                <w:i w:val="0"/>
                <w:sz w:val="18"/>
              </w:rPr>
              <w:t>iShares Gold Trust Micro</w:t>
            </w:r>
            <w:r>
              <w:rPr>
                <w:sz w:val="18"/>
              </w:rPr>
              <w:br/>
            </w:r>
            <w:r>
              <w:rPr>
                <w:sz w:val="18"/>
              </w:rPr>
              <w:t xml:space="preserve"> </w:t>
            </w:r>
            <w:r>
              <w:rPr>
                <w:b w:val="0"/>
                <w:i w:val="0"/>
                <w:sz w:val="18"/>
              </w:rPr>
              <w:t>Gold</w:t>
            </w:r>
          </w:p>
        </w:tc>
        <w:tc>
          <w:tcPr>
            <w:tcW w:type="dxa" w:w="1761"/>
            <w:vAlign w:val="center"/>
            <w:tcMar>
              <w:top w:w="80" w:type="dxa"/>
              <w:bottom w:w="80" w:type="dxa"/>
              <w:left w:w="100" w:type="dxa"/>
              <w:right w:w="100" w:type="dxa"/>
            </w:tcMar>
            <w:shd w:fill="F4F7F8"/>
          </w:tcPr>
          <w:p>
            <w:pPr>
              <w:keepNext w:val="0"/>
              <w:spacing w:after="0" w:before="0" w:line="252" w:lineRule="auto"/>
            </w:pPr>
            <w:r>
              <w:rPr>
                <w:b/>
                <w:i w:val="0"/>
                <w:sz w:val="18"/>
              </w:rPr>
              <w:t>US</w:t>
            </w:r>
            <w:r>
              <w:rPr>
                <w:sz w:val="18"/>
              </w:rPr>
              <w:br/>
            </w:r>
            <w:r>
              <w:rPr>
                <w:sz w:val="18"/>
              </w:rPr>
              <w:t xml:space="preserve"> </w:t>
            </w:r>
            <w:r>
              <w:rPr>
                <w:b w:val="0"/>
                <w:i w:val="0"/>
                <w:sz w:val="18"/>
              </w:rPr>
              <w:t>Bullion trust</w:t>
            </w:r>
          </w:p>
        </w:tc>
        <w:tc>
          <w:tcPr>
            <w:tcW w:type="dxa" w:w="2202"/>
            <w:vAlign w:val="center"/>
            <w:tcMar>
              <w:top w:w="80" w:type="dxa"/>
              <w:bottom w:w="80" w:type="dxa"/>
              <w:left w:w="100" w:type="dxa"/>
              <w:right w:w="100" w:type="dxa"/>
            </w:tcMar>
            <w:shd w:fill="F4F7F8"/>
          </w:tcPr>
          <w:p>
            <w:pPr>
              <w:keepNext w:val="0"/>
              <w:spacing w:after="0" w:before="0" w:line="252" w:lineRule="auto"/>
            </w:pPr>
            <w:r>
              <w:rPr>
                <w:b w:val="0"/>
                <w:i w:val="0"/>
                <w:sz w:val="18"/>
              </w:rPr>
              <w:t>NYSE Arca · USD</w:t>
            </w:r>
            <w:r>
              <w:rPr>
                <w:sz w:val="18"/>
              </w:rPr>
              <w:br/>
            </w:r>
            <w:r>
              <w:rPr>
                <w:sz w:val="18"/>
              </w:rPr>
              <w:t xml:space="preserve"> </w:t>
            </w:r>
            <w:r>
              <w:rPr>
                <w:b w:val="0"/>
                <w:i w:val="0"/>
                <w:sz w:val="18"/>
              </w:rPr>
              <w:t>Unhedged</w:t>
            </w:r>
          </w:p>
        </w:tc>
        <w:tc>
          <w:tcPr>
            <w:tcW w:type="dxa" w:w="2202"/>
            <w:vAlign w:val="center"/>
            <w:tcMar>
              <w:top w:w="80" w:type="dxa"/>
              <w:bottom w:w="80" w:type="dxa"/>
              <w:left w:w="100" w:type="dxa"/>
              <w:right w:w="100" w:type="dxa"/>
            </w:tcMar>
            <w:shd w:fill="F4F7F8"/>
          </w:tcPr>
          <w:p>
            <w:pPr>
              <w:keepNext w:val="0"/>
              <w:spacing w:after="0" w:before="0" w:line="252" w:lineRule="auto"/>
            </w:pPr>
            <w:r>
              <w:rPr>
                <w:b/>
                <w:i w:val="0"/>
                <w:sz w:val="18"/>
              </w:rPr>
              <w:t>USD 8.084bn</w:t>
            </w:r>
            <w:r>
              <w:rPr>
                <w:sz w:val="18"/>
              </w:rPr>
              <w:br/>
            </w:r>
            <w:r>
              <w:rPr>
                <w:sz w:val="18"/>
              </w:rPr>
              <w:t xml:space="preserve"> </w:t>
            </w:r>
            <w:r>
              <w:rPr>
                <w:b w:val="0"/>
                <w:i w:val="0"/>
                <w:sz w:val="18"/>
              </w:rPr>
              <w:t>22 Sep 2026</w:t>
            </w:r>
            <w:r>
              <w:rPr>
                <w:sz w:val="18"/>
              </w:rPr>
              <w:br/>
            </w:r>
            <w:r>
              <w:rPr>
                <w:sz w:val="18"/>
              </w:rPr>
              <w:t xml:space="preserve"> </w:t>
            </w:r>
            <w:r>
              <w:rPr>
                <w:b w:val="0"/>
                <w:i w:val="0"/>
                <w:sz w:val="18"/>
              </w:rPr>
              <w:t>Fund / trust / ETC series</w:t>
            </w:r>
          </w:p>
        </w:tc>
        <w:tc>
          <w:tcPr>
            <w:tcW w:type="dxa" w:w="1761"/>
            <w:vAlign w:val="center"/>
            <w:tcMar>
              <w:top w:w="80" w:type="dxa"/>
              <w:bottom w:w="80" w:type="dxa"/>
              <w:left w:w="100" w:type="dxa"/>
              <w:right w:w="100" w:type="dxa"/>
            </w:tcMar>
            <w:shd w:fill="F4F7F8"/>
          </w:tcPr>
          <w:p>
            <w:pPr>
              <w:keepNext w:val="0"/>
              <w:spacing w:after="0" w:before="0" w:line="252" w:lineRule="auto"/>
            </w:pPr>
            <w:r>
              <w:rPr>
                <w:b/>
                <w:i w:val="0"/>
                <w:sz w:val="18"/>
              </w:rPr>
              <w:t>0.07%</w:t>
            </w:r>
            <w:r>
              <w:rPr>
                <w:sz w:val="18"/>
              </w:rPr>
              <w:br/>
            </w:r>
            <w:r>
              <w:rPr>
                <w:b w:val="0"/>
                <w:i w:val="0"/>
                <w:sz w:val="18"/>
              </w:rPr>
              <w:t>Sponsor fee after waiver</w:t>
            </w:r>
            <w:r>
              <w:rPr>
                <w:sz w:val="18"/>
              </w:rPr>
              <w:br/>
            </w:r>
            <w:r>
              <w:rPr>
                <w:sz w:val="18"/>
              </w:rPr>
              <w:t xml:space="preserve"> </w:t>
            </w:r>
            <w:r>
              <w:rPr>
                <w:b w:val="0"/>
                <w:i w:val="0"/>
                <w:sz w:val="18"/>
              </w:rPr>
              <w:t>0.09% before waiver</w:t>
            </w:r>
          </w:p>
        </w:tc>
        <w:tc>
          <w:tcPr>
            <w:tcW w:type="dxa" w:w="3082"/>
            <w:vAlign w:val="center"/>
            <w:tcMar>
              <w:top w:w="80" w:type="dxa"/>
              <w:bottom w:w="80" w:type="dxa"/>
              <w:left w:w="100" w:type="dxa"/>
              <w:right w:w="100" w:type="dxa"/>
            </w:tcMar>
            <w:shd w:fill="F4F7F8"/>
          </w:tcPr>
          <w:p>
            <w:pPr>
              <w:keepNext w:val="0"/>
              <w:spacing w:after="0" w:before="0" w:line="252" w:lineRule="auto"/>
            </w:pPr>
            <w:r>
              <w:rPr>
                <w:b w:val="0"/>
                <w:i w:val="0"/>
                <w:sz w:val="18"/>
              </w:rPr>
              <w:t>London / New York; England / US subcustody*</w:t>
            </w:r>
            <w:r>
              <w:rPr>
                <w:sz w:val="18"/>
              </w:rPr>
              <w:br/>
            </w:r>
            <w:r>
              <w:rPr>
                <w:b w:val="0"/>
                <w:i w:val="0"/>
                <w:sz w:val="18"/>
              </w:rPr>
              <w:t>Allocated at day-end</w:t>
            </w:r>
          </w:p>
        </w:tc>
      </w:tr>
      <w:tr>
        <w:trPr>
          <w:cantSplit/>
        </w:trPr>
        <w:tc>
          <w:tcPr>
            <w:tcW w:type="dxa" w:w="3669"/>
            <w:vAlign w:val="center"/>
            <w:tcMar>
              <w:top w:w="80" w:type="dxa"/>
              <w:bottom w:w="80" w:type="dxa"/>
              <w:left w:w="100" w:type="dxa"/>
              <w:right w:w="100" w:type="dxa"/>
            </w:tcMar>
            <w:shd w:fill="FFFFFF"/>
          </w:tcPr>
          <w:p>
            <w:pPr>
              <w:keepNext w:val="0"/>
              <w:spacing w:after="0" w:before="0" w:line="252" w:lineRule="auto"/>
            </w:pPr>
            <w:r>
              <w:rPr>
                <w:b w:val="0"/>
                <w:i w:val="0"/>
                <w:sz w:val="18"/>
              </w:rPr>
              <w:t>SLV</w:t>
            </w:r>
            <w:r>
              <w:rPr>
                <w:sz w:val="18"/>
              </w:rPr>
              <w:br/>
            </w:r>
            <w:r>
              <w:rPr>
                <w:sz w:val="18"/>
              </w:rPr>
              <w:t xml:space="preserve"> </w:t>
            </w:r>
            <w:r>
              <w:rPr>
                <w:b w:val="0"/>
                <w:i w:val="0"/>
                <w:sz w:val="18"/>
              </w:rPr>
              <w:t>iShares Silver Trust</w:t>
            </w:r>
            <w:r>
              <w:rPr>
                <w:sz w:val="18"/>
              </w:rPr>
              <w:br/>
            </w:r>
            <w:r>
              <w:rPr>
                <w:sz w:val="18"/>
              </w:rPr>
              <w:t xml:space="preserve"> </w:t>
            </w:r>
            <w:r>
              <w:rPr>
                <w:b w:val="0"/>
                <w:i w:val="0"/>
                <w:sz w:val="18"/>
              </w:rPr>
              <w:t>Silver</w:t>
            </w:r>
          </w:p>
        </w:tc>
        <w:tc>
          <w:tcPr>
            <w:tcW w:type="dxa" w:w="1761"/>
            <w:vAlign w:val="center"/>
            <w:tcMar>
              <w:top w:w="80" w:type="dxa"/>
              <w:bottom w:w="80" w:type="dxa"/>
              <w:left w:w="100" w:type="dxa"/>
              <w:right w:w="100" w:type="dxa"/>
            </w:tcMar>
            <w:shd w:fill="FFFFFF"/>
          </w:tcPr>
          <w:p>
            <w:pPr>
              <w:keepNext w:val="0"/>
              <w:spacing w:after="0" w:before="0" w:line="252" w:lineRule="auto"/>
            </w:pPr>
            <w:r>
              <w:rPr>
                <w:b/>
                <w:i w:val="0"/>
                <w:sz w:val="18"/>
              </w:rPr>
              <w:t>US</w:t>
            </w:r>
            <w:r>
              <w:rPr>
                <w:sz w:val="18"/>
              </w:rPr>
              <w:br/>
            </w:r>
            <w:r>
              <w:rPr>
                <w:sz w:val="18"/>
              </w:rPr>
              <w:t xml:space="preserve"> </w:t>
            </w:r>
            <w:r>
              <w:rPr>
                <w:b w:val="0"/>
                <w:i w:val="0"/>
                <w:sz w:val="18"/>
              </w:rPr>
              <w:t>Bullion trust</w:t>
            </w:r>
          </w:p>
        </w:tc>
        <w:tc>
          <w:tcPr>
            <w:tcW w:type="dxa" w:w="2202"/>
            <w:vAlign w:val="center"/>
            <w:tcMar>
              <w:top w:w="80" w:type="dxa"/>
              <w:bottom w:w="80" w:type="dxa"/>
              <w:left w:w="100" w:type="dxa"/>
              <w:right w:w="100" w:type="dxa"/>
            </w:tcMar>
            <w:shd w:fill="FFFFFF"/>
          </w:tcPr>
          <w:p>
            <w:pPr>
              <w:keepNext w:val="0"/>
              <w:spacing w:after="0" w:before="0" w:line="252" w:lineRule="auto"/>
            </w:pPr>
            <w:r>
              <w:rPr>
                <w:b w:val="0"/>
                <w:i w:val="0"/>
                <w:sz w:val="18"/>
              </w:rPr>
              <w:t>NYSE Arca · USD</w:t>
            </w:r>
            <w:r>
              <w:rPr>
                <w:sz w:val="18"/>
              </w:rPr>
              <w:br/>
            </w:r>
            <w:r>
              <w:rPr>
                <w:sz w:val="18"/>
              </w:rPr>
              <w:t xml:space="preserve"> </w:t>
            </w:r>
            <w:r>
              <w:rPr>
                <w:b w:val="0"/>
                <w:i w:val="0"/>
                <w:sz w:val="18"/>
              </w:rPr>
              <w:t>Unhedged</w:t>
            </w:r>
          </w:p>
        </w:tc>
        <w:tc>
          <w:tcPr>
            <w:tcW w:type="dxa" w:w="2202"/>
            <w:vAlign w:val="center"/>
            <w:tcMar>
              <w:top w:w="80" w:type="dxa"/>
              <w:bottom w:w="80" w:type="dxa"/>
              <w:left w:w="100" w:type="dxa"/>
              <w:right w:w="100" w:type="dxa"/>
            </w:tcMar>
            <w:shd w:fill="FFFFFF"/>
          </w:tcPr>
          <w:p>
            <w:pPr>
              <w:keepNext w:val="0"/>
              <w:spacing w:after="0" w:before="0" w:line="252" w:lineRule="auto"/>
            </w:pPr>
            <w:r>
              <w:rPr>
                <w:b/>
                <w:i w:val="0"/>
                <w:sz w:val="18"/>
              </w:rPr>
              <w:t>USD 32.437bn</w:t>
            </w:r>
            <w:r>
              <w:rPr>
                <w:sz w:val="18"/>
              </w:rPr>
              <w:br/>
            </w:r>
            <w:r>
              <w:rPr>
                <w:sz w:val="18"/>
              </w:rPr>
              <w:t xml:space="preserve"> </w:t>
            </w:r>
            <w:r>
              <w:rPr>
                <w:b w:val="0"/>
                <w:i w:val="0"/>
                <w:sz w:val="18"/>
              </w:rPr>
              <w:t>22 Sep 2026</w:t>
            </w:r>
            <w:r>
              <w:rPr>
                <w:sz w:val="18"/>
              </w:rPr>
              <w:br/>
            </w:r>
            <w:r>
              <w:rPr>
                <w:sz w:val="18"/>
              </w:rPr>
              <w:t xml:space="preserve"> </w:t>
            </w:r>
            <w:r>
              <w:rPr>
                <w:b w:val="0"/>
                <w:i w:val="0"/>
                <w:sz w:val="18"/>
              </w:rPr>
              <w:t>Fund / trust / ETC series</w:t>
            </w:r>
          </w:p>
        </w:tc>
        <w:tc>
          <w:tcPr>
            <w:tcW w:type="dxa" w:w="1761"/>
            <w:vAlign w:val="center"/>
            <w:tcMar>
              <w:top w:w="80" w:type="dxa"/>
              <w:bottom w:w="80" w:type="dxa"/>
              <w:left w:w="100" w:type="dxa"/>
              <w:right w:w="100" w:type="dxa"/>
            </w:tcMar>
            <w:shd w:fill="FFFFFF"/>
          </w:tcPr>
          <w:p>
            <w:pPr>
              <w:keepNext w:val="0"/>
              <w:spacing w:after="0" w:before="0" w:line="252" w:lineRule="auto"/>
            </w:pPr>
            <w:r>
              <w:rPr>
                <w:b/>
                <w:i w:val="0"/>
                <w:sz w:val="18"/>
              </w:rPr>
              <w:t>0.5%</w:t>
            </w:r>
            <w:r>
              <w:rPr>
                <w:sz w:val="18"/>
              </w:rPr>
              <w:br/>
            </w:r>
            <w:r>
              <w:rPr>
                <w:b w:val="0"/>
                <w:i w:val="0"/>
                <w:sz w:val="18"/>
              </w:rPr>
              <w:t>Sponsor fee</w:t>
            </w:r>
          </w:p>
        </w:tc>
        <w:tc>
          <w:tcPr>
            <w:tcW w:type="dxa" w:w="3082"/>
            <w:vAlign w:val="center"/>
            <w:tcMar>
              <w:top w:w="80" w:type="dxa"/>
              <w:bottom w:w="80" w:type="dxa"/>
              <w:left w:w="100" w:type="dxa"/>
              <w:right w:w="100" w:type="dxa"/>
            </w:tcMar>
            <w:shd w:fill="FFFFFF"/>
          </w:tcPr>
          <w:p>
            <w:pPr>
              <w:keepNext w:val="0"/>
              <w:spacing w:after="0" w:before="0" w:line="252" w:lineRule="auto"/>
            </w:pPr>
            <w:r>
              <w:rPr>
                <w:b w:val="0"/>
                <w:i w:val="0"/>
                <w:sz w:val="18"/>
              </w:rPr>
              <w:t>England / New York*</w:t>
            </w:r>
            <w:r>
              <w:rPr>
                <w:sz w:val="18"/>
              </w:rPr>
              <w:br/>
            </w:r>
            <w:r>
              <w:rPr>
                <w:b w:val="0"/>
                <w:i w:val="0"/>
                <w:sz w:val="18"/>
              </w:rPr>
              <w:t>Allocated; ≤1,100 oz unallocated</w:t>
            </w:r>
          </w:p>
        </w:tc>
      </w:tr>
    </w:tbl>
    <w:p>
      <w:pPr>
        <w:spacing w:after="60" w:before="0" w:line="40" w:lineRule="exact"/>
      </w:pPr>
      <w:r>
        <w:rPr>
          <w:sz w:val="4"/>
        </w:rPr>
      </w:r>
    </w:p>
    <w:p>
      <w:pPr>
        <w:spacing w:after="100"/>
      </w:pPr>
      <w:r>
        <w:rPr>
          <w:b w:val="0"/>
          <w:sz w:val="18"/>
        </w:rPr>
        <w:t>Native currency and valuation date retained. Fees follow the issuer’s stated basis. Location permissions and underlying structure are qualified in the detailed product records.</w:t>
      </w:r>
    </w:p>
    <w:p>
      <w:r>
        <w:br w:type="page"/>
      </w:r>
    </w:p>
    <w:p>
      <w:pPr>
        <w:pStyle w:val="Heading1"/>
        <w:pageBreakBefore w:val="0"/>
      </w:pPr>
      <w:r>
        <w:t>One ETC series for each precious metal</w:t>
      </w:r>
    </w:p>
    <w:p>
      <w:r>
        <w:rPr>
          <w:b w:val="0"/>
          <w:i w:val="0"/>
        </w:rPr>
        <w:t>Gold has a 0.12% TER. Silver, platinum and palladium each have a 0.20% TER. Several exchange lines refer to the same security.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69"/>
        <w:gridCol w:w="1761"/>
        <w:gridCol w:w="2202"/>
        <w:gridCol w:w="2202"/>
        <w:gridCol w:w="1761"/>
        <w:gridCol w:w="3082"/>
      </w:tblGrid>
      <w:tr>
        <w:trPr>
          <w:tblHeader/>
          <w:cantSplit/>
        </w:trPr>
        <w:tc>
          <w:tcPr>
            <w:tcW w:type="dxa" w:w="3669"/>
            <w:vAlign w:val="center"/>
            <w:tcMar>
              <w:top w:w="80" w:type="dxa"/>
              <w:bottom w:w="80" w:type="dxa"/>
              <w:left w:w="100" w:type="dxa"/>
              <w:right w:w="100" w:type="dxa"/>
            </w:tcMar>
            <w:shd w:fill="DCE6EB"/>
          </w:tcPr>
          <w:p>
            <w:pPr>
              <w:keepNext/>
              <w:spacing w:after="0" w:before="0" w:line="252" w:lineRule="auto"/>
            </w:pPr>
            <w:r>
              <w:rPr>
                <w:b/>
                <w:i w:val="0"/>
                <w:sz w:val="18"/>
              </w:rPr>
              <w:t>Product / trading ticker</w:t>
            </w:r>
          </w:p>
        </w:tc>
        <w:tc>
          <w:tcPr>
            <w:tcW w:type="dxa" w:w="1761"/>
            <w:vAlign w:val="center"/>
            <w:tcMar>
              <w:top w:w="80" w:type="dxa"/>
              <w:bottom w:w="80" w:type="dxa"/>
              <w:left w:w="100" w:type="dxa"/>
              <w:right w:w="100" w:type="dxa"/>
            </w:tcMar>
            <w:shd w:fill="DCE6EB"/>
          </w:tcPr>
          <w:p>
            <w:pPr>
              <w:keepNext/>
              <w:spacing w:after="0" w:before="0" w:line="252" w:lineRule="auto"/>
            </w:pPr>
            <w:r>
              <w:rPr>
                <w:b/>
                <w:i w:val="0"/>
                <w:sz w:val="18"/>
              </w:rPr>
              <w:t>Domicile / form</w:t>
            </w:r>
          </w:p>
        </w:tc>
        <w:tc>
          <w:tcPr>
            <w:tcW w:type="dxa" w:w="2202"/>
            <w:vAlign w:val="center"/>
            <w:tcMar>
              <w:top w:w="80" w:type="dxa"/>
              <w:bottom w:w="80" w:type="dxa"/>
              <w:left w:w="100" w:type="dxa"/>
              <w:right w:w="100" w:type="dxa"/>
            </w:tcMar>
            <w:shd w:fill="DCE6EB"/>
          </w:tcPr>
          <w:p>
            <w:pPr>
              <w:keepNext/>
              <w:spacing w:after="0" w:before="0" w:line="252" w:lineRule="auto"/>
            </w:pPr>
            <w:r>
              <w:rPr>
                <w:b/>
                <w:i w:val="0"/>
                <w:sz w:val="18"/>
              </w:rPr>
              <w:t>Selected market / hedge</w:t>
            </w:r>
          </w:p>
        </w:tc>
        <w:tc>
          <w:tcPr>
            <w:tcW w:type="dxa" w:w="2202"/>
            <w:vAlign w:val="center"/>
            <w:tcMar>
              <w:top w:w="80" w:type="dxa"/>
              <w:bottom w:w="80" w:type="dxa"/>
              <w:left w:w="100" w:type="dxa"/>
              <w:right w:w="100" w:type="dxa"/>
            </w:tcMar>
            <w:shd w:fill="DCE6EB"/>
          </w:tcPr>
          <w:p>
            <w:pPr>
              <w:keepNext/>
              <w:spacing w:after="0" w:before="0" w:line="252" w:lineRule="auto"/>
            </w:pPr>
            <w:r>
              <w:rPr>
                <w:b/>
                <w:i w:val="0"/>
                <w:sz w:val="18"/>
              </w:rPr>
              <w:t>Net assets¹</w:t>
            </w:r>
          </w:p>
        </w:tc>
        <w:tc>
          <w:tcPr>
            <w:tcW w:type="dxa" w:w="1761"/>
            <w:vAlign w:val="center"/>
            <w:tcMar>
              <w:top w:w="80" w:type="dxa"/>
              <w:bottom w:w="80" w:type="dxa"/>
              <w:left w:w="100" w:type="dxa"/>
              <w:right w:w="100" w:type="dxa"/>
            </w:tcMar>
            <w:shd w:fill="DCE6EB"/>
          </w:tcPr>
          <w:p>
            <w:pPr>
              <w:keepNext/>
              <w:spacing w:after="0" w:before="0" w:line="252" w:lineRule="auto"/>
            </w:pPr>
            <w:r>
              <w:rPr>
                <w:b/>
                <w:i w:val="0"/>
                <w:sz w:val="18"/>
              </w:rPr>
              <w:t>Annual fee²</w:t>
            </w:r>
          </w:p>
        </w:tc>
        <w:tc>
          <w:tcPr>
            <w:tcW w:type="dxa" w:w="3082"/>
            <w:vAlign w:val="center"/>
            <w:tcMar>
              <w:top w:w="80" w:type="dxa"/>
              <w:bottom w:w="80" w:type="dxa"/>
              <w:left w:w="100" w:type="dxa"/>
              <w:right w:w="100" w:type="dxa"/>
            </w:tcMar>
            <w:shd w:fill="DCE6EB"/>
          </w:tcPr>
          <w:p>
            <w:pPr>
              <w:keepNext/>
              <w:spacing w:after="0" w:before="0" w:line="252" w:lineRule="auto"/>
            </w:pPr>
            <w:r>
              <w:rPr>
                <w:b/>
                <w:i w:val="0"/>
                <w:sz w:val="18"/>
              </w:rPr>
              <w:t>Bullion location³ / allocation</w:t>
            </w:r>
          </w:p>
        </w:tc>
      </w:tr>
      <w:tr>
        <w:trPr>
          <w:cantSplit/>
        </w:trPr>
        <w:tc>
          <w:tcPr>
            <w:tcW w:type="dxa" w:w="3669"/>
            <w:vAlign w:val="center"/>
            <w:tcMar>
              <w:top w:w="80" w:type="dxa"/>
              <w:bottom w:w="80" w:type="dxa"/>
              <w:left w:w="100" w:type="dxa"/>
              <w:right w:w="100" w:type="dxa"/>
            </w:tcMar>
            <w:shd w:fill="FFFFFF"/>
          </w:tcPr>
          <w:p>
            <w:pPr>
              <w:keepNext w:val="0"/>
              <w:spacing w:after="0" w:before="0" w:line="252" w:lineRule="auto"/>
            </w:pPr>
            <w:r>
              <w:rPr>
                <w:b w:val="0"/>
                <w:i w:val="0"/>
                <w:sz w:val="18"/>
              </w:rPr>
              <w:t>SGLN / IGLN / EGLN</w:t>
            </w:r>
            <w:r>
              <w:rPr>
                <w:sz w:val="18"/>
              </w:rPr>
              <w:br/>
            </w:r>
            <w:r>
              <w:rPr>
                <w:sz w:val="18"/>
              </w:rPr>
              <w:t xml:space="preserve"> </w:t>
            </w:r>
            <w:r>
              <w:rPr>
                <w:b w:val="0"/>
                <w:i w:val="0"/>
                <w:sz w:val="18"/>
              </w:rPr>
              <w:t>iShares Physical Gold ETC</w:t>
            </w:r>
            <w:r>
              <w:rPr>
                <w:sz w:val="18"/>
              </w:rPr>
              <w:br/>
            </w:r>
            <w:r>
              <w:rPr>
                <w:sz w:val="18"/>
              </w:rPr>
              <w:t xml:space="preserve"> </w:t>
            </w:r>
            <w:r>
              <w:rPr>
                <w:b w:val="0"/>
                <w:i w:val="0"/>
                <w:sz w:val="18"/>
              </w:rPr>
              <w:t>Gold</w:t>
            </w:r>
          </w:p>
        </w:tc>
        <w:tc>
          <w:tcPr>
            <w:tcW w:type="dxa" w:w="1761"/>
            <w:vAlign w:val="center"/>
            <w:tcMar>
              <w:top w:w="80" w:type="dxa"/>
              <w:bottom w:w="80" w:type="dxa"/>
              <w:left w:w="100" w:type="dxa"/>
              <w:right w:w="100" w:type="dxa"/>
            </w:tcMar>
            <w:shd w:fill="FFFFFF"/>
          </w:tcPr>
          <w:p>
            <w:pPr>
              <w:keepNext w:val="0"/>
              <w:spacing w:after="0" w:before="0" w:line="252" w:lineRule="auto"/>
            </w:pPr>
            <w:r>
              <w:rPr>
                <w:b/>
                <w:i w:val="0"/>
                <w:sz w:val="18"/>
              </w:rPr>
              <w:t>Ireland</w:t>
            </w:r>
            <w:r>
              <w:rPr>
                <w:sz w:val="18"/>
              </w:rPr>
              <w:br/>
            </w:r>
            <w:r>
              <w:rPr>
                <w:sz w:val="18"/>
              </w:rPr>
              <w:t xml:space="preserve"> </w:t>
            </w:r>
            <w:r>
              <w:rPr>
                <w:b w:val="0"/>
                <w:i w:val="0"/>
                <w:sz w:val="18"/>
              </w:rPr>
              <w:t>Secured ETC</w:t>
            </w:r>
          </w:p>
        </w:tc>
        <w:tc>
          <w:tcPr>
            <w:tcW w:type="dxa" w:w="2202"/>
            <w:vAlign w:val="center"/>
            <w:tcMar>
              <w:top w:w="80" w:type="dxa"/>
              <w:bottom w:w="80" w:type="dxa"/>
              <w:left w:w="100" w:type="dxa"/>
              <w:right w:w="100" w:type="dxa"/>
            </w:tcMar>
            <w:shd w:fill="FFFFFF"/>
          </w:tcPr>
          <w:p>
            <w:pPr>
              <w:keepNext w:val="0"/>
              <w:spacing w:after="0" w:before="0" w:line="252" w:lineRule="auto"/>
            </w:pPr>
            <w:r>
              <w:rPr>
                <w:b w:val="0"/>
                <w:i w:val="0"/>
                <w:sz w:val="18"/>
              </w:rPr>
              <w:t>LSE · GBP / USD / EUR</w:t>
            </w:r>
            <w:r>
              <w:rPr>
                <w:sz w:val="18"/>
              </w:rPr>
              <w:br/>
            </w:r>
            <w:r>
              <w:rPr>
                <w:sz w:val="18"/>
              </w:rPr>
              <w:t xml:space="preserve"> </w:t>
            </w:r>
            <w:r>
              <w:rPr>
                <w:b w:val="0"/>
                <w:i w:val="0"/>
                <w:sz w:val="18"/>
              </w:rPr>
              <w:t>Unhedged</w:t>
            </w:r>
          </w:p>
        </w:tc>
        <w:tc>
          <w:tcPr>
            <w:tcW w:type="dxa" w:w="2202"/>
            <w:vAlign w:val="center"/>
            <w:tcMar>
              <w:top w:w="80" w:type="dxa"/>
              <w:bottom w:w="80" w:type="dxa"/>
              <w:left w:w="100" w:type="dxa"/>
              <w:right w:w="100" w:type="dxa"/>
            </w:tcMar>
            <w:shd w:fill="FFFFFF"/>
          </w:tcPr>
          <w:p>
            <w:pPr>
              <w:keepNext w:val="0"/>
              <w:spacing w:after="0" w:before="0" w:line="252" w:lineRule="auto"/>
            </w:pPr>
            <w:r>
              <w:rPr>
                <w:b/>
                <w:i w:val="0"/>
                <w:sz w:val="18"/>
              </w:rPr>
              <w:t>USD 39.687bn</w:t>
            </w:r>
            <w:r>
              <w:rPr>
                <w:sz w:val="18"/>
              </w:rPr>
              <w:br/>
            </w:r>
            <w:r>
              <w:rPr>
                <w:sz w:val="18"/>
              </w:rPr>
              <w:t xml:space="preserve"> </w:t>
            </w:r>
            <w:r>
              <w:rPr>
                <w:b w:val="0"/>
                <w:i w:val="0"/>
                <w:sz w:val="18"/>
              </w:rPr>
              <w:t>22 Sep 2026</w:t>
            </w:r>
            <w:r>
              <w:rPr>
                <w:sz w:val="18"/>
              </w:rPr>
              <w:br/>
            </w:r>
            <w:r>
              <w:rPr>
                <w:sz w:val="18"/>
              </w:rPr>
              <w:t xml:space="preserve"> </w:t>
            </w:r>
            <w:r>
              <w:rPr>
                <w:b w:val="0"/>
                <w:i w:val="0"/>
                <w:sz w:val="18"/>
              </w:rPr>
              <w:t>Fund / trust / ETC series</w:t>
            </w:r>
          </w:p>
        </w:tc>
        <w:tc>
          <w:tcPr>
            <w:tcW w:type="dxa" w:w="1761"/>
            <w:vAlign w:val="center"/>
            <w:tcMar>
              <w:top w:w="80" w:type="dxa"/>
              <w:bottom w:w="80" w:type="dxa"/>
              <w:left w:w="100" w:type="dxa"/>
              <w:right w:w="100" w:type="dxa"/>
            </w:tcMar>
            <w:shd w:fill="FFFFFF"/>
          </w:tcPr>
          <w:p>
            <w:pPr>
              <w:keepNext w:val="0"/>
              <w:spacing w:after="0" w:before="0" w:line="252" w:lineRule="auto"/>
            </w:pPr>
            <w:r>
              <w:rPr>
                <w:b/>
                <w:i w:val="0"/>
                <w:sz w:val="18"/>
              </w:rPr>
              <w:t>0.12%</w:t>
            </w:r>
            <w:r>
              <w:rPr>
                <w:sz w:val="18"/>
              </w:rPr>
              <w:br/>
            </w:r>
            <w:r>
              <w:rPr>
                <w:b w:val="0"/>
                <w:i w:val="0"/>
                <w:sz w:val="18"/>
              </w:rPr>
              <w:t>TER</w:t>
            </w:r>
          </w:p>
        </w:tc>
        <w:tc>
          <w:tcPr>
            <w:tcW w:type="dxa" w:w="3082"/>
            <w:vAlign w:val="center"/>
            <w:tcMar>
              <w:top w:w="80" w:type="dxa"/>
              <w:bottom w:w="80" w:type="dxa"/>
              <w:left w:w="100" w:type="dxa"/>
              <w:right w:w="100" w:type="dxa"/>
            </w:tcMar>
            <w:shd w:fill="FFFFFF"/>
          </w:tcPr>
          <w:p>
            <w:pPr>
              <w:keepNext w:val="0"/>
              <w:spacing w:after="0" w:before="0" w:line="252" w:lineRule="auto"/>
            </w:pPr>
            <w:r>
              <w:rPr>
                <w:b w:val="0"/>
                <w:i w:val="0"/>
                <w:sz w:val="18"/>
              </w:rPr>
              <w:t>London</w:t>
            </w:r>
            <w:r>
              <w:rPr>
                <w:sz w:val="18"/>
              </w:rPr>
              <w:br/>
            </w:r>
            <w:r>
              <w:rPr>
                <w:sz w:val="18"/>
              </w:rPr>
              <w:t xml:space="preserve"> </w:t>
            </w:r>
            <w:r>
              <w:rPr>
                <w:b w:val="0"/>
                <w:i w:val="0"/>
                <w:sz w:val="18"/>
              </w:rPr>
              <w:t>Allocated backing; interim unallocated</w:t>
            </w:r>
          </w:p>
        </w:tc>
      </w:tr>
      <w:tr>
        <w:trPr>
          <w:cantSplit/>
        </w:trPr>
        <w:tc>
          <w:tcPr>
            <w:tcW w:type="dxa" w:w="3669"/>
            <w:vAlign w:val="center"/>
            <w:tcMar>
              <w:top w:w="80" w:type="dxa"/>
              <w:bottom w:w="80" w:type="dxa"/>
              <w:left w:w="100" w:type="dxa"/>
              <w:right w:w="100" w:type="dxa"/>
            </w:tcMar>
            <w:shd w:fill="F4F7F8"/>
          </w:tcPr>
          <w:p>
            <w:pPr>
              <w:keepNext w:val="0"/>
              <w:spacing w:after="0" w:before="0" w:line="252" w:lineRule="auto"/>
            </w:pPr>
            <w:r>
              <w:rPr>
                <w:b w:val="0"/>
                <w:i w:val="0"/>
                <w:sz w:val="18"/>
              </w:rPr>
              <w:t>SSLN / ISLN</w:t>
            </w:r>
            <w:r>
              <w:rPr>
                <w:sz w:val="18"/>
              </w:rPr>
              <w:br/>
            </w:r>
            <w:r>
              <w:rPr>
                <w:sz w:val="18"/>
              </w:rPr>
              <w:t xml:space="preserve"> </w:t>
            </w:r>
            <w:r>
              <w:rPr>
                <w:b w:val="0"/>
                <w:i w:val="0"/>
                <w:sz w:val="18"/>
              </w:rPr>
              <w:t>iShares Physical Silver ETC</w:t>
            </w:r>
            <w:r>
              <w:rPr>
                <w:sz w:val="18"/>
              </w:rPr>
              <w:br/>
            </w:r>
            <w:r>
              <w:rPr>
                <w:sz w:val="18"/>
              </w:rPr>
              <w:t xml:space="preserve"> </w:t>
            </w:r>
            <w:r>
              <w:rPr>
                <w:b w:val="0"/>
                <w:i w:val="0"/>
                <w:sz w:val="18"/>
              </w:rPr>
              <w:t>Silver</w:t>
            </w:r>
          </w:p>
        </w:tc>
        <w:tc>
          <w:tcPr>
            <w:tcW w:type="dxa" w:w="1761"/>
            <w:vAlign w:val="center"/>
            <w:tcMar>
              <w:top w:w="80" w:type="dxa"/>
              <w:bottom w:w="80" w:type="dxa"/>
              <w:left w:w="100" w:type="dxa"/>
              <w:right w:w="100" w:type="dxa"/>
            </w:tcMar>
            <w:shd w:fill="F4F7F8"/>
          </w:tcPr>
          <w:p>
            <w:pPr>
              <w:keepNext w:val="0"/>
              <w:spacing w:after="0" w:before="0" w:line="252" w:lineRule="auto"/>
            </w:pPr>
            <w:r>
              <w:rPr>
                <w:b/>
                <w:i w:val="0"/>
                <w:sz w:val="18"/>
              </w:rPr>
              <w:t>Ireland</w:t>
            </w:r>
            <w:r>
              <w:rPr>
                <w:sz w:val="18"/>
              </w:rPr>
              <w:br/>
            </w:r>
            <w:r>
              <w:rPr>
                <w:sz w:val="18"/>
              </w:rPr>
              <w:t xml:space="preserve"> </w:t>
            </w:r>
            <w:r>
              <w:rPr>
                <w:b w:val="0"/>
                <w:i w:val="0"/>
                <w:sz w:val="18"/>
              </w:rPr>
              <w:t>Secured ETC</w:t>
            </w:r>
          </w:p>
        </w:tc>
        <w:tc>
          <w:tcPr>
            <w:tcW w:type="dxa" w:w="2202"/>
            <w:vAlign w:val="center"/>
            <w:tcMar>
              <w:top w:w="80" w:type="dxa"/>
              <w:bottom w:w="80" w:type="dxa"/>
              <w:left w:w="100" w:type="dxa"/>
              <w:right w:w="100" w:type="dxa"/>
            </w:tcMar>
            <w:shd w:fill="F4F7F8"/>
          </w:tcPr>
          <w:p>
            <w:pPr>
              <w:keepNext w:val="0"/>
              <w:spacing w:after="0" w:before="0" w:line="252" w:lineRule="auto"/>
            </w:pPr>
            <w:r>
              <w:rPr>
                <w:b w:val="0"/>
                <w:i w:val="0"/>
                <w:sz w:val="18"/>
              </w:rPr>
              <w:t>LSE · GBP / USD</w:t>
            </w:r>
            <w:r>
              <w:rPr>
                <w:sz w:val="18"/>
              </w:rPr>
              <w:br/>
            </w:r>
            <w:r>
              <w:rPr>
                <w:sz w:val="18"/>
              </w:rPr>
              <w:t xml:space="preserve"> </w:t>
            </w:r>
            <w:r>
              <w:rPr>
                <w:b w:val="0"/>
                <w:i w:val="0"/>
                <w:sz w:val="18"/>
              </w:rPr>
              <w:t>Unhedged</w:t>
            </w:r>
          </w:p>
        </w:tc>
        <w:tc>
          <w:tcPr>
            <w:tcW w:type="dxa" w:w="2202"/>
            <w:vAlign w:val="center"/>
            <w:tcMar>
              <w:top w:w="80" w:type="dxa"/>
              <w:bottom w:w="80" w:type="dxa"/>
              <w:left w:w="100" w:type="dxa"/>
              <w:right w:w="100" w:type="dxa"/>
            </w:tcMar>
            <w:shd w:fill="F4F7F8"/>
          </w:tcPr>
          <w:p>
            <w:pPr>
              <w:keepNext w:val="0"/>
              <w:spacing w:after="0" w:before="0" w:line="252" w:lineRule="auto"/>
            </w:pPr>
            <w:r>
              <w:rPr>
                <w:b/>
                <w:i w:val="0"/>
                <w:sz w:val="18"/>
              </w:rPr>
              <w:t>USD 3.352bn</w:t>
            </w:r>
            <w:r>
              <w:rPr>
                <w:sz w:val="18"/>
              </w:rPr>
              <w:br/>
            </w:r>
            <w:r>
              <w:rPr>
                <w:sz w:val="18"/>
              </w:rPr>
              <w:t xml:space="preserve"> </w:t>
            </w:r>
            <w:r>
              <w:rPr>
                <w:b w:val="0"/>
                <w:i w:val="0"/>
                <w:sz w:val="18"/>
              </w:rPr>
              <w:t>22 Sep 2026</w:t>
            </w:r>
            <w:r>
              <w:rPr>
                <w:sz w:val="18"/>
              </w:rPr>
              <w:br/>
            </w:r>
            <w:r>
              <w:rPr>
                <w:sz w:val="18"/>
              </w:rPr>
              <w:t xml:space="preserve"> </w:t>
            </w:r>
            <w:r>
              <w:rPr>
                <w:b w:val="0"/>
                <w:i w:val="0"/>
                <w:sz w:val="18"/>
              </w:rPr>
              <w:t>Fund / trust / ETC series</w:t>
            </w:r>
          </w:p>
        </w:tc>
        <w:tc>
          <w:tcPr>
            <w:tcW w:type="dxa" w:w="1761"/>
            <w:vAlign w:val="center"/>
            <w:tcMar>
              <w:top w:w="80" w:type="dxa"/>
              <w:bottom w:w="80" w:type="dxa"/>
              <w:left w:w="100" w:type="dxa"/>
              <w:right w:w="100" w:type="dxa"/>
            </w:tcMar>
            <w:shd w:fill="F4F7F8"/>
          </w:tcPr>
          <w:p>
            <w:pPr>
              <w:keepNext w:val="0"/>
              <w:spacing w:after="0" w:before="0" w:line="252" w:lineRule="auto"/>
            </w:pPr>
            <w:r>
              <w:rPr>
                <w:b/>
                <w:i w:val="0"/>
                <w:sz w:val="18"/>
              </w:rPr>
              <w:t>0.2%</w:t>
            </w:r>
            <w:r>
              <w:rPr>
                <w:sz w:val="18"/>
              </w:rPr>
              <w:br/>
            </w:r>
            <w:r>
              <w:rPr>
                <w:b w:val="0"/>
                <w:i w:val="0"/>
                <w:sz w:val="18"/>
              </w:rPr>
              <w:t>TER</w:t>
            </w:r>
          </w:p>
        </w:tc>
        <w:tc>
          <w:tcPr>
            <w:tcW w:type="dxa" w:w="3082"/>
            <w:vAlign w:val="center"/>
            <w:tcMar>
              <w:top w:w="80" w:type="dxa"/>
              <w:bottom w:w="80" w:type="dxa"/>
              <w:left w:w="100" w:type="dxa"/>
              <w:right w:w="100" w:type="dxa"/>
            </w:tcMar>
            <w:shd w:fill="F4F7F8"/>
          </w:tcPr>
          <w:p>
            <w:pPr>
              <w:keepNext w:val="0"/>
              <w:spacing w:after="0" w:before="0" w:line="252" w:lineRule="auto"/>
            </w:pPr>
            <w:r>
              <w:rPr>
                <w:b w:val="0"/>
                <w:i w:val="0"/>
                <w:sz w:val="18"/>
              </w:rPr>
              <w:t>London</w:t>
            </w:r>
            <w:r>
              <w:rPr>
                <w:sz w:val="18"/>
              </w:rPr>
              <w:br/>
            </w:r>
            <w:r>
              <w:rPr>
                <w:sz w:val="18"/>
              </w:rPr>
              <w:t xml:space="preserve"> </w:t>
            </w:r>
            <w:r>
              <w:rPr>
                <w:b w:val="0"/>
                <w:i w:val="0"/>
                <w:sz w:val="18"/>
              </w:rPr>
              <w:t>Allocated backing; interim unallocated</w:t>
            </w:r>
          </w:p>
        </w:tc>
      </w:tr>
      <w:tr>
        <w:trPr>
          <w:cantSplit/>
        </w:trPr>
        <w:tc>
          <w:tcPr>
            <w:tcW w:type="dxa" w:w="3669"/>
            <w:vAlign w:val="center"/>
            <w:tcMar>
              <w:top w:w="80" w:type="dxa"/>
              <w:bottom w:w="80" w:type="dxa"/>
              <w:left w:w="100" w:type="dxa"/>
              <w:right w:w="100" w:type="dxa"/>
            </w:tcMar>
            <w:shd w:fill="FFFFFF"/>
          </w:tcPr>
          <w:p>
            <w:pPr>
              <w:keepNext w:val="0"/>
              <w:spacing w:after="0" w:before="0" w:line="252" w:lineRule="auto"/>
            </w:pPr>
            <w:r>
              <w:rPr>
                <w:b w:val="0"/>
                <w:i w:val="0"/>
                <w:sz w:val="18"/>
              </w:rPr>
              <w:t>SPLT / IPLT</w:t>
            </w:r>
            <w:r>
              <w:rPr>
                <w:sz w:val="18"/>
              </w:rPr>
              <w:br/>
            </w:r>
            <w:r>
              <w:rPr>
                <w:sz w:val="18"/>
              </w:rPr>
              <w:t xml:space="preserve"> </w:t>
            </w:r>
            <w:r>
              <w:rPr>
                <w:b w:val="0"/>
                <w:i w:val="0"/>
                <w:sz w:val="18"/>
              </w:rPr>
              <w:t>iShares Physical Platinum ETC</w:t>
            </w:r>
            <w:r>
              <w:rPr>
                <w:sz w:val="18"/>
              </w:rPr>
              <w:br/>
            </w:r>
            <w:r>
              <w:rPr>
                <w:sz w:val="18"/>
              </w:rPr>
              <w:t xml:space="preserve"> </w:t>
            </w:r>
            <w:r>
              <w:rPr>
                <w:b w:val="0"/>
                <w:i w:val="0"/>
                <w:sz w:val="18"/>
              </w:rPr>
              <w:t>Platinum</w:t>
            </w:r>
          </w:p>
        </w:tc>
        <w:tc>
          <w:tcPr>
            <w:tcW w:type="dxa" w:w="1761"/>
            <w:vAlign w:val="center"/>
            <w:tcMar>
              <w:top w:w="80" w:type="dxa"/>
              <w:bottom w:w="80" w:type="dxa"/>
              <w:left w:w="100" w:type="dxa"/>
              <w:right w:w="100" w:type="dxa"/>
            </w:tcMar>
            <w:shd w:fill="FFFFFF"/>
          </w:tcPr>
          <w:p>
            <w:pPr>
              <w:keepNext w:val="0"/>
              <w:spacing w:after="0" w:before="0" w:line="252" w:lineRule="auto"/>
            </w:pPr>
            <w:r>
              <w:rPr>
                <w:b/>
                <w:i w:val="0"/>
                <w:sz w:val="18"/>
              </w:rPr>
              <w:t>Ireland</w:t>
            </w:r>
            <w:r>
              <w:rPr>
                <w:sz w:val="18"/>
              </w:rPr>
              <w:br/>
            </w:r>
            <w:r>
              <w:rPr>
                <w:sz w:val="18"/>
              </w:rPr>
              <w:t xml:space="preserve"> </w:t>
            </w:r>
            <w:r>
              <w:rPr>
                <w:b w:val="0"/>
                <w:i w:val="0"/>
                <w:sz w:val="18"/>
              </w:rPr>
              <w:t>Secured ETC</w:t>
            </w:r>
          </w:p>
        </w:tc>
        <w:tc>
          <w:tcPr>
            <w:tcW w:type="dxa" w:w="2202"/>
            <w:vAlign w:val="center"/>
            <w:tcMar>
              <w:top w:w="80" w:type="dxa"/>
              <w:bottom w:w="80" w:type="dxa"/>
              <w:left w:w="100" w:type="dxa"/>
              <w:right w:w="100" w:type="dxa"/>
            </w:tcMar>
            <w:shd w:fill="FFFFFF"/>
          </w:tcPr>
          <w:p>
            <w:pPr>
              <w:keepNext w:val="0"/>
              <w:spacing w:after="0" w:before="0" w:line="252" w:lineRule="auto"/>
            </w:pPr>
            <w:r>
              <w:rPr>
                <w:b w:val="0"/>
                <w:i w:val="0"/>
                <w:sz w:val="18"/>
              </w:rPr>
              <w:t>LSE · GBP / USD</w:t>
            </w:r>
            <w:r>
              <w:rPr>
                <w:sz w:val="18"/>
              </w:rPr>
              <w:br/>
            </w:r>
            <w:r>
              <w:rPr>
                <w:sz w:val="18"/>
              </w:rPr>
              <w:t xml:space="preserve"> </w:t>
            </w:r>
            <w:r>
              <w:rPr>
                <w:b w:val="0"/>
                <w:i w:val="0"/>
                <w:sz w:val="18"/>
              </w:rPr>
              <w:t>Unhedged</w:t>
            </w:r>
          </w:p>
        </w:tc>
        <w:tc>
          <w:tcPr>
            <w:tcW w:type="dxa" w:w="2202"/>
            <w:vAlign w:val="center"/>
            <w:tcMar>
              <w:top w:w="80" w:type="dxa"/>
              <w:bottom w:w="80" w:type="dxa"/>
              <w:left w:w="100" w:type="dxa"/>
              <w:right w:w="100" w:type="dxa"/>
            </w:tcMar>
            <w:shd w:fill="FFFFFF"/>
          </w:tcPr>
          <w:p>
            <w:pPr>
              <w:keepNext w:val="0"/>
              <w:spacing w:after="0" w:before="0" w:line="252" w:lineRule="auto"/>
            </w:pPr>
            <w:r>
              <w:rPr>
                <w:b/>
                <w:i w:val="0"/>
                <w:sz w:val="18"/>
              </w:rPr>
              <w:t>USD 367.31m</w:t>
            </w:r>
            <w:r>
              <w:rPr>
                <w:sz w:val="18"/>
              </w:rPr>
              <w:br/>
            </w:r>
            <w:r>
              <w:rPr>
                <w:sz w:val="18"/>
              </w:rPr>
              <w:t xml:space="preserve"> </w:t>
            </w:r>
            <w:r>
              <w:rPr>
                <w:b w:val="0"/>
                <w:i w:val="0"/>
                <w:sz w:val="18"/>
              </w:rPr>
              <w:t>22 Sep 2026</w:t>
            </w:r>
            <w:r>
              <w:rPr>
                <w:sz w:val="18"/>
              </w:rPr>
              <w:br/>
            </w:r>
            <w:r>
              <w:rPr>
                <w:sz w:val="18"/>
              </w:rPr>
              <w:t xml:space="preserve"> </w:t>
            </w:r>
            <w:r>
              <w:rPr>
                <w:b w:val="0"/>
                <w:i w:val="0"/>
                <w:sz w:val="18"/>
              </w:rPr>
              <w:t>Fund / trust / ETC series</w:t>
            </w:r>
          </w:p>
        </w:tc>
        <w:tc>
          <w:tcPr>
            <w:tcW w:type="dxa" w:w="1761"/>
            <w:vAlign w:val="center"/>
            <w:tcMar>
              <w:top w:w="80" w:type="dxa"/>
              <w:bottom w:w="80" w:type="dxa"/>
              <w:left w:w="100" w:type="dxa"/>
              <w:right w:w="100" w:type="dxa"/>
            </w:tcMar>
            <w:shd w:fill="FFFFFF"/>
          </w:tcPr>
          <w:p>
            <w:pPr>
              <w:keepNext w:val="0"/>
              <w:spacing w:after="0" w:before="0" w:line="252" w:lineRule="auto"/>
            </w:pPr>
            <w:r>
              <w:rPr>
                <w:b/>
                <w:i w:val="0"/>
                <w:sz w:val="18"/>
              </w:rPr>
              <w:t>0.2%</w:t>
            </w:r>
            <w:r>
              <w:rPr>
                <w:sz w:val="18"/>
              </w:rPr>
              <w:br/>
            </w:r>
            <w:r>
              <w:rPr>
                <w:b w:val="0"/>
                <w:i w:val="0"/>
                <w:sz w:val="18"/>
              </w:rPr>
              <w:t>TER</w:t>
            </w:r>
          </w:p>
        </w:tc>
        <w:tc>
          <w:tcPr>
            <w:tcW w:type="dxa" w:w="3082"/>
            <w:vAlign w:val="center"/>
            <w:tcMar>
              <w:top w:w="80" w:type="dxa"/>
              <w:bottom w:w="80" w:type="dxa"/>
              <w:left w:w="100" w:type="dxa"/>
              <w:right w:w="100" w:type="dxa"/>
            </w:tcMar>
            <w:shd w:fill="FFFFFF"/>
          </w:tcPr>
          <w:p>
            <w:pPr>
              <w:keepNext w:val="0"/>
              <w:spacing w:after="0" w:before="0" w:line="252" w:lineRule="auto"/>
            </w:pPr>
            <w:r>
              <w:rPr>
                <w:b w:val="0"/>
                <w:i w:val="0"/>
                <w:sz w:val="18"/>
              </w:rPr>
              <w:t>London / Zurich*</w:t>
            </w:r>
            <w:r>
              <w:rPr>
                <w:sz w:val="18"/>
              </w:rPr>
              <w:br/>
            </w:r>
            <w:r>
              <w:rPr>
                <w:b w:val="0"/>
                <w:i w:val="0"/>
                <w:sz w:val="18"/>
              </w:rPr>
              <w:t>Allocated backing; interim unallocated</w:t>
            </w:r>
          </w:p>
        </w:tc>
      </w:tr>
      <w:tr>
        <w:trPr>
          <w:cantSplit/>
        </w:trPr>
        <w:tc>
          <w:tcPr>
            <w:tcW w:type="dxa" w:w="3669"/>
            <w:vAlign w:val="center"/>
            <w:tcMar>
              <w:top w:w="80" w:type="dxa"/>
              <w:bottom w:w="80" w:type="dxa"/>
              <w:left w:w="100" w:type="dxa"/>
              <w:right w:w="100" w:type="dxa"/>
            </w:tcMar>
            <w:shd w:fill="F4F7F8"/>
          </w:tcPr>
          <w:p>
            <w:pPr>
              <w:keepNext w:val="0"/>
              <w:spacing w:after="0" w:before="0" w:line="252" w:lineRule="auto"/>
            </w:pPr>
            <w:r>
              <w:rPr>
                <w:b w:val="0"/>
                <w:i w:val="0"/>
                <w:sz w:val="18"/>
              </w:rPr>
              <w:t>SPDM / IPDM</w:t>
            </w:r>
            <w:r>
              <w:rPr>
                <w:sz w:val="18"/>
              </w:rPr>
              <w:br/>
            </w:r>
            <w:r>
              <w:rPr>
                <w:sz w:val="18"/>
              </w:rPr>
              <w:t xml:space="preserve"> </w:t>
            </w:r>
            <w:r>
              <w:rPr>
                <w:b w:val="0"/>
                <w:i w:val="0"/>
                <w:sz w:val="18"/>
              </w:rPr>
              <w:t>iShares Physical Palladium ETC</w:t>
            </w:r>
            <w:r>
              <w:rPr>
                <w:sz w:val="18"/>
              </w:rPr>
              <w:br/>
            </w:r>
            <w:r>
              <w:rPr>
                <w:sz w:val="18"/>
              </w:rPr>
              <w:t xml:space="preserve"> </w:t>
            </w:r>
            <w:r>
              <w:rPr>
                <w:b w:val="0"/>
                <w:i w:val="0"/>
                <w:sz w:val="18"/>
              </w:rPr>
              <w:t>Palladium</w:t>
            </w:r>
          </w:p>
        </w:tc>
        <w:tc>
          <w:tcPr>
            <w:tcW w:type="dxa" w:w="1761"/>
            <w:vAlign w:val="center"/>
            <w:tcMar>
              <w:top w:w="80" w:type="dxa"/>
              <w:bottom w:w="80" w:type="dxa"/>
              <w:left w:w="100" w:type="dxa"/>
              <w:right w:w="100" w:type="dxa"/>
            </w:tcMar>
            <w:shd w:fill="F4F7F8"/>
          </w:tcPr>
          <w:p>
            <w:pPr>
              <w:keepNext w:val="0"/>
              <w:spacing w:after="0" w:before="0" w:line="252" w:lineRule="auto"/>
            </w:pPr>
            <w:r>
              <w:rPr>
                <w:b/>
                <w:i w:val="0"/>
                <w:sz w:val="18"/>
              </w:rPr>
              <w:t>Ireland</w:t>
            </w:r>
            <w:r>
              <w:rPr>
                <w:sz w:val="18"/>
              </w:rPr>
              <w:br/>
            </w:r>
            <w:r>
              <w:rPr>
                <w:sz w:val="18"/>
              </w:rPr>
              <w:t xml:space="preserve"> </w:t>
            </w:r>
            <w:r>
              <w:rPr>
                <w:b w:val="0"/>
                <w:i w:val="0"/>
                <w:sz w:val="18"/>
              </w:rPr>
              <w:t>Secured ETC</w:t>
            </w:r>
          </w:p>
        </w:tc>
        <w:tc>
          <w:tcPr>
            <w:tcW w:type="dxa" w:w="2202"/>
            <w:vAlign w:val="center"/>
            <w:tcMar>
              <w:top w:w="80" w:type="dxa"/>
              <w:bottom w:w="80" w:type="dxa"/>
              <w:left w:w="100" w:type="dxa"/>
              <w:right w:w="100" w:type="dxa"/>
            </w:tcMar>
            <w:shd w:fill="F4F7F8"/>
          </w:tcPr>
          <w:p>
            <w:pPr>
              <w:keepNext w:val="0"/>
              <w:spacing w:after="0" w:before="0" w:line="252" w:lineRule="auto"/>
            </w:pPr>
            <w:r>
              <w:rPr>
                <w:b w:val="0"/>
                <w:i w:val="0"/>
                <w:sz w:val="18"/>
              </w:rPr>
              <w:t>LSE · GBP / USD</w:t>
            </w:r>
            <w:r>
              <w:rPr>
                <w:sz w:val="18"/>
              </w:rPr>
              <w:br/>
            </w:r>
            <w:r>
              <w:rPr>
                <w:sz w:val="18"/>
              </w:rPr>
              <w:t xml:space="preserve"> </w:t>
            </w:r>
            <w:r>
              <w:rPr>
                <w:b w:val="0"/>
                <w:i w:val="0"/>
                <w:sz w:val="18"/>
              </w:rPr>
              <w:t>Unhedged</w:t>
            </w:r>
          </w:p>
        </w:tc>
        <w:tc>
          <w:tcPr>
            <w:tcW w:type="dxa" w:w="2202"/>
            <w:vAlign w:val="center"/>
            <w:tcMar>
              <w:top w:w="80" w:type="dxa"/>
              <w:bottom w:w="80" w:type="dxa"/>
              <w:left w:w="100" w:type="dxa"/>
              <w:right w:w="100" w:type="dxa"/>
            </w:tcMar>
            <w:shd w:fill="F4F7F8"/>
          </w:tcPr>
          <w:p>
            <w:pPr>
              <w:keepNext w:val="0"/>
              <w:spacing w:after="0" w:before="0" w:line="252" w:lineRule="auto"/>
            </w:pPr>
            <w:r>
              <w:rPr>
                <w:b/>
                <w:i w:val="0"/>
                <w:sz w:val="18"/>
              </w:rPr>
              <w:t>USD 76.41m</w:t>
            </w:r>
            <w:r>
              <w:rPr>
                <w:sz w:val="18"/>
              </w:rPr>
              <w:br/>
            </w:r>
            <w:r>
              <w:rPr>
                <w:sz w:val="18"/>
              </w:rPr>
              <w:t xml:space="preserve"> </w:t>
            </w:r>
            <w:r>
              <w:rPr>
                <w:b w:val="0"/>
                <w:i w:val="0"/>
                <w:sz w:val="18"/>
              </w:rPr>
              <w:t>22 Sep 2026</w:t>
            </w:r>
            <w:r>
              <w:rPr>
                <w:sz w:val="18"/>
              </w:rPr>
              <w:br/>
            </w:r>
            <w:r>
              <w:rPr>
                <w:sz w:val="18"/>
              </w:rPr>
              <w:t xml:space="preserve"> </w:t>
            </w:r>
            <w:r>
              <w:rPr>
                <w:b w:val="0"/>
                <w:i w:val="0"/>
                <w:sz w:val="18"/>
              </w:rPr>
              <w:t>Fund / trust / ETC series</w:t>
            </w:r>
          </w:p>
        </w:tc>
        <w:tc>
          <w:tcPr>
            <w:tcW w:type="dxa" w:w="1761"/>
            <w:vAlign w:val="center"/>
            <w:tcMar>
              <w:top w:w="80" w:type="dxa"/>
              <w:bottom w:w="80" w:type="dxa"/>
              <w:left w:w="100" w:type="dxa"/>
              <w:right w:w="100" w:type="dxa"/>
            </w:tcMar>
            <w:shd w:fill="F4F7F8"/>
          </w:tcPr>
          <w:p>
            <w:pPr>
              <w:keepNext w:val="0"/>
              <w:spacing w:after="0" w:before="0" w:line="252" w:lineRule="auto"/>
            </w:pPr>
            <w:r>
              <w:rPr>
                <w:b/>
                <w:i w:val="0"/>
                <w:sz w:val="18"/>
              </w:rPr>
              <w:t>0.2%</w:t>
            </w:r>
            <w:r>
              <w:rPr>
                <w:sz w:val="18"/>
              </w:rPr>
              <w:br/>
            </w:r>
            <w:r>
              <w:rPr>
                <w:b w:val="0"/>
                <w:i w:val="0"/>
                <w:sz w:val="18"/>
              </w:rPr>
              <w:t>TER</w:t>
            </w:r>
          </w:p>
        </w:tc>
        <w:tc>
          <w:tcPr>
            <w:tcW w:type="dxa" w:w="3082"/>
            <w:vAlign w:val="center"/>
            <w:tcMar>
              <w:top w:w="80" w:type="dxa"/>
              <w:bottom w:w="80" w:type="dxa"/>
              <w:left w:w="100" w:type="dxa"/>
              <w:right w:w="100" w:type="dxa"/>
            </w:tcMar>
            <w:shd w:fill="F4F7F8"/>
          </w:tcPr>
          <w:p>
            <w:pPr>
              <w:keepNext w:val="0"/>
              <w:spacing w:after="0" w:before="0" w:line="252" w:lineRule="auto"/>
            </w:pPr>
            <w:r>
              <w:rPr>
                <w:b w:val="0"/>
                <w:i w:val="0"/>
                <w:sz w:val="18"/>
              </w:rPr>
              <w:t>London / Zurich*</w:t>
            </w:r>
            <w:r>
              <w:rPr>
                <w:sz w:val="18"/>
              </w:rPr>
              <w:br/>
            </w:r>
            <w:r>
              <w:rPr>
                <w:b w:val="0"/>
                <w:i w:val="0"/>
                <w:sz w:val="18"/>
              </w:rPr>
              <w:t>Allocated backing; interim unallocated</w:t>
            </w:r>
          </w:p>
        </w:tc>
      </w:tr>
    </w:tbl>
    <w:p>
      <w:pPr>
        <w:spacing w:after="60" w:before="0" w:line="40" w:lineRule="exact"/>
      </w:pPr>
      <w:r>
        <w:rPr>
          <w:sz w:val="4"/>
        </w:rPr>
      </w:r>
    </w:p>
    <w:p>
      <w:pPr>
        <w:spacing w:after="100"/>
      </w:pPr>
      <w:r>
        <w:rPr>
          <w:b w:val="0"/>
          <w:sz w:val="18"/>
        </w:rPr>
        <w:t>Native currency and valuation date retained. Fees follow the issuer’s stated basis. Location permissions and underlying structure are qualified in the detailed product records.</w:t>
      </w:r>
    </w:p>
    <w:p>
      <w:r>
        <w:br w:type="page"/>
      </w:r>
    </w:p>
    <w:p>
      <w:pPr>
        <w:pStyle w:val="Heading1"/>
        <w:pageBreakBefore w:val="0"/>
      </w:pPr>
      <w:r>
        <w:t>Two separate currency-hedged gold series</w:t>
      </w:r>
    </w:p>
    <w:p>
      <w:r>
        <w:rPr>
          <w:b w:val="0"/>
          <w:i w:val="0"/>
        </w:rPr>
        <w:t>EUR and GBP hedging each carry a 0.25% TER. These ETC series have their own metal entitlements and assets.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69"/>
        <w:gridCol w:w="1761"/>
        <w:gridCol w:w="2202"/>
        <w:gridCol w:w="2202"/>
        <w:gridCol w:w="1761"/>
        <w:gridCol w:w="3082"/>
      </w:tblGrid>
      <w:tr>
        <w:trPr>
          <w:tblHeader/>
          <w:cantSplit/>
        </w:trPr>
        <w:tc>
          <w:tcPr>
            <w:tcW w:type="dxa" w:w="3669"/>
            <w:vAlign w:val="center"/>
            <w:tcMar>
              <w:top w:w="80" w:type="dxa"/>
              <w:bottom w:w="80" w:type="dxa"/>
              <w:left w:w="100" w:type="dxa"/>
              <w:right w:w="100" w:type="dxa"/>
            </w:tcMar>
            <w:shd w:fill="DCE6EB"/>
          </w:tcPr>
          <w:p>
            <w:pPr>
              <w:keepNext/>
              <w:spacing w:after="0" w:before="0" w:line="252" w:lineRule="auto"/>
            </w:pPr>
            <w:r>
              <w:rPr>
                <w:b/>
                <w:i w:val="0"/>
                <w:sz w:val="18"/>
              </w:rPr>
              <w:t>Product / trading ticker</w:t>
            </w:r>
          </w:p>
        </w:tc>
        <w:tc>
          <w:tcPr>
            <w:tcW w:type="dxa" w:w="1761"/>
            <w:vAlign w:val="center"/>
            <w:tcMar>
              <w:top w:w="80" w:type="dxa"/>
              <w:bottom w:w="80" w:type="dxa"/>
              <w:left w:w="100" w:type="dxa"/>
              <w:right w:w="100" w:type="dxa"/>
            </w:tcMar>
            <w:shd w:fill="DCE6EB"/>
          </w:tcPr>
          <w:p>
            <w:pPr>
              <w:keepNext/>
              <w:spacing w:after="0" w:before="0" w:line="252" w:lineRule="auto"/>
            </w:pPr>
            <w:r>
              <w:rPr>
                <w:b/>
                <w:i w:val="0"/>
                <w:sz w:val="18"/>
              </w:rPr>
              <w:t>Domicile / form</w:t>
            </w:r>
          </w:p>
        </w:tc>
        <w:tc>
          <w:tcPr>
            <w:tcW w:type="dxa" w:w="2202"/>
            <w:vAlign w:val="center"/>
            <w:tcMar>
              <w:top w:w="80" w:type="dxa"/>
              <w:bottom w:w="80" w:type="dxa"/>
              <w:left w:w="100" w:type="dxa"/>
              <w:right w:w="100" w:type="dxa"/>
            </w:tcMar>
            <w:shd w:fill="DCE6EB"/>
          </w:tcPr>
          <w:p>
            <w:pPr>
              <w:keepNext/>
              <w:spacing w:after="0" w:before="0" w:line="252" w:lineRule="auto"/>
            </w:pPr>
            <w:r>
              <w:rPr>
                <w:b/>
                <w:i w:val="0"/>
                <w:sz w:val="18"/>
              </w:rPr>
              <w:t>Selected market / hedge</w:t>
            </w:r>
          </w:p>
        </w:tc>
        <w:tc>
          <w:tcPr>
            <w:tcW w:type="dxa" w:w="2202"/>
            <w:vAlign w:val="center"/>
            <w:tcMar>
              <w:top w:w="80" w:type="dxa"/>
              <w:bottom w:w="80" w:type="dxa"/>
              <w:left w:w="100" w:type="dxa"/>
              <w:right w:w="100" w:type="dxa"/>
            </w:tcMar>
            <w:shd w:fill="DCE6EB"/>
          </w:tcPr>
          <w:p>
            <w:pPr>
              <w:keepNext/>
              <w:spacing w:after="0" w:before="0" w:line="252" w:lineRule="auto"/>
            </w:pPr>
            <w:r>
              <w:rPr>
                <w:b/>
                <w:i w:val="0"/>
                <w:sz w:val="18"/>
              </w:rPr>
              <w:t>Net assets¹</w:t>
            </w:r>
          </w:p>
        </w:tc>
        <w:tc>
          <w:tcPr>
            <w:tcW w:type="dxa" w:w="1761"/>
            <w:vAlign w:val="center"/>
            <w:tcMar>
              <w:top w:w="80" w:type="dxa"/>
              <w:bottom w:w="80" w:type="dxa"/>
              <w:left w:w="100" w:type="dxa"/>
              <w:right w:w="100" w:type="dxa"/>
            </w:tcMar>
            <w:shd w:fill="DCE6EB"/>
          </w:tcPr>
          <w:p>
            <w:pPr>
              <w:keepNext/>
              <w:spacing w:after="0" w:before="0" w:line="252" w:lineRule="auto"/>
            </w:pPr>
            <w:r>
              <w:rPr>
                <w:b/>
                <w:i w:val="0"/>
                <w:sz w:val="18"/>
              </w:rPr>
              <w:t>Annual fee²</w:t>
            </w:r>
          </w:p>
        </w:tc>
        <w:tc>
          <w:tcPr>
            <w:tcW w:type="dxa" w:w="3082"/>
            <w:vAlign w:val="center"/>
            <w:tcMar>
              <w:top w:w="80" w:type="dxa"/>
              <w:bottom w:w="80" w:type="dxa"/>
              <w:left w:w="100" w:type="dxa"/>
              <w:right w:w="100" w:type="dxa"/>
            </w:tcMar>
            <w:shd w:fill="DCE6EB"/>
          </w:tcPr>
          <w:p>
            <w:pPr>
              <w:keepNext/>
              <w:spacing w:after="0" w:before="0" w:line="252" w:lineRule="auto"/>
            </w:pPr>
            <w:r>
              <w:rPr>
                <w:b/>
                <w:i w:val="0"/>
                <w:sz w:val="18"/>
              </w:rPr>
              <w:t>Bullion location³ / allocation</w:t>
            </w:r>
          </w:p>
        </w:tc>
      </w:tr>
      <w:tr>
        <w:trPr>
          <w:cantSplit/>
        </w:trPr>
        <w:tc>
          <w:tcPr>
            <w:tcW w:type="dxa" w:w="3669"/>
            <w:vAlign w:val="center"/>
            <w:tcMar>
              <w:top w:w="80" w:type="dxa"/>
              <w:bottom w:w="80" w:type="dxa"/>
              <w:left w:w="100" w:type="dxa"/>
              <w:right w:w="100" w:type="dxa"/>
            </w:tcMar>
            <w:shd w:fill="FFFFFF"/>
          </w:tcPr>
          <w:p>
            <w:pPr>
              <w:keepNext w:val="0"/>
              <w:spacing w:after="0" w:before="0" w:line="252" w:lineRule="auto"/>
            </w:pPr>
            <w:r>
              <w:rPr>
                <w:b w:val="0"/>
                <w:i w:val="0"/>
                <w:sz w:val="18"/>
              </w:rPr>
              <w:t>IGLD</w:t>
            </w:r>
            <w:r>
              <w:rPr>
                <w:sz w:val="18"/>
              </w:rPr>
              <w:br/>
            </w:r>
            <w:r>
              <w:rPr>
                <w:sz w:val="18"/>
              </w:rPr>
              <w:t xml:space="preserve"> </w:t>
            </w:r>
            <w:r>
              <w:rPr>
                <w:b w:val="0"/>
                <w:i w:val="0"/>
                <w:sz w:val="18"/>
              </w:rPr>
              <w:t>iShares Physical Gold EUR Hedged ETC</w:t>
            </w:r>
            <w:r>
              <w:rPr>
                <w:sz w:val="18"/>
              </w:rPr>
              <w:br/>
            </w:r>
            <w:r>
              <w:rPr>
                <w:sz w:val="18"/>
              </w:rPr>
              <w:t xml:space="preserve"> </w:t>
            </w:r>
            <w:r>
              <w:rPr>
                <w:b w:val="0"/>
                <w:i w:val="0"/>
                <w:sz w:val="18"/>
              </w:rPr>
              <w:t>Gold</w:t>
            </w:r>
          </w:p>
        </w:tc>
        <w:tc>
          <w:tcPr>
            <w:tcW w:type="dxa" w:w="1761"/>
            <w:vAlign w:val="center"/>
            <w:tcMar>
              <w:top w:w="80" w:type="dxa"/>
              <w:bottom w:w="80" w:type="dxa"/>
              <w:left w:w="100" w:type="dxa"/>
              <w:right w:w="100" w:type="dxa"/>
            </w:tcMar>
            <w:shd w:fill="FFFFFF"/>
          </w:tcPr>
          <w:p>
            <w:pPr>
              <w:keepNext w:val="0"/>
              <w:spacing w:after="0" w:before="0" w:line="252" w:lineRule="auto"/>
            </w:pPr>
            <w:r>
              <w:rPr>
                <w:b/>
                <w:i w:val="0"/>
                <w:sz w:val="18"/>
              </w:rPr>
              <w:t>Ireland</w:t>
            </w:r>
            <w:r>
              <w:rPr>
                <w:sz w:val="18"/>
              </w:rPr>
              <w:br/>
            </w:r>
            <w:r>
              <w:rPr>
                <w:sz w:val="18"/>
              </w:rPr>
              <w:t xml:space="preserve"> </w:t>
            </w:r>
            <w:r>
              <w:rPr>
                <w:b w:val="0"/>
                <w:i w:val="0"/>
                <w:sz w:val="18"/>
              </w:rPr>
              <w:t>Secured ETC</w:t>
            </w:r>
          </w:p>
        </w:tc>
        <w:tc>
          <w:tcPr>
            <w:tcW w:type="dxa" w:w="2202"/>
            <w:vAlign w:val="center"/>
            <w:tcMar>
              <w:top w:w="80" w:type="dxa"/>
              <w:bottom w:w="80" w:type="dxa"/>
              <w:left w:w="100" w:type="dxa"/>
              <w:right w:w="100" w:type="dxa"/>
            </w:tcMar>
            <w:shd w:fill="FFFFFF"/>
          </w:tcPr>
          <w:p>
            <w:pPr>
              <w:keepNext w:val="0"/>
              <w:spacing w:after="0" w:before="0" w:line="252" w:lineRule="auto"/>
            </w:pPr>
            <w:r>
              <w:rPr>
                <w:b w:val="0"/>
                <w:i w:val="0"/>
                <w:sz w:val="18"/>
              </w:rPr>
              <w:t>Xetra · EUR</w:t>
            </w:r>
            <w:r>
              <w:rPr>
                <w:sz w:val="18"/>
              </w:rPr>
              <w:br/>
            </w:r>
            <w:r>
              <w:rPr>
                <w:sz w:val="18"/>
              </w:rPr>
              <w:t xml:space="preserve"> </w:t>
            </w:r>
            <w:r>
              <w:rPr>
                <w:b w:val="0"/>
                <w:i w:val="0"/>
                <w:sz w:val="18"/>
              </w:rPr>
              <w:t>EUR hedged</w:t>
            </w:r>
          </w:p>
        </w:tc>
        <w:tc>
          <w:tcPr>
            <w:tcW w:type="dxa" w:w="2202"/>
            <w:vAlign w:val="center"/>
            <w:tcMar>
              <w:top w:w="80" w:type="dxa"/>
              <w:bottom w:w="80" w:type="dxa"/>
              <w:left w:w="100" w:type="dxa"/>
              <w:right w:w="100" w:type="dxa"/>
            </w:tcMar>
            <w:shd w:fill="FFFFFF"/>
          </w:tcPr>
          <w:p>
            <w:pPr>
              <w:keepNext w:val="0"/>
              <w:spacing w:after="0" w:before="0" w:line="252" w:lineRule="auto"/>
            </w:pPr>
            <w:r>
              <w:rPr>
                <w:b/>
                <w:i w:val="0"/>
                <w:sz w:val="18"/>
              </w:rPr>
              <w:t>EUR 666.82m</w:t>
            </w:r>
            <w:r>
              <w:rPr>
                <w:sz w:val="18"/>
              </w:rPr>
              <w:br/>
            </w:r>
            <w:r>
              <w:rPr>
                <w:sz w:val="18"/>
              </w:rPr>
              <w:t xml:space="preserve"> </w:t>
            </w:r>
            <w:r>
              <w:rPr>
                <w:b w:val="0"/>
                <w:i w:val="0"/>
                <w:sz w:val="18"/>
              </w:rPr>
              <w:t>22 Sep 2026</w:t>
            </w:r>
            <w:r>
              <w:rPr>
                <w:sz w:val="18"/>
              </w:rPr>
              <w:br/>
            </w:r>
            <w:r>
              <w:rPr>
                <w:sz w:val="18"/>
              </w:rPr>
              <w:t xml:space="preserve"> </w:t>
            </w:r>
            <w:r>
              <w:rPr>
                <w:b w:val="0"/>
                <w:i w:val="0"/>
                <w:sz w:val="18"/>
              </w:rPr>
              <w:t>Fund / trust / ETC series</w:t>
            </w:r>
          </w:p>
        </w:tc>
        <w:tc>
          <w:tcPr>
            <w:tcW w:type="dxa" w:w="1761"/>
            <w:vAlign w:val="center"/>
            <w:tcMar>
              <w:top w:w="80" w:type="dxa"/>
              <w:bottom w:w="80" w:type="dxa"/>
              <w:left w:w="100" w:type="dxa"/>
              <w:right w:w="100" w:type="dxa"/>
            </w:tcMar>
            <w:shd w:fill="FFFFFF"/>
          </w:tcPr>
          <w:p>
            <w:pPr>
              <w:keepNext w:val="0"/>
              <w:spacing w:after="0" w:before="0" w:line="252" w:lineRule="auto"/>
            </w:pPr>
            <w:r>
              <w:rPr>
                <w:b/>
                <w:i w:val="0"/>
                <w:sz w:val="18"/>
              </w:rPr>
              <w:t>0.25%</w:t>
            </w:r>
            <w:r>
              <w:rPr>
                <w:sz w:val="18"/>
              </w:rPr>
              <w:br/>
            </w:r>
            <w:r>
              <w:rPr>
                <w:b w:val="0"/>
                <w:i w:val="0"/>
                <w:sz w:val="18"/>
              </w:rPr>
              <w:t>TER</w:t>
            </w:r>
          </w:p>
        </w:tc>
        <w:tc>
          <w:tcPr>
            <w:tcW w:type="dxa" w:w="3082"/>
            <w:vAlign w:val="center"/>
            <w:tcMar>
              <w:top w:w="80" w:type="dxa"/>
              <w:bottom w:w="80" w:type="dxa"/>
              <w:left w:w="100" w:type="dxa"/>
              <w:right w:w="100" w:type="dxa"/>
            </w:tcMar>
            <w:shd w:fill="FFFFFF"/>
          </w:tcPr>
          <w:p>
            <w:pPr>
              <w:keepNext w:val="0"/>
              <w:spacing w:after="0" w:before="0" w:line="252" w:lineRule="auto"/>
            </w:pPr>
            <w:r>
              <w:rPr>
                <w:b w:val="0"/>
                <w:i w:val="0"/>
                <w:sz w:val="18"/>
              </w:rPr>
              <w:t>London</w:t>
            </w:r>
            <w:r>
              <w:rPr>
                <w:sz w:val="18"/>
              </w:rPr>
              <w:br/>
            </w:r>
            <w:r>
              <w:rPr>
                <w:sz w:val="18"/>
              </w:rPr>
              <w:t xml:space="preserve"> </w:t>
            </w:r>
            <w:r>
              <w:rPr>
                <w:b w:val="0"/>
                <w:i w:val="0"/>
                <w:sz w:val="18"/>
              </w:rPr>
              <w:t>Allocated backing; interim unallocated</w:t>
            </w:r>
          </w:p>
        </w:tc>
      </w:tr>
      <w:tr>
        <w:trPr>
          <w:cantSplit/>
        </w:trPr>
        <w:tc>
          <w:tcPr>
            <w:tcW w:type="dxa" w:w="3669"/>
            <w:vAlign w:val="center"/>
            <w:tcMar>
              <w:top w:w="80" w:type="dxa"/>
              <w:bottom w:w="80" w:type="dxa"/>
              <w:left w:w="100" w:type="dxa"/>
              <w:right w:w="100" w:type="dxa"/>
            </w:tcMar>
            <w:shd w:fill="F4F7F8"/>
          </w:tcPr>
          <w:p>
            <w:pPr>
              <w:keepNext w:val="0"/>
              <w:spacing w:after="0" w:before="0" w:line="252" w:lineRule="auto"/>
            </w:pPr>
            <w:r>
              <w:rPr>
                <w:b w:val="0"/>
                <w:i w:val="0"/>
                <w:sz w:val="18"/>
              </w:rPr>
              <w:t>IGLG</w:t>
            </w:r>
            <w:r>
              <w:rPr>
                <w:sz w:val="18"/>
              </w:rPr>
              <w:br/>
            </w:r>
            <w:r>
              <w:rPr>
                <w:sz w:val="18"/>
              </w:rPr>
              <w:t xml:space="preserve"> </w:t>
            </w:r>
            <w:r>
              <w:rPr>
                <w:b w:val="0"/>
                <w:i w:val="0"/>
                <w:sz w:val="18"/>
              </w:rPr>
              <w:t>iShares Physical Gold GBP Hedged ETC</w:t>
            </w:r>
            <w:r>
              <w:rPr>
                <w:sz w:val="18"/>
              </w:rPr>
              <w:br/>
            </w:r>
            <w:r>
              <w:rPr>
                <w:sz w:val="18"/>
              </w:rPr>
              <w:t xml:space="preserve"> </w:t>
            </w:r>
            <w:r>
              <w:rPr>
                <w:b w:val="0"/>
                <w:i w:val="0"/>
                <w:sz w:val="18"/>
              </w:rPr>
              <w:t>Gold</w:t>
            </w:r>
          </w:p>
        </w:tc>
        <w:tc>
          <w:tcPr>
            <w:tcW w:type="dxa" w:w="1761"/>
            <w:vAlign w:val="center"/>
            <w:tcMar>
              <w:top w:w="80" w:type="dxa"/>
              <w:bottom w:w="80" w:type="dxa"/>
              <w:left w:w="100" w:type="dxa"/>
              <w:right w:w="100" w:type="dxa"/>
            </w:tcMar>
            <w:shd w:fill="F4F7F8"/>
          </w:tcPr>
          <w:p>
            <w:pPr>
              <w:keepNext w:val="0"/>
              <w:spacing w:after="0" w:before="0" w:line="252" w:lineRule="auto"/>
            </w:pPr>
            <w:r>
              <w:rPr>
                <w:b/>
                <w:i w:val="0"/>
                <w:sz w:val="18"/>
              </w:rPr>
              <w:t>Ireland</w:t>
            </w:r>
            <w:r>
              <w:rPr>
                <w:sz w:val="18"/>
              </w:rPr>
              <w:br/>
            </w:r>
            <w:r>
              <w:rPr>
                <w:sz w:val="18"/>
              </w:rPr>
              <w:t xml:space="preserve"> </w:t>
            </w:r>
            <w:r>
              <w:rPr>
                <w:b w:val="0"/>
                <w:i w:val="0"/>
                <w:sz w:val="18"/>
              </w:rPr>
              <w:t>Secured ETC</w:t>
            </w:r>
          </w:p>
        </w:tc>
        <w:tc>
          <w:tcPr>
            <w:tcW w:type="dxa" w:w="2202"/>
            <w:vAlign w:val="center"/>
            <w:tcMar>
              <w:top w:w="80" w:type="dxa"/>
              <w:bottom w:w="80" w:type="dxa"/>
              <w:left w:w="100" w:type="dxa"/>
              <w:right w:w="100" w:type="dxa"/>
            </w:tcMar>
            <w:shd w:fill="F4F7F8"/>
          </w:tcPr>
          <w:p>
            <w:pPr>
              <w:keepNext w:val="0"/>
              <w:spacing w:after="0" w:before="0" w:line="252" w:lineRule="auto"/>
            </w:pPr>
            <w:r>
              <w:rPr>
                <w:b w:val="0"/>
                <w:i w:val="0"/>
                <w:sz w:val="18"/>
              </w:rPr>
              <w:t>LSE · GBP</w:t>
            </w:r>
            <w:r>
              <w:rPr>
                <w:sz w:val="18"/>
              </w:rPr>
              <w:br/>
            </w:r>
            <w:r>
              <w:rPr>
                <w:sz w:val="18"/>
              </w:rPr>
              <w:t xml:space="preserve"> </w:t>
            </w:r>
            <w:r>
              <w:rPr>
                <w:b w:val="0"/>
                <w:i w:val="0"/>
                <w:sz w:val="18"/>
              </w:rPr>
              <w:t>GBP hedged</w:t>
            </w:r>
          </w:p>
        </w:tc>
        <w:tc>
          <w:tcPr>
            <w:tcW w:type="dxa" w:w="2202"/>
            <w:vAlign w:val="center"/>
            <w:tcMar>
              <w:top w:w="80" w:type="dxa"/>
              <w:bottom w:w="80" w:type="dxa"/>
              <w:left w:w="100" w:type="dxa"/>
              <w:right w:w="100" w:type="dxa"/>
            </w:tcMar>
            <w:shd w:fill="F4F7F8"/>
          </w:tcPr>
          <w:p>
            <w:pPr>
              <w:keepNext w:val="0"/>
              <w:spacing w:after="0" w:before="0" w:line="252" w:lineRule="auto"/>
            </w:pPr>
            <w:r>
              <w:rPr>
                <w:b/>
                <w:i w:val="0"/>
                <w:sz w:val="18"/>
              </w:rPr>
              <w:t>GBP 986.29m</w:t>
            </w:r>
            <w:r>
              <w:rPr>
                <w:sz w:val="18"/>
              </w:rPr>
              <w:br/>
            </w:r>
            <w:r>
              <w:rPr>
                <w:sz w:val="18"/>
              </w:rPr>
              <w:t xml:space="preserve"> </w:t>
            </w:r>
            <w:r>
              <w:rPr>
                <w:b w:val="0"/>
                <w:i w:val="0"/>
                <w:sz w:val="18"/>
              </w:rPr>
              <w:t>22 Sep 2026</w:t>
            </w:r>
            <w:r>
              <w:rPr>
                <w:sz w:val="18"/>
              </w:rPr>
              <w:br/>
            </w:r>
            <w:r>
              <w:rPr>
                <w:sz w:val="18"/>
              </w:rPr>
              <w:t xml:space="preserve"> </w:t>
            </w:r>
            <w:r>
              <w:rPr>
                <w:b w:val="0"/>
                <w:i w:val="0"/>
                <w:sz w:val="18"/>
              </w:rPr>
              <w:t>Fund / trust / ETC series</w:t>
            </w:r>
          </w:p>
        </w:tc>
        <w:tc>
          <w:tcPr>
            <w:tcW w:type="dxa" w:w="1761"/>
            <w:vAlign w:val="center"/>
            <w:tcMar>
              <w:top w:w="80" w:type="dxa"/>
              <w:bottom w:w="80" w:type="dxa"/>
              <w:left w:w="100" w:type="dxa"/>
              <w:right w:w="100" w:type="dxa"/>
            </w:tcMar>
            <w:shd w:fill="F4F7F8"/>
          </w:tcPr>
          <w:p>
            <w:pPr>
              <w:keepNext w:val="0"/>
              <w:spacing w:after="0" w:before="0" w:line="252" w:lineRule="auto"/>
            </w:pPr>
            <w:r>
              <w:rPr>
                <w:b/>
                <w:i w:val="0"/>
                <w:sz w:val="18"/>
              </w:rPr>
              <w:t>0.25%</w:t>
            </w:r>
            <w:r>
              <w:rPr>
                <w:sz w:val="18"/>
              </w:rPr>
              <w:br/>
            </w:r>
            <w:r>
              <w:rPr>
                <w:b w:val="0"/>
                <w:i w:val="0"/>
                <w:sz w:val="18"/>
              </w:rPr>
              <w:t>TER</w:t>
            </w:r>
          </w:p>
        </w:tc>
        <w:tc>
          <w:tcPr>
            <w:tcW w:type="dxa" w:w="3082"/>
            <w:vAlign w:val="center"/>
            <w:tcMar>
              <w:top w:w="80" w:type="dxa"/>
              <w:bottom w:w="80" w:type="dxa"/>
              <w:left w:w="100" w:type="dxa"/>
              <w:right w:w="100" w:type="dxa"/>
            </w:tcMar>
            <w:shd w:fill="F4F7F8"/>
          </w:tcPr>
          <w:p>
            <w:pPr>
              <w:keepNext w:val="0"/>
              <w:spacing w:after="0" w:before="0" w:line="252" w:lineRule="auto"/>
            </w:pPr>
            <w:r>
              <w:rPr>
                <w:b w:val="0"/>
                <w:i w:val="0"/>
                <w:sz w:val="18"/>
              </w:rPr>
              <w:t>London</w:t>
            </w:r>
            <w:r>
              <w:rPr>
                <w:sz w:val="18"/>
              </w:rPr>
              <w:br/>
            </w:r>
            <w:r>
              <w:rPr>
                <w:sz w:val="18"/>
              </w:rPr>
              <w:t xml:space="preserve"> </w:t>
            </w:r>
            <w:r>
              <w:rPr>
                <w:b w:val="0"/>
                <w:i w:val="0"/>
                <w:sz w:val="18"/>
              </w:rPr>
              <w:t>Allocated backing; interim unallocated</w:t>
            </w:r>
          </w:p>
        </w:tc>
      </w:tr>
    </w:tbl>
    <w:p>
      <w:pPr>
        <w:spacing w:after="60" w:before="0" w:line="40" w:lineRule="exact"/>
      </w:pPr>
      <w:r>
        <w:rPr>
          <w:sz w:val="4"/>
        </w:rPr>
      </w:r>
    </w:p>
    <w:p>
      <w:pPr>
        <w:spacing w:after="100"/>
      </w:pPr>
      <w:r>
        <w:rPr>
          <w:b w:val="0"/>
          <w:sz w:val="18"/>
        </w:rPr>
        <w:t>Native currency and valuation date retained. Fees follow the issuer’s stated basis. Location permissions and underlying structure are qualified in the detailed product records.</w:t>
      </w:r>
    </w:p>
    <w:p>
      <w:r>
        <w:br w:type="page"/>
      </w:r>
    </w:p>
    <w:p>
      <w:pPr>
        <w:pStyle w:val="Heading1"/>
        <w:pageBreakBefore w:val="0"/>
      </w:pPr>
      <w:r>
        <w:t>Three Swiss gold subfunds</w:t>
      </w:r>
    </w:p>
    <w:p>
      <w:r>
        <w:rPr>
          <w:b w:val="0"/>
          <w:i w:val="0"/>
        </w:rPr>
        <w:t>The Swiss structure uses State Street as custodian and identifies UBS Switzerland as its vaulting agent in Zurich.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69"/>
        <w:gridCol w:w="1761"/>
        <w:gridCol w:w="2202"/>
        <w:gridCol w:w="2202"/>
        <w:gridCol w:w="1761"/>
        <w:gridCol w:w="3082"/>
      </w:tblGrid>
      <w:tr>
        <w:trPr>
          <w:tblHeader/>
          <w:cantSplit/>
        </w:trPr>
        <w:tc>
          <w:tcPr>
            <w:tcW w:type="dxa" w:w="3669"/>
            <w:vAlign w:val="center"/>
            <w:tcMar>
              <w:top w:w="80" w:type="dxa"/>
              <w:bottom w:w="80" w:type="dxa"/>
              <w:left w:w="100" w:type="dxa"/>
              <w:right w:w="100" w:type="dxa"/>
            </w:tcMar>
            <w:shd w:fill="DCE6EB"/>
          </w:tcPr>
          <w:p>
            <w:pPr>
              <w:keepNext/>
              <w:spacing w:after="0" w:before="0" w:line="252" w:lineRule="auto"/>
            </w:pPr>
            <w:r>
              <w:rPr>
                <w:b/>
                <w:i w:val="0"/>
                <w:sz w:val="18"/>
              </w:rPr>
              <w:t>Product / trading ticker</w:t>
            </w:r>
          </w:p>
        </w:tc>
        <w:tc>
          <w:tcPr>
            <w:tcW w:type="dxa" w:w="1761"/>
            <w:vAlign w:val="center"/>
            <w:tcMar>
              <w:top w:w="80" w:type="dxa"/>
              <w:bottom w:w="80" w:type="dxa"/>
              <w:left w:w="100" w:type="dxa"/>
              <w:right w:w="100" w:type="dxa"/>
            </w:tcMar>
            <w:shd w:fill="DCE6EB"/>
          </w:tcPr>
          <w:p>
            <w:pPr>
              <w:keepNext/>
              <w:spacing w:after="0" w:before="0" w:line="252" w:lineRule="auto"/>
            </w:pPr>
            <w:r>
              <w:rPr>
                <w:b/>
                <w:i w:val="0"/>
                <w:sz w:val="18"/>
              </w:rPr>
              <w:t>Domicile / form</w:t>
            </w:r>
          </w:p>
        </w:tc>
        <w:tc>
          <w:tcPr>
            <w:tcW w:type="dxa" w:w="2202"/>
            <w:vAlign w:val="center"/>
            <w:tcMar>
              <w:top w:w="80" w:type="dxa"/>
              <w:bottom w:w="80" w:type="dxa"/>
              <w:left w:w="100" w:type="dxa"/>
              <w:right w:w="100" w:type="dxa"/>
            </w:tcMar>
            <w:shd w:fill="DCE6EB"/>
          </w:tcPr>
          <w:p>
            <w:pPr>
              <w:keepNext/>
              <w:spacing w:after="0" w:before="0" w:line="252" w:lineRule="auto"/>
            </w:pPr>
            <w:r>
              <w:rPr>
                <w:b/>
                <w:i w:val="0"/>
                <w:sz w:val="18"/>
              </w:rPr>
              <w:t>Selected market / hedge</w:t>
            </w:r>
          </w:p>
        </w:tc>
        <w:tc>
          <w:tcPr>
            <w:tcW w:type="dxa" w:w="2202"/>
            <w:vAlign w:val="center"/>
            <w:tcMar>
              <w:top w:w="80" w:type="dxa"/>
              <w:bottom w:w="80" w:type="dxa"/>
              <w:left w:w="100" w:type="dxa"/>
              <w:right w:w="100" w:type="dxa"/>
            </w:tcMar>
            <w:shd w:fill="DCE6EB"/>
          </w:tcPr>
          <w:p>
            <w:pPr>
              <w:keepNext/>
              <w:spacing w:after="0" w:before="0" w:line="252" w:lineRule="auto"/>
            </w:pPr>
            <w:r>
              <w:rPr>
                <w:b/>
                <w:i w:val="0"/>
                <w:sz w:val="18"/>
              </w:rPr>
              <w:t>Net assets¹</w:t>
            </w:r>
          </w:p>
        </w:tc>
        <w:tc>
          <w:tcPr>
            <w:tcW w:type="dxa" w:w="1761"/>
            <w:vAlign w:val="center"/>
            <w:tcMar>
              <w:top w:w="80" w:type="dxa"/>
              <w:bottom w:w="80" w:type="dxa"/>
              <w:left w:w="100" w:type="dxa"/>
              <w:right w:w="100" w:type="dxa"/>
            </w:tcMar>
            <w:shd w:fill="DCE6EB"/>
          </w:tcPr>
          <w:p>
            <w:pPr>
              <w:keepNext/>
              <w:spacing w:after="0" w:before="0" w:line="252" w:lineRule="auto"/>
            </w:pPr>
            <w:r>
              <w:rPr>
                <w:b/>
                <w:i w:val="0"/>
                <w:sz w:val="18"/>
              </w:rPr>
              <w:t>Annual fee²</w:t>
            </w:r>
          </w:p>
        </w:tc>
        <w:tc>
          <w:tcPr>
            <w:tcW w:type="dxa" w:w="3082"/>
            <w:vAlign w:val="center"/>
            <w:tcMar>
              <w:top w:w="80" w:type="dxa"/>
              <w:bottom w:w="80" w:type="dxa"/>
              <w:left w:w="100" w:type="dxa"/>
              <w:right w:w="100" w:type="dxa"/>
            </w:tcMar>
            <w:shd w:fill="DCE6EB"/>
          </w:tcPr>
          <w:p>
            <w:pPr>
              <w:keepNext/>
              <w:spacing w:after="0" w:before="0" w:line="252" w:lineRule="auto"/>
            </w:pPr>
            <w:r>
              <w:rPr>
                <w:b/>
                <w:i w:val="0"/>
                <w:sz w:val="18"/>
              </w:rPr>
              <w:t>Bullion location³ / allocation</w:t>
            </w:r>
          </w:p>
        </w:tc>
      </w:tr>
      <w:tr>
        <w:trPr>
          <w:cantSplit/>
        </w:trPr>
        <w:tc>
          <w:tcPr>
            <w:tcW w:type="dxa" w:w="3669"/>
            <w:vAlign w:val="center"/>
            <w:tcMar>
              <w:top w:w="80" w:type="dxa"/>
              <w:bottom w:w="80" w:type="dxa"/>
              <w:left w:w="100" w:type="dxa"/>
              <w:right w:w="100" w:type="dxa"/>
            </w:tcMar>
            <w:shd w:fill="FFFFFF"/>
          </w:tcPr>
          <w:p>
            <w:pPr>
              <w:keepNext w:val="0"/>
              <w:spacing w:after="0" w:before="0" w:line="252" w:lineRule="auto"/>
            </w:pPr>
            <w:r>
              <w:rPr>
                <w:b w:val="0"/>
                <w:i w:val="0"/>
                <w:sz w:val="18"/>
              </w:rPr>
              <w:t>CSGOLD</w:t>
            </w:r>
            <w:r>
              <w:rPr>
                <w:sz w:val="18"/>
              </w:rPr>
              <w:br/>
            </w:r>
            <w:r>
              <w:rPr>
                <w:sz w:val="18"/>
              </w:rPr>
              <w:t xml:space="preserve"> </w:t>
            </w:r>
            <w:r>
              <w:rPr>
                <w:b w:val="0"/>
                <w:i w:val="0"/>
                <w:sz w:val="18"/>
              </w:rPr>
              <w:t>iShares Gold ETF (CH)</w:t>
            </w:r>
            <w:r>
              <w:rPr>
                <w:sz w:val="18"/>
              </w:rPr>
              <w:br/>
            </w:r>
            <w:r>
              <w:rPr>
                <w:b w:val="0"/>
                <w:i w:val="0"/>
                <w:sz w:val="18"/>
              </w:rPr>
              <w:t>Gold</w:t>
            </w:r>
          </w:p>
        </w:tc>
        <w:tc>
          <w:tcPr>
            <w:tcW w:type="dxa" w:w="1761"/>
            <w:vAlign w:val="center"/>
            <w:tcMar>
              <w:top w:w="80" w:type="dxa"/>
              <w:bottom w:w="80" w:type="dxa"/>
              <w:left w:w="100" w:type="dxa"/>
              <w:right w:w="100" w:type="dxa"/>
            </w:tcMar>
            <w:shd w:fill="FFFFFF"/>
          </w:tcPr>
          <w:p>
            <w:pPr>
              <w:keepNext w:val="0"/>
              <w:spacing w:after="0" w:before="0" w:line="252" w:lineRule="auto"/>
            </w:pPr>
            <w:r>
              <w:rPr>
                <w:b/>
                <w:i w:val="0"/>
                <w:sz w:val="18"/>
              </w:rPr>
              <w:t>Switzerland</w:t>
            </w:r>
            <w:r>
              <w:rPr>
                <w:sz w:val="18"/>
              </w:rPr>
              <w:br/>
            </w:r>
            <w:r>
              <w:rPr>
                <w:sz w:val="18"/>
              </w:rPr>
              <w:t xml:space="preserve"> </w:t>
            </w:r>
            <w:r>
              <w:rPr>
                <w:b w:val="0"/>
                <w:i w:val="0"/>
                <w:sz w:val="18"/>
              </w:rPr>
              <w:t>Swiss fund</w:t>
            </w:r>
          </w:p>
        </w:tc>
        <w:tc>
          <w:tcPr>
            <w:tcW w:type="dxa" w:w="2202"/>
            <w:vAlign w:val="center"/>
            <w:tcMar>
              <w:top w:w="80" w:type="dxa"/>
              <w:bottom w:w="80" w:type="dxa"/>
              <w:left w:w="100" w:type="dxa"/>
              <w:right w:w="100" w:type="dxa"/>
            </w:tcMar>
            <w:shd w:fill="FFFFFF"/>
          </w:tcPr>
          <w:p>
            <w:pPr>
              <w:keepNext w:val="0"/>
              <w:spacing w:after="0" w:before="0" w:line="252" w:lineRule="auto"/>
            </w:pPr>
            <w:r>
              <w:rPr>
                <w:b w:val="0"/>
                <w:i w:val="0"/>
                <w:sz w:val="18"/>
              </w:rPr>
              <w:t>SIX · USD</w:t>
            </w:r>
            <w:r>
              <w:rPr>
                <w:sz w:val="18"/>
              </w:rPr>
              <w:br/>
            </w:r>
            <w:r>
              <w:rPr>
                <w:sz w:val="18"/>
              </w:rPr>
              <w:t xml:space="preserve"> </w:t>
            </w:r>
            <w:r>
              <w:rPr>
                <w:b w:val="0"/>
                <w:i w:val="0"/>
                <w:sz w:val="18"/>
              </w:rPr>
              <w:t>Unhedged</w:t>
            </w:r>
          </w:p>
        </w:tc>
        <w:tc>
          <w:tcPr>
            <w:tcW w:type="dxa" w:w="2202"/>
            <w:vAlign w:val="center"/>
            <w:tcMar>
              <w:top w:w="80" w:type="dxa"/>
              <w:bottom w:w="80" w:type="dxa"/>
              <w:left w:w="100" w:type="dxa"/>
              <w:right w:w="100" w:type="dxa"/>
            </w:tcMar>
            <w:shd w:fill="FFFFFF"/>
          </w:tcPr>
          <w:p>
            <w:pPr>
              <w:keepNext w:val="0"/>
              <w:spacing w:after="0" w:before="0" w:line="252" w:lineRule="auto"/>
            </w:pPr>
            <w:r>
              <w:rPr>
                <w:b/>
                <w:i w:val="0"/>
                <w:sz w:val="18"/>
              </w:rPr>
              <w:t>USD 1.631bn</w:t>
            </w:r>
            <w:r>
              <w:rPr>
                <w:sz w:val="18"/>
              </w:rPr>
              <w:br/>
            </w:r>
            <w:r>
              <w:rPr>
                <w:sz w:val="18"/>
              </w:rPr>
              <w:t xml:space="preserve"> </w:t>
            </w:r>
            <w:r>
              <w:rPr>
                <w:b w:val="0"/>
                <w:i w:val="0"/>
                <w:sz w:val="18"/>
              </w:rPr>
              <w:t>22 Sep 2026</w:t>
            </w:r>
            <w:r>
              <w:rPr>
                <w:sz w:val="18"/>
              </w:rPr>
              <w:br/>
            </w:r>
            <w:r>
              <w:rPr>
                <w:sz w:val="18"/>
              </w:rPr>
              <w:t xml:space="preserve"> </w:t>
            </w:r>
            <w:r>
              <w:rPr>
                <w:b w:val="0"/>
                <w:i w:val="0"/>
                <w:sz w:val="18"/>
              </w:rPr>
              <w:t>Fund / trust / ETC series</w:t>
            </w:r>
          </w:p>
        </w:tc>
        <w:tc>
          <w:tcPr>
            <w:tcW w:type="dxa" w:w="1761"/>
            <w:vAlign w:val="center"/>
            <w:tcMar>
              <w:top w:w="80" w:type="dxa"/>
              <w:bottom w:w="80" w:type="dxa"/>
              <w:left w:w="100" w:type="dxa"/>
              <w:right w:w="100" w:type="dxa"/>
            </w:tcMar>
            <w:shd w:fill="FFFFFF"/>
          </w:tcPr>
          <w:p>
            <w:pPr>
              <w:keepNext w:val="0"/>
              <w:spacing w:after="0" w:before="0" w:line="252" w:lineRule="auto"/>
            </w:pPr>
            <w:r>
              <w:rPr>
                <w:b/>
                <w:i w:val="0"/>
                <w:sz w:val="18"/>
              </w:rPr>
              <w:t>0.19%</w:t>
            </w:r>
            <w:r>
              <w:rPr>
                <w:sz w:val="18"/>
              </w:rPr>
              <w:br/>
            </w:r>
            <w:r>
              <w:rPr>
                <w:b w:val="0"/>
                <w:i w:val="0"/>
                <w:sz w:val="18"/>
              </w:rPr>
              <w:t>TER</w:t>
            </w:r>
          </w:p>
        </w:tc>
        <w:tc>
          <w:tcPr>
            <w:tcW w:type="dxa" w:w="3082"/>
            <w:vAlign w:val="center"/>
            <w:tcMar>
              <w:top w:w="80" w:type="dxa"/>
              <w:bottom w:w="80" w:type="dxa"/>
              <w:left w:w="100" w:type="dxa"/>
              <w:right w:w="100" w:type="dxa"/>
            </w:tcMar>
            <w:shd w:fill="FFFFFF"/>
          </w:tcPr>
          <w:p>
            <w:pPr>
              <w:keepNext w:val="0"/>
              <w:spacing w:after="0" w:before="0" w:line="252" w:lineRule="auto"/>
            </w:pPr>
            <w:r>
              <w:rPr>
                <w:b w:val="0"/>
                <w:i w:val="0"/>
                <w:sz w:val="18"/>
              </w:rPr>
              <w:t>Zurich</w:t>
            </w:r>
            <w:r>
              <w:rPr>
                <w:sz w:val="18"/>
              </w:rPr>
              <w:br/>
            </w:r>
            <w:r>
              <w:rPr>
                <w:sz w:val="18"/>
              </w:rPr>
              <w:t xml:space="preserve"> </w:t>
            </w:r>
            <w:r>
              <w:rPr>
                <w:b w:val="0"/>
                <w:i w:val="0"/>
                <w:sz w:val="18"/>
              </w:rPr>
              <w:t>Allocated gold</w:t>
            </w:r>
          </w:p>
        </w:tc>
      </w:tr>
      <w:tr>
        <w:trPr>
          <w:cantSplit/>
        </w:trPr>
        <w:tc>
          <w:tcPr>
            <w:tcW w:type="dxa" w:w="3669"/>
            <w:vAlign w:val="center"/>
            <w:tcMar>
              <w:top w:w="80" w:type="dxa"/>
              <w:bottom w:w="80" w:type="dxa"/>
              <w:left w:w="100" w:type="dxa"/>
              <w:right w:w="100" w:type="dxa"/>
            </w:tcMar>
            <w:shd w:fill="F4F7F8"/>
          </w:tcPr>
          <w:p>
            <w:pPr>
              <w:keepNext w:val="0"/>
              <w:spacing w:after="0" w:before="0" w:line="252" w:lineRule="auto"/>
            </w:pPr>
            <w:r>
              <w:rPr>
                <w:b w:val="0"/>
                <w:i w:val="0"/>
                <w:sz w:val="18"/>
              </w:rPr>
              <w:t>CSGLDC</w:t>
            </w:r>
            <w:r>
              <w:rPr>
                <w:sz w:val="18"/>
              </w:rPr>
              <w:br/>
            </w:r>
            <w:r>
              <w:rPr>
                <w:sz w:val="18"/>
              </w:rPr>
              <w:t xml:space="preserve"> </w:t>
            </w:r>
            <w:r>
              <w:rPr>
                <w:b w:val="0"/>
                <w:i w:val="0"/>
                <w:sz w:val="18"/>
              </w:rPr>
              <w:t>iShares Gold CHF Hedged ETF (CH)</w:t>
            </w:r>
            <w:r>
              <w:rPr>
                <w:sz w:val="18"/>
              </w:rPr>
              <w:br/>
            </w:r>
            <w:r>
              <w:rPr>
                <w:b w:val="0"/>
                <w:i w:val="0"/>
                <w:sz w:val="18"/>
              </w:rPr>
              <w:t>Gold</w:t>
            </w:r>
          </w:p>
        </w:tc>
        <w:tc>
          <w:tcPr>
            <w:tcW w:type="dxa" w:w="1761"/>
            <w:vAlign w:val="center"/>
            <w:tcMar>
              <w:top w:w="80" w:type="dxa"/>
              <w:bottom w:w="80" w:type="dxa"/>
              <w:left w:w="100" w:type="dxa"/>
              <w:right w:w="100" w:type="dxa"/>
            </w:tcMar>
            <w:shd w:fill="F4F7F8"/>
          </w:tcPr>
          <w:p>
            <w:pPr>
              <w:keepNext w:val="0"/>
              <w:spacing w:after="0" w:before="0" w:line="252" w:lineRule="auto"/>
            </w:pPr>
            <w:r>
              <w:rPr>
                <w:b/>
                <w:i w:val="0"/>
                <w:sz w:val="18"/>
              </w:rPr>
              <w:t>Switzerland</w:t>
            </w:r>
            <w:r>
              <w:rPr>
                <w:sz w:val="18"/>
              </w:rPr>
              <w:br/>
            </w:r>
            <w:r>
              <w:rPr>
                <w:sz w:val="18"/>
              </w:rPr>
              <w:t xml:space="preserve"> </w:t>
            </w:r>
            <w:r>
              <w:rPr>
                <w:b w:val="0"/>
                <w:i w:val="0"/>
                <w:sz w:val="18"/>
              </w:rPr>
              <w:t>Swiss fund</w:t>
            </w:r>
          </w:p>
        </w:tc>
        <w:tc>
          <w:tcPr>
            <w:tcW w:type="dxa" w:w="2202"/>
            <w:vAlign w:val="center"/>
            <w:tcMar>
              <w:top w:w="80" w:type="dxa"/>
              <w:bottom w:w="80" w:type="dxa"/>
              <w:left w:w="100" w:type="dxa"/>
              <w:right w:w="100" w:type="dxa"/>
            </w:tcMar>
            <w:shd w:fill="F4F7F8"/>
          </w:tcPr>
          <w:p>
            <w:pPr>
              <w:keepNext w:val="0"/>
              <w:spacing w:after="0" w:before="0" w:line="252" w:lineRule="auto"/>
            </w:pPr>
            <w:r>
              <w:rPr>
                <w:b w:val="0"/>
                <w:i w:val="0"/>
                <w:sz w:val="18"/>
              </w:rPr>
              <w:t>SIX · CHF</w:t>
            </w:r>
            <w:r>
              <w:rPr>
                <w:sz w:val="18"/>
              </w:rPr>
              <w:br/>
            </w:r>
            <w:r>
              <w:rPr>
                <w:sz w:val="18"/>
              </w:rPr>
              <w:t xml:space="preserve"> </w:t>
            </w:r>
            <w:r>
              <w:rPr>
                <w:b w:val="0"/>
                <w:i w:val="0"/>
                <w:sz w:val="18"/>
              </w:rPr>
              <w:t>CHF hedged</w:t>
            </w:r>
          </w:p>
        </w:tc>
        <w:tc>
          <w:tcPr>
            <w:tcW w:type="dxa" w:w="2202"/>
            <w:vAlign w:val="center"/>
            <w:tcMar>
              <w:top w:w="80" w:type="dxa"/>
              <w:bottom w:w="80" w:type="dxa"/>
              <w:left w:w="100" w:type="dxa"/>
              <w:right w:w="100" w:type="dxa"/>
            </w:tcMar>
            <w:shd w:fill="F4F7F8"/>
          </w:tcPr>
          <w:p>
            <w:pPr>
              <w:keepNext w:val="0"/>
              <w:spacing w:after="0" w:before="0" w:line="252" w:lineRule="auto"/>
            </w:pPr>
            <w:r>
              <w:rPr>
                <w:b/>
                <w:i w:val="0"/>
                <w:sz w:val="18"/>
              </w:rPr>
              <w:t>CHF 622.04m</w:t>
            </w:r>
            <w:r>
              <w:rPr>
                <w:sz w:val="18"/>
              </w:rPr>
              <w:br/>
            </w:r>
            <w:r>
              <w:rPr>
                <w:sz w:val="18"/>
              </w:rPr>
              <w:t xml:space="preserve"> </w:t>
            </w:r>
            <w:r>
              <w:rPr>
                <w:b w:val="0"/>
                <w:i w:val="0"/>
                <w:sz w:val="18"/>
              </w:rPr>
              <w:t>22 Sep 2026</w:t>
            </w:r>
            <w:r>
              <w:rPr>
                <w:sz w:val="18"/>
              </w:rPr>
              <w:br/>
            </w:r>
            <w:r>
              <w:rPr>
                <w:sz w:val="18"/>
              </w:rPr>
              <w:t xml:space="preserve"> </w:t>
            </w:r>
            <w:r>
              <w:rPr>
                <w:b w:val="0"/>
                <w:i w:val="0"/>
                <w:sz w:val="18"/>
              </w:rPr>
              <w:t>Fund / trust / ETC series</w:t>
            </w:r>
          </w:p>
        </w:tc>
        <w:tc>
          <w:tcPr>
            <w:tcW w:type="dxa" w:w="1761"/>
            <w:vAlign w:val="center"/>
            <w:tcMar>
              <w:top w:w="80" w:type="dxa"/>
              <w:bottom w:w="80" w:type="dxa"/>
              <w:left w:w="100" w:type="dxa"/>
              <w:right w:w="100" w:type="dxa"/>
            </w:tcMar>
            <w:shd w:fill="F4F7F8"/>
          </w:tcPr>
          <w:p>
            <w:pPr>
              <w:keepNext w:val="0"/>
              <w:spacing w:after="0" w:before="0" w:line="252" w:lineRule="auto"/>
            </w:pPr>
            <w:r>
              <w:rPr>
                <w:b/>
                <w:i w:val="0"/>
                <w:sz w:val="18"/>
              </w:rPr>
              <w:t>0.22%</w:t>
            </w:r>
            <w:r>
              <w:rPr>
                <w:sz w:val="18"/>
              </w:rPr>
              <w:br/>
            </w:r>
            <w:r>
              <w:rPr>
                <w:b w:val="0"/>
                <w:i w:val="0"/>
                <w:sz w:val="18"/>
              </w:rPr>
              <w:t>TER</w:t>
            </w:r>
          </w:p>
        </w:tc>
        <w:tc>
          <w:tcPr>
            <w:tcW w:type="dxa" w:w="3082"/>
            <w:vAlign w:val="center"/>
            <w:tcMar>
              <w:top w:w="80" w:type="dxa"/>
              <w:bottom w:w="80" w:type="dxa"/>
              <w:left w:w="100" w:type="dxa"/>
              <w:right w:w="100" w:type="dxa"/>
            </w:tcMar>
            <w:shd w:fill="F4F7F8"/>
          </w:tcPr>
          <w:p>
            <w:pPr>
              <w:keepNext w:val="0"/>
              <w:spacing w:after="0" w:before="0" w:line="252" w:lineRule="auto"/>
            </w:pPr>
            <w:r>
              <w:rPr>
                <w:b w:val="0"/>
                <w:i w:val="0"/>
                <w:sz w:val="18"/>
              </w:rPr>
              <w:t>Zurich</w:t>
            </w:r>
            <w:r>
              <w:rPr>
                <w:sz w:val="18"/>
              </w:rPr>
              <w:br/>
            </w:r>
            <w:r>
              <w:rPr>
                <w:sz w:val="18"/>
              </w:rPr>
              <w:t xml:space="preserve"> </w:t>
            </w:r>
            <w:r>
              <w:rPr>
                <w:b w:val="0"/>
                <w:i w:val="0"/>
                <w:sz w:val="18"/>
              </w:rPr>
              <w:t>Allocated gold</w:t>
            </w:r>
          </w:p>
        </w:tc>
      </w:tr>
      <w:tr>
        <w:trPr>
          <w:cantSplit/>
        </w:trPr>
        <w:tc>
          <w:tcPr>
            <w:tcW w:type="dxa" w:w="3669"/>
            <w:vAlign w:val="center"/>
            <w:tcMar>
              <w:top w:w="80" w:type="dxa"/>
              <w:bottom w:w="80" w:type="dxa"/>
              <w:left w:w="100" w:type="dxa"/>
              <w:right w:w="100" w:type="dxa"/>
            </w:tcMar>
            <w:shd w:fill="FFFFFF"/>
          </w:tcPr>
          <w:p>
            <w:pPr>
              <w:keepNext w:val="0"/>
              <w:spacing w:after="0" w:before="0" w:line="252" w:lineRule="auto"/>
            </w:pPr>
            <w:r>
              <w:rPr>
                <w:b w:val="0"/>
                <w:i w:val="0"/>
                <w:sz w:val="18"/>
              </w:rPr>
              <w:t>CSGLDE</w:t>
            </w:r>
            <w:r>
              <w:rPr>
                <w:sz w:val="18"/>
              </w:rPr>
              <w:br/>
            </w:r>
            <w:r>
              <w:rPr>
                <w:sz w:val="18"/>
              </w:rPr>
              <w:t xml:space="preserve"> </w:t>
            </w:r>
            <w:r>
              <w:rPr>
                <w:b w:val="0"/>
                <w:i w:val="0"/>
                <w:sz w:val="18"/>
              </w:rPr>
              <w:t>iShares Gold EUR Hedged ETF (CH)</w:t>
            </w:r>
            <w:r>
              <w:rPr>
                <w:sz w:val="18"/>
              </w:rPr>
              <w:br/>
            </w:r>
            <w:r>
              <w:rPr>
                <w:b w:val="0"/>
                <w:i w:val="0"/>
                <w:sz w:val="18"/>
              </w:rPr>
              <w:t>Gold</w:t>
            </w:r>
          </w:p>
        </w:tc>
        <w:tc>
          <w:tcPr>
            <w:tcW w:type="dxa" w:w="1761"/>
            <w:vAlign w:val="center"/>
            <w:tcMar>
              <w:top w:w="80" w:type="dxa"/>
              <w:bottom w:w="80" w:type="dxa"/>
              <w:left w:w="100" w:type="dxa"/>
              <w:right w:w="100" w:type="dxa"/>
            </w:tcMar>
            <w:shd w:fill="FFFFFF"/>
          </w:tcPr>
          <w:p>
            <w:pPr>
              <w:keepNext w:val="0"/>
              <w:spacing w:after="0" w:before="0" w:line="252" w:lineRule="auto"/>
            </w:pPr>
            <w:r>
              <w:rPr>
                <w:b/>
                <w:i w:val="0"/>
                <w:sz w:val="18"/>
              </w:rPr>
              <w:t>Switzerland</w:t>
            </w:r>
            <w:r>
              <w:rPr>
                <w:sz w:val="18"/>
              </w:rPr>
              <w:br/>
            </w:r>
            <w:r>
              <w:rPr>
                <w:sz w:val="18"/>
              </w:rPr>
              <w:t xml:space="preserve"> </w:t>
            </w:r>
            <w:r>
              <w:rPr>
                <w:b w:val="0"/>
                <w:i w:val="0"/>
                <w:sz w:val="18"/>
              </w:rPr>
              <w:t>Swiss fund</w:t>
            </w:r>
          </w:p>
        </w:tc>
        <w:tc>
          <w:tcPr>
            <w:tcW w:type="dxa" w:w="2202"/>
            <w:vAlign w:val="center"/>
            <w:tcMar>
              <w:top w:w="80" w:type="dxa"/>
              <w:bottom w:w="80" w:type="dxa"/>
              <w:left w:w="100" w:type="dxa"/>
              <w:right w:w="100" w:type="dxa"/>
            </w:tcMar>
            <w:shd w:fill="FFFFFF"/>
          </w:tcPr>
          <w:p>
            <w:pPr>
              <w:keepNext w:val="0"/>
              <w:spacing w:after="0" w:before="0" w:line="252" w:lineRule="auto"/>
            </w:pPr>
            <w:r>
              <w:rPr>
                <w:b w:val="0"/>
                <w:i w:val="0"/>
                <w:sz w:val="18"/>
              </w:rPr>
              <w:t>SIX · EUR</w:t>
            </w:r>
            <w:r>
              <w:rPr>
                <w:sz w:val="18"/>
              </w:rPr>
              <w:br/>
            </w:r>
            <w:r>
              <w:rPr>
                <w:sz w:val="18"/>
              </w:rPr>
              <w:t xml:space="preserve"> </w:t>
            </w:r>
            <w:r>
              <w:rPr>
                <w:b w:val="0"/>
                <w:i w:val="0"/>
                <w:sz w:val="18"/>
              </w:rPr>
              <w:t>EUR hedged</w:t>
            </w:r>
          </w:p>
        </w:tc>
        <w:tc>
          <w:tcPr>
            <w:tcW w:type="dxa" w:w="2202"/>
            <w:vAlign w:val="center"/>
            <w:tcMar>
              <w:top w:w="80" w:type="dxa"/>
              <w:bottom w:w="80" w:type="dxa"/>
              <w:left w:w="100" w:type="dxa"/>
              <w:right w:w="100" w:type="dxa"/>
            </w:tcMar>
            <w:shd w:fill="FFFFFF"/>
          </w:tcPr>
          <w:p>
            <w:pPr>
              <w:keepNext w:val="0"/>
              <w:spacing w:after="0" w:before="0" w:line="252" w:lineRule="auto"/>
            </w:pPr>
            <w:r>
              <w:rPr>
                <w:b/>
                <w:i w:val="0"/>
                <w:sz w:val="18"/>
              </w:rPr>
              <w:t>EUR 194.99m</w:t>
            </w:r>
            <w:r>
              <w:rPr>
                <w:sz w:val="18"/>
              </w:rPr>
              <w:br/>
            </w:r>
            <w:r>
              <w:rPr>
                <w:sz w:val="18"/>
              </w:rPr>
              <w:t xml:space="preserve"> </w:t>
            </w:r>
            <w:r>
              <w:rPr>
                <w:b w:val="0"/>
                <w:i w:val="0"/>
                <w:sz w:val="18"/>
              </w:rPr>
              <w:t>22 Sep 2026</w:t>
            </w:r>
            <w:r>
              <w:rPr>
                <w:sz w:val="18"/>
              </w:rPr>
              <w:br/>
            </w:r>
            <w:r>
              <w:rPr>
                <w:sz w:val="18"/>
              </w:rPr>
              <w:t xml:space="preserve"> </w:t>
            </w:r>
            <w:r>
              <w:rPr>
                <w:b w:val="0"/>
                <w:i w:val="0"/>
                <w:sz w:val="18"/>
              </w:rPr>
              <w:t>Fund / trust / ETC series</w:t>
            </w:r>
          </w:p>
        </w:tc>
        <w:tc>
          <w:tcPr>
            <w:tcW w:type="dxa" w:w="1761"/>
            <w:vAlign w:val="center"/>
            <w:tcMar>
              <w:top w:w="80" w:type="dxa"/>
              <w:bottom w:w="80" w:type="dxa"/>
              <w:left w:w="100" w:type="dxa"/>
              <w:right w:w="100" w:type="dxa"/>
            </w:tcMar>
            <w:shd w:fill="FFFFFF"/>
          </w:tcPr>
          <w:p>
            <w:pPr>
              <w:keepNext w:val="0"/>
              <w:spacing w:after="0" w:before="0" w:line="252" w:lineRule="auto"/>
            </w:pPr>
            <w:r>
              <w:rPr>
                <w:b/>
                <w:i w:val="0"/>
                <w:sz w:val="18"/>
              </w:rPr>
              <w:t>0.22%</w:t>
            </w:r>
            <w:r>
              <w:rPr>
                <w:sz w:val="18"/>
              </w:rPr>
              <w:br/>
            </w:r>
            <w:r>
              <w:rPr>
                <w:b w:val="0"/>
                <w:i w:val="0"/>
                <w:sz w:val="18"/>
              </w:rPr>
              <w:t>TER</w:t>
            </w:r>
          </w:p>
        </w:tc>
        <w:tc>
          <w:tcPr>
            <w:tcW w:type="dxa" w:w="3082"/>
            <w:vAlign w:val="center"/>
            <w:tcMar>
              <w:top w:w="80" w:type="dxa"/>
              <w:bottom w:w="80" w:type="dxa"/>
              <w:left w:w="100" w:type="dxa"/>
              <w:right w:w="100" w:type="dxa"/>
            </w:tcMar>
            <w:shd w:fill="FFFFFF"/>
          </w:tcPr>
          <w:p>
            <w:pPr>
              <w:keepNext w:val="0"/>
              <w:spacing w:after="0" w:before="0" w:line="252" w:lineRule="auto"/>
            </w:pPr>
            <w:r>
              <w:rPr>
                <w:b w:val="0"/>
                <w:i w:val="0"/>
                <w:sz w:val="18"/>
              </w:rPr>
              <w:t>Zurich</w:t>
            </w:r>
            <w:r>
              <w:rPr>
                <w:sz w:val="18"/>
              </w:rPr>
              <w:br/>
            </w:r>
            <w:r>
              <w:rPr>
                <w:sz w:val="18"/>
              </w:rPr>
              <w:t xml:space="preserve"> </w:t>
            </w:r>
            <w:r>
              <w:rPr>
                <w:b w:val="0"/>
                <w:i w:val="0"/>
                <w:sz w:val="18"/>
              </w:rPr>
              <w:t>Allocated gold</w:t>
            </w:r>
          </w:p>
        </w:tc>
      </w:tr>
    </w:tbl>
    <w:p>
      <w:pPr>
        <w:spacing w:after="60" w:before="0" w:line="40" w:lineRule="exact"/>
      </w:pPr>
      <w:r>
        <w:rPr>
          <w:sz w:val="4"/>
        </w:rPr>
      </w:r>
    </w:p>
    <w:p>
      <w:pPr>
        <w:spacing w:after="100"/>
      </w:pPr>
      <w:r>
        <w:rPr>
          <w:b w:val="0"/>
          <w:sz w:val="18"/>
        </w:rPr>
        <w:t>Native currency and valuation date retained. Fees follow the issuer’s stated basis. Location permissions and underlying structure are qualified in the detailed product records.</w:t>
      </w:r>
    </w:p>
    <w:p>
      <w:r>
        <w:br w:type="page"/>
      </w:r>
    </w:p>
    <w:p>
      <w:pPr>
        <w:pStyle w:val="Heading1"/>
        <w:pageBreakBefore w:val="0"/>
      </w:pPr>
      <w:r>
        <w:t>Four currency classes in two bullion funds</w:t>
      </w:r>
    </w:p>
    <w:p>
      <w:r>
        <w:rPr>
          <w:b w:val="0"/>
          <w:i w:val="0"/>
        </w:rPr>
        <w:t>CGL / CGL.C share one gold fund. SVR / SVR.C share one silver fund. AUM in this table is specific to each currency class.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69"/>
        <w:gridCol w:w="1761"/>
        <w:gridCol w:w="2202"/>
        <w:gridCol w:w="2202"/>
        <w:gridCol w:w="1761"/>
        <w:gridCol w:w="3082"/>
      </w:tblGrid>
      <w:tr>
        <w:trPr>
          <w:tblHeader/>
          <w:cantSplit/>
        </w:trPr>
        <w:tc>
          <w:tcPr>
            <w:tcW w:type="dxa" w:w="3669"/>
            <w:vAlign w:val="center"/>
            <w:tcMar>
              <w:top w:w="80" w:type="dxa"/>
              <w:bottom w:w="80" w:type="dxa"/>
              <w:left w:w="100" w:type="dxa"/>
              <w:right w:w="100" w:type="dxa"/>
            </w:tcMar>
            <w:shd w:fill="DCE6EB"/>
          </w:tcPr>
          <w:p>
            <w:pPr>
              <w:keepNext/>
              <w:spacing w:after="0" w:before="0" w:line="252" w:lineRule="auto"/>
            </w:pPr>
            <w:r>
              <w:rPr>
                <w:b/>
                <w:i w:val="0"/>
                <w:sz w:val="18"/>
              </w:rPr>
              <w:t>Product / trading ticker</w:t>
            </w:r>
          </w:p>
        </w:tc>
        <w:tc>
          <w:tcPr>
            <w:tcW w:type="dxa" w:w="1761"/>
            <w:vAlign w:val="center"/>
            <w:tcMar>
              <w:top w:w="80" w:type="dxa"/>
              <w:bottom w:w="80" w:type="dxa"/>
              <w:left w:w="100" w:type="dxa"/>
              <w:right w:w="100" w:type="dxa"/>
            </w:tcMar>
            <w:shd w:fill="DCE6EB"/>
          </w:tcPr>
          <w:p>
            <w:pPr>
              <w:keepNext/>
              <w:spacing w:after="0" w:before="0" w:line="252" w:lineRule="auto"/>
            </w:pPr>
            <w:r>
              <w:rPr>
                <w:b/>
                <w:i w:val="0"/>
                <w:sz w:val="18"/>
              </w:rPr>
              <w:t>Domicile / form</w:t>
            </w:r>
          </w:p>
        </w:tc>
        <w:tc>
          <w:tcPr>
            <w:tcW w:type="dxa" w:w="2202"/>
            <w:vAlign w:val="center"/>
            <w:tcMar>
              <w:top w:w="80" w:type="dxa"/>
              <w:bottom w:w="80" w:type="dxa"/>
              <w:left w:w="100" w:type="dxa"/>
              <w:right w:w="100" w:type="dxa"/>
            </w:tcMar>
            <w:shd w:fill="DCE6EB"/>
          </w:tcPr>
          <w:p>
            <w:pPr>
              <w:keepNext/>
              <w:spacing w:after="0" w:before="0" w:line="252" w:lineRule="auto"/>
            </w:pPr>
            <w:r>
              <w:rPr>
                <w:b/>
                <w:i w:val="0"/>
                <w:sz w:val="18"/>
              </w:rPr>
              <w:t>Selected market / hedge</w:t>
            </w:r>
          </w:p>
        </w:tc>
        <w:tc>
          <w:tcPr>
            <w:tcW w:type="dxa" w:w="2202"/>
            <w:vAlign w:val="center"/>
            <w:tcMar>
              <w:top w:w="80" w:type="dxa"/>
              <w:bottom w:w="80" w:type="dxa"/>
              <w:left w:w="100" w:type="dxa"/>
              <w:right w:w="100" w:type="dxa"/>
            </w:tcMar>
            <w:shd w:fill="DCE6EB"/>
          </w:tcPr>
          <w:p>
            <w:pPr>
              <w:keepNext/>
              <w:spacing w:after="0" w:before="0" w:line="252" w:lineRule="auto"/>
            </w:pPr>
            <w:r>
              <w:rPr>
                <w:b/>
                <w:i w:val="0"/>
                <w:sz w:val="18"/>
              </w:rPr>
              <w:t>Net assets¹</w:t>
            </w:r>
          </w:p>
        </w:tc>
        <w:tc>
          <w:tcPr>
            <w:tcW w:type="dxa" w:w="1761"/>
            <w:vAlign w:val="center"/>
            <w:tcMar>
              <w:top w:w="80" w:type="dxa"/>
              <w:bottom w:w="80" w:type="dxa"/>
              <w:left w:w="100" w:type="dxa"/>
              <w:right w:w="100" w:type="dxa"/>
            </w:tcMar>
            <w:shd w:fill="DCE6EB"/>
          </w:tcPr>
          <w:p>
            <w:pPr>
              <w:keepNext/>
              <w:spacing w:after="0" w:before="0" w:line="252" w:lineRule="auto"/>
            </w:pPr>
            <w:r>
              <w:rPr>
                <w:b/>
                <w:i w:val="0"/>
                <w:sz w:val="18"/>
              </w:rPr>
              <w:t>Annual fee²</w:t>
            </w:r>
          </w:p>
        </w:tc>
        <w:tc>
          <w:tcPr>
            <w:tcW w:type="dxa" w:w="3082"/>
            <w:vAlign w:val="center"/>
            <w:tcMar>
              <w:top w:w="80" w:type="dxa"/>
              <w:bottom w:w="80" w:type="dxa"/>
              <w:left w:w="100" w:type="dxa"/>
              <w:right w:w="100" w:type="dxa"/>
            </w:tcMar>
            <w:shd w:fill="DCE6EB"/>
          </w:tcPr>
          <w:p>
            <w:pPr>
              <w:keepNext/>
              <w:spacing w:after="0" w:before="0" w:line="252" w:lineRule="auto"/>
            </w:pPr>
            <w:r>
              <w:rPr>
                <w:b/>
                <w:i w:val="0"/>
                <w:sz w:val="18"/>
              </w:rPr>
              <w:t>Bullion location³ / allocation</w:t>
            </w:r>
          </w:p>
        </w:tc>
      </w:tr>
      <w:tr>
        <w:trPr>
          <w:cantSplit/>
        </w:trPr>
        <w:tc>
          <w:tcPr>
            <w:tcW w:type="dxa" w:w="3669"/>
            <w:vAlign w:val="center"/>
            <w:tcMar>
              <w:top w:w="80" w:type="dxa"/>
              <w:bottom w:w="80" w:type="dxa"/>
              <w:left w:w="100" w:type="dxa"/>
              <w:right w:w="100" w:type="dxa"/>
            </w:tcMar>
            <w:shd w:fill="FFFFFF"/>
          </w:tcPr>
          <w:p>
            <w:pPr>
              <w:keepNext w:val="0"/>
              <w:spacing w:after="0" w:before="0" w:line="252" w:lineRule="auto"/>
            </w:pPr>
            <w:r>
              <w:rPr>
                <w:b w:val="0"/>
                <w:i w:val="0"/>
                <w:sz w:val="18"/>
              </w:rPr>
              <w:t>CGL</w:t>
            </w:r>
            <w:r>
              <w:rPr>
                <w:sz w:val="18"/>
              </w:rPr>
              <w:br/>
            </w:r>
            <w:r>
              <w:rPr>
                <w:sz w:val="18"/>
              </w:rPr>
              <w:t xml:space="preserve"> </w:t>
            </w:r>
            <w:r>
              <w:rPr>
                <w:b w:val="0"/>
                <w:i w:val="0"/>
                <w:sz w:val="18"/>
              </w:rPr>
              <w:t>iShares Gold Bullion ETF hedged units</w:t>
            </w:r>
            <w:r>
              <w:rPr>
                <w:sz w:val="18"/>
              </w:rPr>
              <w:br/>
            </w:r>
            <w:r>
              <w:rPr>
                <w:sz w:val="18"/>
              </w:rPr>
              <w:t xml:space="preserve"> </w:t>
            </w:r>
            <w:r>
              <w:rPr>
                <w:b w:val="0"/>
                <w:i w:val="0"/>
                <w:sz w:val="18"/>
              </w:rPr>
              <w:t>Gold</w:t>
            </w:r>
          </w:p>
        </w:tc>
        <w:tc>
          <w:tcPr>
            <w:tcW w:type="dxa" w:w="1761"/>
            <w:vAlign w:val="center"/>
            <w:tcMar>
              <w:top w:w="80" w:type="dxa"/>
              <w:bottom w:w="80" w:type="dxa"/>
              <w:left w:w="100" w:type="dxa"/>
              <w:right w:w="100" w:type="dxa"/>
            </w:tcMar>
            <w:shd w:fill="FFFFFF"/>
          </w:tcPr>
          <w:p>
            <w:pPr>
              <w:keepNext w:val="0"/>
              <w:spacing w:after="0" w:before="0" w:line="252" w:lineRule="auto"/>
            </w:pPr>
            <w:r>
              <w:rPr>
                <w:b/>
                <w:i w:val="0"/>
                <w:sz w:val="18"/>
              </w:rPr>
              <w:t>Canada</w:t>
            </w:r>
            <w:r>
              <w:rPr>
                <w:sz w:val="18"/>
              </w:rPr>
              <w:br/>
            </w:r>
            <w:r>
              <w:rPr>
                <w:sz w:val="18"/>
              </w:rPr>
              <w:t xml:space="preserve"> </w:t>
            </w:r>
            <w:r>
              <w:rPr>
                <w:b w:val="0"/>
                <w:i w:val="0"/>
                <w:sz w:val="18"/>
              </w:rPr>
              <w:t>Ontario trust class</w:t>
            </w:r>
          </w:p>
        </w:tc>
        <w:tc>
          <w:tcPr>
            <w:tcW w:type="dxa" w:w="2202"/>
            <w:vAlign w:val="center"/>
            <w:tcMar>
              <w:top w:w="80" w:type="dxa"/>
              <w:bottom w:w="80" w:type="dxa"/>
              <w:left w:w="100" w:type="dxa"/>
              <w:right w:w="100" w:type="dxa"/>
            </w:tcMar>
            <w:shd w:fill="FFFFFF"/>
          </w:tcPr>
          <w:p>
            <w:pPr>
              <w:keepNext w:val="0"/>
              <w:spacing w:after="0" w:before="0" w:line="252" w:lineRule="auto"/>
            </w:pPr>
            <w:r>
              <w:rPr>
                <w:b w:val="0"/>
                <w:i w:val="0"/>
                <w:sz w:val="18"/>
              </w:rPr>
              <w:t>TSX · CAD</w:t>
            </w:r>
            <w:r>
              <w:rPr>
                <w:sz w:val="18"/>
              </w:rPr>
              <w:br/>
            </w:r>
            <w:r>
              <w:rPr>
                <w:sz w:val="18"/>
              </w:rPr>
              <w:t xml:space="preserve"> </w:t>
            </w:r>
            <w:r>
              <w:rPr>
                <w:b w:val="0"/>
                <w:i w:val="0"/>
                <w:sz w:val="18"/>
              </w:rPr>
              <w:t>CAD hedged</w:t>
            </w:r>
          </w:p>
        </w:tc>
        <w:tc>
          <w:tcPr>
            <w:tcW w:type="dxa" w:w="2202"/>
            <w:vAlign w:val="center"/>
            <w:tcMar>
              <w:top w:w="80" w:type="dxa"/>
              <w:bottom w:w="80" w:type="dxa"/>
              <w:left w:w="100" w:type="dxa"/>
              <w:right w:w="100" w:type="dxa"/>
            </w:tcMar>
            <w:shd w:fill="FFFFFF"/>
          </w:tcPr>
          <w:p>
            <w:pPr>
              <w:keepNext w:val="0"/>
              <w:spacing w:after="0" w:before="0" w:line="252" w:lineRule="auto"/>
            </w:pPr>
            <w:r>
              <w:rPr>
                <w:b/>
                <w:i w:val="0"/>
                <w:sz w:val="18"/>
              </w:rPr>
              <w:t>CAD 2.177bn</w:t>
            </w:r>
            <w:r>
              <w:rPr>
                <w:sz w:val="18"/>
              </w:rPr>
              <w:br/>
            </w:r>
            <w:r>
              <w:rPr>
                <w:sz w:val="18"/>
              </w:rPr>
              <w:t xml:space="preserve"> </w:t>
            </w:r>
            <w:r>
              <w:rPr>
                <w:b w:val="0"/>
                <w:i w:val="0"/>
                <w:sz w:val="18"/>
              </w:rPr>
              <w:t>22 Sep 2026</w:t>
            </w:r>
            <w:r>
              <w:rPr>
                <w:sz w:val="18"/>
              </w:rPr>
              <w:br/>
            </w:r>
            <w:r>
              <w:rPr>
                <w:sz w:val="18"/>
              </w:rPr>
              <w:t xml:space="preserve"> </w:t>
            </w:r>
            <w:r>
              <w:rPr>
                <w:b w:val="0"/>
                <w:i w:val="0"/>
                <w:sz w:val="18"/>
              </w:rPr>
              <w:t>Currency unit class</w:t>
            </w:r>
          </w:p>
        </w:tc>
        <w:tc>
          <w:tcPr>
            <w:tcW w:type="dxa" w:w="1761"/>
            <w:vAlign w:val="center"/>
            <w:tcMar>
              <w:top w:w="80" w:type="dxa"/>
              <w:bottom w:w="80" w:type="dxa"/>
              <w:left w:w="100" w:type="dxa"/>
              <w:right w:w="100" w:type="dxa"/>
            </w:tcMar>
            <w:shd w:fill="FFFFFF"/>
          </w:tcPr>
          <w:p>
            <w:pPr>
              <w:keepNext w:val="0"/>
              <w:spacing w:after="0" w:before="0" w:line="252" w:lineRule="auto"/>
            </w:pPr>
            <w:r>
              <w:rPr>
                <w:b/>
                <w:i w:val="0"/>
                <w:sz w:val="18"/>
              </w:rPr>
              <w:t>0.56%</w:t>
            </w:r>
            <w:r>
              <w:rPr>
                <w:sz w:val="18"/>
              </w:rPr>
              <w:br/>
            </w:r>
            <w:r>
              <w:rPr>
                <w:b w:val="0"/>
                <w:i w:val="0"/>
                <w:sz w:val="18"/>
              </w:rPr>
              <w:t>Reported MER</w:t>
            </w:r>
          </w:p>
        </w:tc>
        <w:tc>
          <w:tcPr>
            <w:tcW w:type="dxa" w:w="3082"/>
            <w:vAlign w:val="center"/>
            <w:tcMar>
              <w:top w:w="80" w:type="dxa"/>
              <w:bottom w:w="80" w:type="dxa"/>
              <w:left w:w="100" w:type="dxa"/>
              <w:right w:w="100" w:type="dxa"/>
            </w:tcMar>
            <w:shd w:fill="FFFFFF"/>
          </w:tcPr>
          <w:p>
            <w:pPr>
              <w:keepNext w:val="0"/>
              <w:spacing w:after="0" w:before="0" w:line="252" w:lineRule="auto"/>
            </w:pPr>
            <w:r>
              <w:rPr>
                <w:b w:val="0"/>
                <w:i w:val="0"/>
                <w:sz w:val="18"/>
              </w:rPr>
              <w:t>Mainly Canada*</w:t>
            </w:r>
            <w:r>
              <w:rPr>
                <w:sz w:val="18"/>
              </w:rPr>
              <w:br/>
            </w:r>
            <w:r>
              <w:rPr>
                <w:b w:val="0"/>
                <w:i w:val="0"/>
                <w:sz w:val="18"/>
              </w:rPr>
              <w:t>Allocated / segregated; interim unallocated</w:t>
            </w:r>
          </w:p>
        </w:tc>
      </w:tr>
      <w:tr>
        <w:trPr>
          <w:cantSplit/>
        </w:trPr>
        <w:tc>
          <w:tcPr>
            <w:tcW w:type="dxa" w:w="3669"/>
            <w:vAlign w:val="center"/>
            <w:tcMar>
              <w:top w:w="80" w:type="dxa"/>
              <w:bottom w:w="80" w:type="dxa"/>
              <w:left w:w="100" w:type="dxa"/>
              <w:right w:w="100" w:type="dxa"/>
            </w:tcMar>
            <w:shd w:fill="F4F7F8"/>
          </w:tcPr>
          <w:p>
            <w:pPr>
              <w:keepNext w:val="0"/>
              <w:spacing w:after="0" w:before="0" w:line="252" w:lineRule="auto"/>
            </w:pPr>
            <w:r>
              <w:rPr>
                <w:b w:val="0"/>
                <w:i w:val="0"/>
                <w:sz w:val="18"/>
              </w:rPr>
              <w:t>CGL.C</w:t>
            </w:r>
            <w:r>
              <w:rPr>
                <w:sz w:val="18"/>
              </w:rPr>
              <w:br/>
            </w:r>
            <w:r>
              <w:rPr>
                <w:sz w:val="18"/>
              </w:rPr>
              <w:t xml:space="preserve"> </w:t>
            </w:r>
            <w:r>
              <w:rPr>
                <w:b w:val="0"/>
                <w:i w:val="0"/>
                <w:sz w:val="18"/>
              </w:rPr>
              <w:t>iShares Gold Bullion ETF unhedged units</w:t>
            </w:r>
            <w:r>
              <w:rPr>
                <w:sz w:val="18"/>
              </w:rPr>
              <w:br/>
            </w:r>
            <w:r>
              <w:rPr>
                <w:sz w:val="18"/>
              </w:rPr>
              <w:t xml:space="preserve"> </w:t>
            </w:r>
            <w:r>
              <w:rPr>
                <w:b w:val="0"/>
                <w:i w:val="0"/>
                <w:sz w:val="18"/>
              </w:rPr>
              <w:t>Gold</w:t>
            </w:r>
          </w:p>
        </w:tc>
        <w:tc>
          <w:tcPr>
            <w:tcW w:type="dxa" w:w="1761"/>
            <w:vAlign w:val="center"/>
            <w:tcMar>
              <w:top w:w="80" w:type="dxa"/>
              <w:bottom w:w="80" w:type="dxa"/>
              <w:left w:w="100" w:type="dxa"/>
              <w:right w:w="100" w:type="dxa"/>
            </w:tcMar>
            <w:shd w:fill="F4F7F8"/>
          </w:tcPr>
          <w:p>
            <w:pPr>
              <w:keepNext w:val="0"/>
              <w:spacing w:after="0" w:before="0" w:line="252" w:lineRule="auto"/>
            </w:pPr>
            <w:r>
              <w:rPr>
                <w:b/>
                <w:i w:val="0"/>
                <w:sz w:val="18"/>
              </w:rPr>
              <w:t>Canada</w:t>
            </w:r>
            <w:r>
              <w:rPr>
                <w:sz w:val="18"/>
              </w:rPr>
              <w:br/>
            </w:r>
            <w:r>
              <w:rPr>
                <w:sz w:val="18"/>
              </w:rPr>
              <w:t xml:space="preserve"> </w:t>
            </w:r>
            <w:r>
              <w:rPr>
                <w:b w:val="0"/>
                <w:i w:val="0"/>
                <w:sz w:val="18"/>
              </w:rPr>
              <w:t>Ontario trust class</w:t>
            </w:r>
          </w:p>
        </w:tc>
        <w:tc>
          <w:tcPr>
            <w:tcW w:type="dxa" w:w="2202"/>
            <w:vAlign w:val="center"/>
            <w:tcMar>
              <w:top w:w="80" w:type="dxa"/>
              <w:bottom w:w="80" w:type="dxa"/>
              <w:left w:w="100" w:type="dxa"/>
              <w:right w:w="100" w:type="dxa"/>
            </w:tcMar>
            <w:shd w:fill="F4F7F8"/>
          </w:tcPr>
          <w:p>
            <w:pPr>
              <w:keepNext w:val="0"/>
              <w:spacing w:after="0" w:before="0" w:line="252" w:lineRule="auto"/>
            </w:pPr>
            <w:r>
              <w:rPr>
                <w:b w:val="0"/>
                <w:i w:val="0"/>
                <w:sz w:val="18"/>
              </w:rPr>
              <w:t>TSX · CAD</w:t>
            </w:r>
            <w:r>
              <w:rPr>
                <w:sz w:val="18"/>
              </w:rPr>
              <w:br/>
            </w:r>
            <w:r>
              <w:rPr>
                <w:sz w:val="18"/>
              </w:rPr>
              <w:t xml:space="preserve"> </w:t>
            </w:r>
            <w:r>
              <w:rPr>
                <w:b w:val="0"/>
                <w:i w:val="0"/>
                <w:sz w:val="18"/>
              </w:rPr>
              <w:t>Unhedged</w:t>
            </w:r>
          </w:p>
        </w:tc>
        <w:tc>
          <w:tcPr>
            <w:tcW w:type="dxa" w:w="2202"/>
            <w:vAlign w:val="center"/>
            <w:tcMar>
              <w:top w:w="80" w:type="dxa"/>
              <w:bottom w:w="80" w:type="dxa"/>
              <w:left w:w="100" w:type="dxa"/>
              <w:right w:w="100" w:type="dxa"/>
            </w:tcMar>
            <w:shd w:fill="F4F7F8"/>
          </w:tcPr>
          <w:p>
            <w:pPr>
              <w:keepNext w:val="0"/>
              <w:spacing w:after="0" w:before="0" w:line="252" w:lineRule="auto"/>
            </w:pPr>
            <w:r>
              <w:rPr>
                <w:b/>
                <w:i w:val="0"/>
                <w:sz w:val="18"/>
              </w:rPr>
              <w:t>CAD 799.66m</w:t>
            </w:r>
            <w:r>
              <w:rPr>
                <w:sz w:val="18"/>
              </w:rPr>
              <w:br/>
            </w:r>
            <w:r>
              <w:rPr>
                <w:sz w:val="18"/>
              </w:rPr>
              <w:t xml:space="preserve"> </w:t>
            </w:r>
            <w:r>
              <w:rPr>
                <w:b w:val="0"/>
                <w:i w:val="0"/>
                <w:sz w:val="18"/>
              </w:rPr>
              <w:t>22 Sep 2026</w:t>
            </w:r>
            <w:r>
              <w:rPr>
                <w:sz w:val="18"/>
              </w:rPr>
              <w:br/>
            </w:r>
            <w:r>
              <w:rPr>
                <w:sz w:val="18"/>
              </w:rPr>
              <w:t xml:space="preserve"> </w:t>
            </w:r>
            <w:r>
              <w:rPr>
                <w:b w:val="0"/>
                <w:i w:val="0"/>
                <w:sz w:val="18"/>
              </w:rPr>
              <w:t>Currency unit class</w:t>
            </w:r>
          </w:p>
        </w:tc>
        <w:tc>
          <w:tcPr>
            <w:tcW w:type="dxa" w:w="1761"/>
            <w:vAlign w:val="center"/>
            <w:tcMar>
              <w:top w:w="80" w:type="dxa"/>
              <w:bottom w:w="80" w:type="dxa"/>
              <w:left w:w="100" w:type="dxa"/>
              <w:right w:w="100" w:type="dxa"/>
            </w:tcMar>
            <w:shd w:fill="F4F7F8"/>
          </w:tcPr>
          <w:p>
            <w:pPr>
              <w:keepNext w:val="0"/>
              <w:spacing w:after="0" w:before="0" w:line="252" w:lineRule="auto"/>
            </w:pPr>
            <w:r>
              <w:rPr>
                <w:b/>
                <w:i w:val="0"/>
                <w:sz w:val="18"/>
              </w:rPr>
              <w:t>0.55%</w:t>
            </w:r>
            <w:r>
              <w:rPr>
                <w:sz w:val="18"/>
              </w:rPr>
              <w:br/>
            </w:r>
            <w:r>
              <w:rPr>
                <w:b w:val="0"/>
                <w:i w:val="0"/>
                <w:sz w:val="18"/>
              </w:rPr>
              <w:t>Reported MER</w:t>
            </w:r>
          </w:p>
        </w:tc>
        <w:tc>
          <w:tcPr>
            <w:tcW w:type="dxa" w:w="3082"/>
            <w:vAlign w:val="center"/>
            <w:tcMar>
              <w:top w:w="80" w:type="dxa"/>
              <w:bottom w:w="80" w:type="dxa"/>
              <w:left w:w="100" w:type="dxa"/>
              <w:right w:w="100" w:type="dxa"/>
            </w:tcMar>
            <w:shd w:fill="F4F7F8"/>
          </w:tcPr>
          <w:p>
            <w:pPr>
              <w:keepNext w:val="0"/>
              <w:spacing w:after="0" w:before="0" w:line="252" w:lineRule="auto"/>
            </w:pPr>
            <w:r>
              <w:rPr>
                <w:b w:val="0"/>
                <w:i w:val="0"/>
                <w:sz w:val="18"/>
              </w:rPr>
              <w:t>Mainly Canada*</w:t>
            </w:r>
            <w:r>
              <w:rPr>
                <w:sz w:val="18"/>
              </w:rPr>
              <w:br/>
            </w:r>
            <w:r>
              <w:rPr>
                <w:b w:val="0"/>
                <w:i w:val="0"/>
                <w:sz w:val="18"/>
              </w:rPr>
              <w:t>Allocated / segregated; interim unallocated</w:t>
            </w:r>
          </w:p>
        </w:tc>
      </w:tr>
      <w:tr>
        <w:trPr>
          <w:cantSplit/>
        </w:trPr>
        <w:tc>
          <w:tcPr>
            <w:tcW w:type="dxa" w:w="3669"/>
            <w:vAlign w:val="center"/>
            <w:tcMar>
              <w:top w:w="80" w:type="dxa"/>
              <w:bottom w:w="80" w:type="dxa"/>
              <w:left w:w="100" w:type="dxa"/>
              <w:right w:w="100" w:type="dxa"/>
            </w:tcMar>
            <w:shd w:fill="FFFFFF"/>
          </w:tcPr>
          <w:p>
            <w:pPr>
              <w:keepNext w:val="0"/>
              <w:spacing w:after="0" w:before="0" w:line="252" w:lineRule="auto"/>
            </w:pPr>
            <w:r>
              <w:rPr>
                <w:b w:val="0"/>
                <w:i w:val="0"/>
                <w:sz w:val="18"/>
              </w:rPr>
              <w:t>SVR</w:t>
            </w:r>
            <w:r>
              <w:rPr>
                <w:sz w:val="18"/>
              </w:rPr>
              <w:br/>
            </w:r>
            <w:r>
              <w:rPr>
                <w:sz w:val="18"/>
              </w:rPr>
              <w:t xml:space="preserve"> </w:t>
            </w:r>
            <w:r>
              <w:rPr>
                <w:b w:val="0"/>
                <w:i w:val="0"/>
                <w:sz w:val="18"/>
              </w:rPr>
              <w:t>iShares Silver Bullion ETF hedged units</w:t>
            </w:r>
            <w:r>
              <w:rPr>
                <w:sz w:val="18"/>
              </w:rPr>
              <w:br/>
            </w:r>
            <w:r>
              <w:rPr>
                <w:sz w:val="18"/>
              </w:rPr>
              <w:t xml:space="preserve"> </w:t>
            </w:r>
            <w:r>
              <w:rPr>
                <w:b w:val="0"/>
                <w:i w:val="0"/>
                <w:sz w:val="18"/>
              </w:rPr>
              <w:t>Silver</w:t>
            </w:r>
          </w:p>
        </w:tc>
        <w:tc>
          <w:tcPr>
            <w:tcW w:type="dxa" w:w="1761"/>
            <w:vAlign w:val="center"/>
            <w:tcMar>
              <w:top w:w="80" w:type="dxa"/>
              <w:bottom w:w="80" w:type="dxa"/>
              <w:left w:w="100" w:type="dxa"/>
              <w:right w:w="100" w:type="dxa"/>
            </w:tcMar>
            <w:shd w:fill="FFFFFF"/>
          </w:tcPr>
          <w:p>
            <w:pPr>
              <w:keepNext w:val="0"/>
              <w:spacing w:after="0" w:before="0" w:line="252" w:lineRule="auto"/>
            </w:pPr>
            <w:r>
              <w:rPr>
                <w:b/>
                <w:i w:val="0"/>
                <w:sz w:val="18"/>
              </w:rPr>
              <w:t>Canada</w:t>
            </w:r>
            <w:r>
              <w:rPr>
                <w:sz w:val="18"/>
              </w:rPr>
              <w:br/>
            </w:r>
            <w:r>
              <w:rPr>
                <w:sz w:val="18"/>
              </w:rPr>
              <w:t xml:space="preserve"> </w:t>
            </w:r>
            <w:r>
              <w:rPr>
                <w:b w:val="0"/>
                <w:i w:val="0"/>
                <w:sz w:val="18"/>
              </w:rPr>
              <w:t>Ontario trust class</w:t>
            </w:r>
          </w:p>
        </w:tc>
        <w:tc>
          <w:tcPr>
            <w:tcW w:type="dxa" w:w="2202"/>
            <w:vAlign w:val="center"/>
            <w:tcMar>
              <w:top w:w="80" w:type="dxa"/>
              <w:bottom w:w="80" w:type="dxa"/>
              <w:left w:w="100" w:type="dxa"/>
              <w:right w:w="100" w:type="dxa"/>
            </w:tcMar>
            <w:shd w:fill="FFFFFF"/>
          </w:tcPr>
          <w:p>
            <w:pPr>
              <w:keepNext w:val="0"/>
              <w:spacing w:after="0" w:before="0" w:line="252" w:lineRule="auto"/>
            </w:pPr>
            <w:r>
              <w:rPr>
                <w:b w:val="0"/>
                <w:i w:val="0"/>
                <w:sz w:val="18"/>
              </w:rPr>
              <w:t>TSX · CAD</w:t>
            </w:r>
            <w:r>
              <w:rPr>
                <w:sz w:val="18"/>
              </w:rPr>
              <w:br/>
            </w:r>
            <w:r>
              <w:rPr>
                <w:sz w:val="18"/>
              </w:rPr>
              <w:t xml:space="preserve"> </w:t>
            </w:r>
            <w:r>
              <w:rPr>
                <w:b w:val="0"/>
                <w:i w:val="0"/>
                <w:sz w:val="18"/>
              </w:rPr>
              <w:t>CAD hedged</w:t>
            </w:r>
          </w:p>
        </w:tc>
        <w:tc>
          <w:tcPr>
            <w:tcW w:type="dxa" w:w="2202"/>
            <w:vAlign w:val="center"/>
            <w:tcMar>
              <w:top w:w="80" w:type="dxa"/>
              <w:bottom w:w="80" w:type="dxa"/>
              <w:left w:w="100" w:type="dxa"/>
              <w:right w:w="100" w:type="dxa"/>
            </w:tcMar>
            <w:shd w:fill="FFFFFF"/>
          </w:tcPr>
          <w:p>
            <w:pPr>
              <w:keepNext w:val="0"/>
              <w:spacing w:after="0" w:before="0" w:line="252" w:lineRule="auto"/>
            </w:pPr>
            <w:r>
              <w:rPr>
                <w:b/>
                <w:i w:val="0"/>
                <w:sz w:val="18"/>
              </w:rPr>
              <w:t>CAD 482.79m</w:t>
            </w:r>
            <w:r>
              <w:rPr>
                <w:sz w:val="18"/>
              </w:rPr>
              <w:br/>
            </w:r>
            <w:r>
              <w:rPr>
                <w:sz w:val="18"/>
              </w:rPr>
              <w:t xml:space="preserve"> </w:t>
            </w:r>
            <w:r>
              <w:rPr>
                <w:b w:val="0"/>
                <w:i w:val="0"/>
                <w:sz w:val="18"/>
              </w:rPr>
              <w:t>22 Sep 2026</w:t>
            </w:r>
            <w:r>
              <w:rPr>
                <w:sz w:val="18"/>
              </w:rPr>
              <w:br/>
            </w:r>
            <w:r>
              <w:rPr>
                <w:sz w:val="18"/>
              </w:rPr>
              <w:t xml:space="preserve"> </w:t>
            </w:r>
            <w:r>
              <w:rPr>
                <w:b w:val="0"/>
                <w:i w:val="0"/>
                <w:sz w:val="18"/>
              </w:rPr>
              <w:t>Currency unit class</w:t>
            </w:r>
          </w:p>
        </w:tc>
        <w:tc>
          <w:tcPr>
            <w:tcW w:type="dxa" w:w="1761"/>
            <w:vAlign w:val="center"/>
            <w:tcMar>
              <w:top w:w="80" w:type="dxa"/>
              <w:bottom w:w="80" w:type="dxa"/>
              <w:left w:w="100" w:type="dxa"/>
              <w:right w:w="100" w:type="dxa"/>
            </w:tcMar>
            <w:shd w:fill="FFFFFF"/>
          </w:tcPr>
          <w:p>
            <w:pPr>
              <w:keepNext w:val="0"/>
              <w:spacing w:after="0" w:before="0" w:line="252" w:lineRule="auto"/>
            </w:pPr>
            <w:r>
              <w:rPr>
                <w:b/>
                <w:i w:val="0"/>
                <w:sz w:val="18"/>
              </w:rPr>
              <w:t>0.66%</w:t>
            </w:r>
            <w:r>
              <w:rPr>
                <w:sz w:val="18"/>
              </w:rPr>
              <w:br/>
            </w:r>
            <w:r>
              <w:rPr>
                <w:b w:val="0"/>
                <w:i w:val="0"/>
                <w:sz w:val="18"/>
              </w:rPr>
              <w:t>Reported MER</w:t>
            </w:r>
          </w:p>
        </w:tc>
        <w:tc>
          <w:tcPr>
            <w:tcW w:type="dxa" w:w="3082"/>
            <w:vAlign w:val="center"/>
            <w:tcMar>
              <w:top w:w="80" w:type="dxa"/>
              <w:bottom w:w="80" w:type="dxa"/>
              <w:left w:w="100" w:type="dxa"/>
              <w:right w:w="100" w:type="dxa"/>
            </w:tcMar>
            <w:shd w:fill="FFFFFF"/>
          </w:tcPr>
          <w:p>
            <w:pPr>
              <w:keepNext w:val="0"/>
              <w:spacing w:after="0" w:before="0" w:line="252" w:lineRule="auto"/>
            </w:pPr>
            <w:r>
              <w:rPr>
                <w:b w:val="0"/>
                <w:i w:val="0"/>
                <w:sz w:val="18"/>
              </w:rPr>
              <w:t>Mainly Canada*</w:t>
            </w:r>
            <w:r>
              <w:rPr>
                <w:sz w:val="18"/>
              </w:rPr>
              <w:br/>
            </w:r>
            <w:r>
              <w:rPr>
                <w:b w:val="0"/>
                <w:i w:val="0"/>
                <w:sz w:val="18"/>
              </w:rPr>
              <w:t>Allocated / segregated; interim unallocated</w:t>
            </w:r>
          </w:p>
        </w:tc>
      </w:tr>
      <w:tr>
        <w:trPr>
          <w:cantSplit/>
        </w:trPr>
        <w:tc>
          <w:tcPr>
            <w:tcW w:type="dxa" w:w="3669"/>
            <w:vAlign w:val="center"/>
            <w:tcMar>
              <w:top w:w="80" w:type="dxa"/>
              <w:bottom w:w="80" w:type="dxa"/>
              <w:left w:w="100" w:type="dxa"/>
              <w:right w:w="100" w:type="dxa"/>
            </w:tcMar>
            <w:shd w:fill="F4F7F8"/>
          </w:tcPr>
          <w:p>
            <w:pPr>
              <w:keepNext w:val="0"/>
              <w:spacing w:after="0" w:before="0" w:line="252" w:lineRule="auto"/>
            </w:pPr>
            <w:r>
              <w:rPr>
                <w:b w:val="0"/>
                <w:i w:val="0"/>
                <w:sz w:val="18"/>
              </w:rPr>
              <w:t>SVR.C</w:t>
            </w:r>
            <w:r>
              <w:rPr>
                <w:sz w:val="18"/>
              </w:rPr>
              <w:br/>
            </w:r>
            <w:r>
              <w:rPr>
                <w:sz w:val="18"/>
              </w:rPr>
              <w:t xml:space="preserve"> </w:t>
            </w:r>
            <w:r>
              <w:rPr>
                <w:b w:val="0"/>
                <w:i w:val="0"/>
                <w:sz w:val="18"/>
              </w:rPr>
              <w:t>iShares Silver Bullion ETF unhedged units</w:t>
            </w:r>
            <w:r>
              <w:rPr>
                <w:sz w:val="18"/>
              </w:rPr>
              <w:br/>
            </w:r>
            <w:r>
              <w:rPr>
                <w:sz w:val="18"/>
              </w:rPr>
              <w:t xml:space="preserve"> </w:t>
            </w:r>
            <w:r>
              <w:rPr>
                <w:b w:val="0"/>
                <w:i w:val="0"/>
                <w:sz w:val="18"/>
              </w:rPr>
              <w:t>Silver</w:t>
            </w:r>
          </w:p>
        </w:tc>
        <w:tc>
          <w:tcPr>
            <w:tcW w:type="dxa" w:w="1761"/>
            <w:vAlign w:val="center"/>
            <w:tcMar>
              <w:top w:w="80" w:type="dxa"/>
              <w:bottom w:w="80" w:type="dxa"/>
              <w:left w:w="100" w:type="dxa"/>
              <w:right w:w="100" w:type="dxa"/>
            </w:tcMar>
            <w:shd w:fill="F4F7F8"/>
          </w:tcPr>
          <w:p>
            <w:pPr>
              <w:keepNext w:val="0"/>
              <w:spacing w:after="0" w:before="0" w:line="252" w:lineRule="auto"/>
            </w:pPr>
            <w:r>
              <w:rPr>
                <w:b/>
                <w:i w:val="0"/>
                <w:sz w:val="18"/>
              </w:rPr>
              <w:t>Canada</w:t>
            </w:r>
            <w:r>
              <w:rPr>
                <w:sz w:val="18"/>
              </w:rPr>
              <w:br/>
            </w:r>
            <w:r>
              <w:rPr>
                <w:sz w:val="18"/>
              </w:rPr>
              <w:t xml:space="preserve"> </w:t>
            </w:r>
            <w:r>
              <w:rPr>
                <w:b w:val="0"/>
                <w:i w:val="0"/>
                <w:sz w:val="18"/>
              </w:rPr>
              <w:t>Ontario trust class</w:t>
            </w:r>
          </w:p>
        </w:tc>
        <w:tc>
          <w:tcPr>
            <w:tcW w:type="dxa" w:w="2202"/>
            <w:vAlign w:val="center"/>
            <w:tcMar>
              <w:top w:w="80" w:type="dxa"/>
              <w:bottom w:w="80" w:type="dxa"/>
              <w:left w:w="100" w:type="dxa"/>
              <w:right w:w="100" w:type="dxa"/>
            </w:tcMar>
            <w:shd w:fill="F4F7F8"/>
          </w:tcPr>
          <w:p>
            <w:pPr>
              <w:keepNext w:val="0"/>
              <w:spacing w:after="0" w:before="0" w:line="252" w:lineRule="auto"/>
            </w:pPr>
            <w:r>
              <w:rPr>
                <w:b w:val="0"/>
                <w:i w:val="0"/>
                <w:sz w:val="18"/>
              </w:rPr>
              <w:t>TSX · CAD</w:t>
            </w:r>
            <w:r>
              <w:rPr>
                <w:sz w:val="18"/>
              </w:rPr>
              <w:br/>
            </w:r>
            <w:r>
              <w:rPr>
                <w:sz w:val="18"/>
              </w:rPr>
              <w:t xml:space="preserve"> </w:t>
            </w:r>
            <w:r>
              <w:rPr>
                <w:b w:val="0"/>
                <w:i w:val="0"/>
                <w:sz w:val="18"/>
              </w:rPr>
              <w:t>Unhedged</w:t>
            </w:r>
          </w:p>
        </w:tc>
        <w:tc>
          <w:tcPr>
            <w:tcW w:type="dxa" w:w="2202"/>
            <w:vAlign w:val="center"/>
            <w:tcMar>
              <w:top w:w="80" w:type="dxa"/>
              <w:bottom w:w="80" w:type="dxa"/>
              <w:left w:w="100" w:type="dxa"/>
              <w:right w:w="100" w:type="dxa"/>
            </w:tcMar>
            <w:shd w:fill="F4F7F8"/>
          </w:tcPr>
          <w:p>
            <w:pPr>
              <w:keepNext w:val="0"/>
              <w:spacing w:after="0" w:before="0" w:line="252" w:lineRule="auto"/>
            </w:pPr>
            <w:r>
              <w:rPr>
                <w:b/>
                <w:i w:val="0"/>
                <w:sz w:val="18"/>
              </w:rPr>
              <w:t>CAD 142.76m</w:t>
            </w:r>
            <w:r>
              <w:rPr>
                <w:sz w:val="18"/>
              </w:rPr>
              <w:br/>
            </w:r>
            <w:r>
              <w:rPr>
                <w:sz w:val="18"/>
              </w:rPr>
              <w:t xml:space="preserve"> </w:t>
            </w:r>
            <w:r>
              <w:rPr>
                <w:b w:val="0"/>
                <w:i w:val="0"/>
                <w:sz w:val="18"/>
              </w:rPr>
              <w:t>22 Sep 2026</w:t>
            </w:r>
            <w:r>
              <w:rPr>
                <w:sz w:val="18"/>
              </w:rPr>
              <w:br/>
            </w:r>
            <w:r>
              <w:rPr>
                <w:sz w:val="18"/>
              </w:rPr>
              <w:t xml:space="preserve"> </w:t>
            </w:r>
            <w:r>
              <w:rPr>
                <w:b w:val="0"/>
                <w:i w:val="0"/>
                <w:sz w:val="18"/>
              </w:rPr>
              <w:t>Currency unit class</w:t>
            </w:r>
          </w:p>
        </w:tc>
        <w:tc>
          <w:tcPr>
            <w:tcW w:type="dxa" w:w="1761"/>
            <w:vAlign w:val="center"/>
            <w:tcMar>
              <w:top w:w="80" w:type="dxa"/>
              <w:bottom w:w="80" w:type="dxa"/>
              <w:left w:w="100" w:type="dxa"/>
              <w:right w:w="100" w:type="dxa"/>
            </w:tcMar>
            <w:shd w:fill="F4F7F8"/>
          </w:tcPr>
          <w:p>
            <w:pPr>
              <w:keepNext w:val="0"/>
              <w:spacing w:after="0" w:before="0" w:line="252" w:lineRule="auto"/>
            </w:pPr>
            <w:r>
              <w:rPr>
                <w:b/>
                <w:i w:val="0"/>
                <w:sz w:val="18"/>
              </w:rPr>
              <w:t>0.66%</w:t>
            </w:r>
            <w:r>
              <w:rPr>
                <w:sz w:val="18"/>
              </w:rPr>
              <w:br/>
            </w:r>
            <w:r>
              <w:rPr>
                <w:b w:val="0"/>
                <w:i w:val="0"/>
                <w:sz w:val="18"/>
              </w:rPr>
              <w:t>Reported MER</w:t>
            </w:r>
          </w:p>
        </w:tc>
        <w:tc>
          <w:tcPr>
            <w:tcW w:type="dxa" w:w="3082"/>
            <w:vAlign w:val="center"/>
            <w:tcMar>
              <w:top w:w="80" w:type="dxa"/>
              <w:bottom w:w="80" w:type="dxa"/>
              <w:left w:w="100" w:type="dxa"/>
              <w:right w:w="100" w:type="dxa"/>
            </w:tcMar>
            <w:shd w:fill="F4F7F8"/>
          </w:tcPr>
          <w:p>
            <w:pPr>
              <w:keepNext w:val="0"/>
              <w:spacing w:after="0" w:before="0" w:line="252" w:lineRule="auto"/>
            </w:pPr>
            <w:r>
              <w:rPr>
                <w:b w:val="0"/>
                <w:i w:val="0"/>
                <w:sz w:val="18"/>
              </w:rPr>
              <w:t>Mainly Canada*</w:t>
            </w:r>
            <w:r>
              <w:rPr>
                <w:sz w:val="18"/>
              </w:rPr>
              <w:br/>
            </w:r>
            <w:r>
              <w:rPr>
                <w:b w:val="0"/>
                <w:i w:val="0"/>
                <w:sz w:val="18"/>
              </w:rPr>
              <w:t>Allocated / segregated; interim unallocated</w:t>
            </w:r>
          </w:p>
        </w:tc>
      </w:tr>
    </w:tbl>
    <w:p>
      <w:pPr>
        <w:spacing w:after="60" w:before="0" w:line="40" w:lineRule="exact"/>
      </w:pPr>
      <w:r>
        <w:rPr>
          <w:sz w:val="4"/>
        </w:rPr>
      </w:r>
    </w:p>
    <w:p>
      <w:pPr>
        <w:spacing w:after="100"/>
      </w:pPr>
      <w:r>
        <w:rPr>
          <w:b w:val="0"/>
          <w:sz w:val="18"/>
        </w:rPr>
        <w:t>Native currency and valuation date retained. Fees follow the issuer’s stated basis. Location permissions and underlying structure are qualified in the detailed product records.</w:t>
      </w:r>
    </w:p>
    <w:p>
      <w:r>
        <w:br w:type="page"/>
      </w:r>
    </w:p>
    <w:p>
      <w:pPr>
        <w:pStyle w:val="Heading1"/>
        <w:pageBreakBefore w:val="0"/>
      </w:pPr>
      <w:r>
        <w:t>Local ETFs hold Irish bullion ETC securities</w:t>
      </w:r>
    </w:p>
    <w:p>
      <w:r>
        <w:rPr>
          <w:b w:val="0"/>
          <w:i w:val="0"/>
        </w:rPr>
        <w:t>Their AUM overlaps the underlying Irish ETCs. The Japanese figures use the latest saved issuer valuation date, 18 September 2026.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69"/>
        <w:gridCol w:w="1761"/>
        <w:gridCol w:w="2202"/>
        <w:gridCol w:w="2202"/>
        <w:gridCol w:w="1761"/>
        <w:gridCol w:w="3082"/>
      </w:tblGrid>
      <w:tr>
        <w:trPr>
          <w:tblHeader/>
          <w:cantSplit/>
        </w:trPr>
        <w:tc>
          <w:tcPr>
            <w:tcW w:type="dxa" w:w="3669"/>
            <w:vAlign w:val="center"/>
            <w:tcMar>
              <w:top w:w="80" w:type="dxa"/>
              <w:bottom w:w="80" w:type="dxa"/>
              <w:left w:w="100" w:type="dxa"/>
              <w:right w:w="100" w:type="dxa"/>
            </w:tcMar>
            <w:shd w:fill="DCE6EB"/>
          </w:tcPr>
          <w:p>
            <w:pPr>
              <w:keepNext/>
              <w:spacing w:after="0" w:before="0" w:line="252" w:lineRule="auto"/>
            </w:pPr>
            <w:r>
              <w:rPr>
                <w:b/>
                <w:i w:val="0"/>
                <w:sz w:val="18"/>
              </w:rPr>
              <w:t>Product / trading ticker</w:t>
            </w:r>
          </w:p>
        </w:tc>
        <w:tc>
          <w:tcPr>
            <w:tcW w:type="dxa" w:w="1761"/>
            <w:vAlign w:val="center"/>
            <w:tcMar>
              <w:top w:w="80" w:type="dxa"/>
              <w:bottom w:w="80" w:type="dxa"/>
              <w:left w:w="100" w:type="dxa"/>
              <w:right w:w="100" w:type="dxa"/>
            </w:tcMar>
            <w:shd w:fill="DCE6EB"/>
          </w:tcPr>
          <w:p>
            <w:pPr>
              <w:keepNext/>
              <w:spacing w:after="0" w:before="0" w:line="252" w:lineRule="auto"/>
            </w:pPr>
            <w:r>
              <w:rPr>
                <w:b/>
                <w:i w:val="0"/>
                <w:sz w:val="18"/>
              </w:rPr>
              <w:t>Domicile / form</w:t>
            </w:r>
          </w:p>
        </w:tc>
        <w:tc>
          <w:tcPr>
            <w:tcW w:type="dxa" w:w="2202"/>
            <w:vAlign w:val="center"/>
            <w:tcMar>
              <w:top w:w="80" w:type="dxa"/>
              <w:bottom w:w="80" w:type="dxa"/>
              <w:left w:w="100" w:type="dxa"/>
              <w:right w:w="100" w:type="dxa"/>
            </w:tcMar>
            <w:shd w:fill="DCE6EB"/>
          </w:tcPr>
          <w:p>
            <w:pPr>
              <w:keepNext/>
              <w:spacing w:after="0" w:before="0" w:line="252" w:lineRule="auto"/>
            </w:pPr>
            <w:r>
              <w:rPr>
                <w:b/>
                <w:i w:val="0"/>
                <w:sz w:val="18"/>
              </w:rPr>
              <w:t>Selected market / hedge</w:t>
            </w:r>
          </w:p>
        </w:tc>
        <w:tc>
          <w:tcPr>
            <w:tcW w:type="dxa" w:w="2202"/>
            <w:vAlign w:val="center"/>
            <w:tcMar>
              <w:top w:w="80" w:type="dxa"/>
              <w:bottom w:w="80" w:type="dxa"/>
              <w:left w:w="100" w:type="dxa"/>
              <w:right w:w="100" w:type="dxa"/>
            </w:tcMar>
            <w:shd w:fill="DCE6EB"/>
          </w:tcPr>
          <w:p>
            <w:pPr>
              <w:keepNext/>
              <w:spacing w:after="0" w:before="0" w:line="252" w:lineRule="auto"/>
            </w:pPr>
            <w:r>
              <w:rPr>
                <w:b/>
                <w:i w:val="0"/>
                <w:sz w:val="18"/>
              </w:rPr>
              <w:t>Net assets¹</w:t>
            </w:r>
          </w:p>
        </w:tc>
        <w:tc>
          <w:tcPr>
            <w:tcW w:type="dxa" w:w="1761"/>
            <w:vAlign w:val="center"/>
            <w:tcMar>
              <w:top w:w="80" w:type="dxa"/>
              <w:bottom w:w="80" w:type="dxa"/>
              <w:left w:w="100" w:type="dxa"/>
              <w:right w:w="100" w:type="dxa"/>
            </w:tcMar>
            <w:shd w:fill="DCE6EB"/>
          </w:tcPr>
          <w:p>
            <w:pPr>
              <w:keepNext/>
              <w:spacing w:after="0" w:before="0" w:line="252" w:lineRule="auto"/>
            </w:pPr>
            <w:r>
              <w:rPr>
                <w:b/>
                <w:i w:val="0"/>
                <w:sz w:val="18"/>
              </w:rPr>
              <w:t>Annual fee²</w:t>
            </w:r>
          </w:p>
        </w:tc>
        <w:tc>
          <w:tcPr>
            <w:tcW w:type="dxa" w:w="3082"/>
            <w:vAlign w:val="center"/>
            <w:tcMar>
              <w:top w:w="80" w:type="dxa"/>
              <w:bottom w:w="80" w:type="dxa"/>
              <w:left w:w="100" w:type="dxa"/>
              <w:right w:w="100" w:type="dxa"/>
            </w:tcMar>
            <w:shd w:fill="DCE6EB"/>
          </w:tcPr>
          <w:p>
            <w:pPr>
              <w:keepNext/>
              <w:spacing w:after="0" w:before="0" w:line="252" w:lineRule="auto"/>
            </w:pPr>
            <w:r>
              <w:rPr>
                <w:b/>
                <w:i w:val="0"/>
                <w:sz w:val="18"/>
              </w:rPr>
              <w:t>Bullion location³ / allocation</w:t>
            </w:r>
          </w:p>
        </w:tc>
      </w:tr>
      <w:tr>
        <w:trPr>
          <w:cantSplit/>
        </w:trPr>
        <w:tc>
          <w:tcPr>
            <w:tcW w:type="dxa" w:w="3669"/>
            <w:vAlign w:val="center"/>
            <w:tcMar>
              <w:top w:w="80" w:type="dxa"/>
              <w:bottom w:w="80" w:type="dxa"/>
              <w:left w:w="100" w:type="dxa"/>
              <w:right w:w="100" w:type="dxa"/>
            </w:tcMar>
            <w:shd w:fill="FFFFFF"/>
          </w:tcPr>
          <w:p>
            <w:pPr>
              <w:keepNext w:val="0"/>
              <w:spacing w:after="0" w:before="0" w:line="252" w:lineRule="auto"/>
            </w:pPr>
            <w:r>
              <w:rPr>
                <w:b w:val="0"/>
                <w:i w:val="0"/>
                <w:sz w:val="18"/>
              </w:rPr>
              <w:t>GLDN</w:t>
            </w:r>
            <w:r>
              <w:rPr>
                <w:sz w:val="18"/>
              </w:rPr>
              <w:br/>
            </w:r>
            <w:r>
              <w:rPr>
                <w:sz w:val="18"/>
              </w:rPr>
              <w:t xml:space="preserve"> </w:t>
            </w:r>
            <w:r>
              <w:rPr>
                <w:b w:val="0"/>
                <w:i w:val="0"/>
                <w:sz w:val="18"/>
              </w:rPr>
              <w:t>iShares Physical Gold ETF</w:t>
            </w:r>
            <w:r>
              <w:rPr>
                <w:sz w:val="18"/>
              </w:rPr>
              <w:br/>
            </w:r>
            <w:r>
              <w:rPr>
                <w:sz w:val="18"/>
              </w:rPr>
              <w:t xml:space="preserve"> </w:t>
            </w:r>
            <w:r>
              <w:rPr>
                <w:b w:val="0"/>
                <w:i w:val="0"/>
                <w:sz w:val="18"/>
              </w:rPr>
              <w:t>Gold</w:t>
            </w:r>
          </w:p>
        </w:tc>
        <w:tc>
          <w:tcPr>
            <w:tcW w:type="dxa" w:w="1761"/>
            <w:vAlign w:val="center"/>
            <w:tcMar>
              <w:top w:w="80" w:type="dxa"/>
              <w:bottom w:w="80" w:type="dxa"/>
              <w:left w:w="100" w:type="dxa"/>
              <w:right w:w="100" w:type="dxa"/>
            </w:tcMar>
            <w:shd w:fill="FFFFFF"/>
          </w:tcPr>
          <w:p>
            <w:pPr>
              <w:keepNext w:val="0"/>
              <w:spacing w:after="0" w:before="0" w:line="252" w:lineRule="auto"/>
            </w:pPr>
            <w:r>
              <w:rPr>
                <w:b/>
                <w:i w:val="0"/>
                <w:sz w:val="18"/>
              </w:rPr>
              <w:t>Australia</w:t>
            </w:r>
            <w:r>
              <w:rPr>
                <w:sz w:val="18"/>
              </w:rPr>
              <w:br/>
            </w:r>
            <w:r>
              <w:rPr>
                <w:sz w:val="18"/>
              </w:rPr>
              <w:t xml:space="preserve"> </w:t>
            </w:r>
            <w:r>
              <w:rPr>
                <w:b w:val="0"/>
                <w:i w:val="0"/>
                <w:sz w:val="18"/>
              </w:rPr>
              <w:t>ETF holding Irish ETC</w:t>
            </w:r>
          </w:p>
        </w:tc>
        <w:tc>
          <w:tcPr>
            <w:tcW w:type="dxa" w:w="2202"/>
            <w:vAlign w:val="center"/>
            <w:tcMar>
              <w:top w:w="80" w:type="dxa"/>
              <w:bottom w:w="80" w:type="dxa"/>
              <w:left w:w="100" w:type="dxa"/>
              <w:right w:w="100" w:type="dxa"/>
            </w:tcMar>
            <w:shd w:fill="FFFFFF"/>
          </w:tcPr>
          <w:p>
            <w:pPr>
              <w:keepNext w:val="0"/>
              <w:spacing w:after="0" w:before="0" w:line="252" w:lineRule="auto"/>
            </w:pPr>
            <w:r>
              <w:rPr>
                <w:b w:val="0"/>
                <w:i w:val="0"/>
                <w:sz w:val="18"/>
              </w:rPr>
              <w:t>ASX · AUD</w:t>
            </w:r>
            <w:r>
              <w:rPr>
                <w:sz w:val="18"/>
              </w:rPr>
              <w:br/>
            </w:r>
            <w:r>
              <w:rPr>
                <w:sz w:val="18"/>
              </w:rPr>
              <w:t xml:space="preserve"> </w:t>
            </w:r>
            <w:r>
              <w:rPr>
                <w:b w:val="0"/>
                <w:i w:val="0"/>
                <w:sz w:val="18"/>
              </w:rPr>
              <w:t>Unhedged</w:t>
            </w:r>
          </w:p>
        </w:tc>
        <w:tc>
          <w:tcPr>
            <w:tcW w:type="dxa" w:w="2202"/>
            <w:vAlign w:val="center"/>
            <w:tcMar>
              <w:top w:w="80" w:type="dxa"/>
              <w:bottom w:w="80" w:type="dxa"/>
              <w:left w:w="100" w:type="dxa"/>
              <w:right w:w="100" w:type="dxa"/>
            </w:tcMar>
            <w:shd w:fill="FFFFFF"/>
          </w:tcPr>
          <w:p>
            <w:pPr>
              <w:keepNext w:val="0"/>
              <w:spacing w:after="0" w:before="0" w:line="252" w:lineRule="auto"/>
            </w:pPr>
            <w:r>
              <w:rPr>
                <w:b/>
                <w:i w:val="0"/>
                <w:sz w:val="18"/>
              </w:rPr>
              <w:t>AUD 461.28m</w:t>
            </w:r>
            <w:r>
              <w:rPr>
                <w:sz w:val="18"/>
              </w:rPr>
              <w:br/>
            </w:r>
            <w:r>
              <w:rPr>
                <w:sz w:val="18"/>
              </w:rPr>
              <w:t xml:space="preserve"> </w:t>
            </w:r>
            <w:r>
              <w:rPr>
                <w:b w:val="0"/>
                <w:i w:val="0"/>
                <w:sz w:val="18"/>
              </w:rPr>
              <w:t>22 Sep 2026</w:t>
            </w:r>
            <w:r>
              <w:rPr>
                <w:sz w:val="18"/>
              </w:rPr>
              <w:br/>
            </w:r>
            <w:r>
              <w:rPr>
                <w:sz w:val="18"/>
              </w:rPr>
              <w:t xml:space="preserve"> </w:t>
            </w:r>
            <w:r>
              <w:rPr>
                <w:b w:val="0"/>
                <w:i w:val="0"/>
                <w:sz w:val="18"/>
              </w:rPr>
              <w:t>Feeder ETF net assets</w:t>
            </w:r>
          </w:p>
        </w:tc>
        <w:tc>
          <w:tcPr>
            <w:tcW w:type="dxa" w:w="1761"/>
            <w:vAlign w:val="center"/>
            <w:tcMar>
              <w:top w:w="80" w:type="dxa"/>
              <w:bottom w:w="80" w:type="dxa"/>
              <w:left w:w="100" w:type="dxa"/>
              <w:right w:w="100" w:type="dxa"/>
            </w:tcMar>
            <w:shd w:fill="FFFFFF"/>
          </w:tcPr>
          <w:p>
            <w:pPr>
              <w:keepNext w:val="0"/>
              <w:spacing w:after="0" w:before="0" w:line="252" w:lineRule="auto"/>
            </w:pPr>
            <w:r>
              <w:rPr>
                <w:b/>
                <w:i w:val="0"/>
                <w:sz w:val="18"/>
              </w:rPr>
              <w:t>0.18%</w:t>
            </w:r>
            <w:r>
              <w:rPr>
                <w:sz w:val="18"/>
              </w:rPr>
              <w:br/>
            </w:r>
            <w:r>
              <w:rPr>
                <w:b w:val="0"/>
                <w:i w:val="0"/>
                <w:sz w:val="18"/>
              </w:rPr>
              <w:t>Management fees and costs</w:t>
            </w:r>
          </w:p>
        </w:tc>
        <w:tc>
          <w:tcPr>
            <w:tcW w:type="dxa" w:w="3082"/>
            <w:vAlign w:val="center"/>
            <w:tcMar>
              <w:top w:w="80" w:type="dxa"/>
              <w:bottom w:w="80" w:type="dxa"/>
              <w:left w:w="100" w:type="dxa"/>
              <w:right w:w="100" w:type="dxa"/>
            </w:tcMar>
            <w:shd w:fill="FFFFFF"/>
          </w:tcPr>
          <w:p>
            <w:pPr>
              <w:keepNext w:val="0"/>
              <w:spacing w:after="0" w:before="0" w:line="252" w:lineRule="auto"/>
            </w:pPr>
            <w:r>
              <w:rPr>
                <w:b w:val="0"/>
                <w:i w:val="0"/>
                <w:sz w:val="18"/>
              </w:rPr>
              <w:t>London (underlying)</w:t>
            </w:r>
            <w:r>
              <w:rPr>
                <w:sz w:val="18"/>
              </w:rPr>
              <w:br/>
            </w:r>
            <w:r>
              <w:rPr>
                <w:b w:val="0"/>
                <w:i w:val="0"/>
                <w:sz w:val="18"/>
              </w:rPr>
              <w:t>Indirect via allocated-metal ETC</w:t>
            </w:r>
          </w:p>
        </w:tc>
      </w:tr>
      <w:tr>
        <w:trPr>
          <w:cantSplit/>
        </w:trPr>
        <w:tc>
          <w:tcPr>
            <w:tcW w:type="dxa" w:w="3669"/>
            <w:vAlign w:val="center"/>
            <w:tcMar>
              <w:top w:w="80" w:type="dxa"/>
              <w:bottom w:w="80" w:type="dxa"/>
              <w:left w:w="100" w:type="dxa"/>
              <w:right w:w="100" w:type="dxa"/>
            </w:tcMar>
            <w:shd w:fill="F4F7F8"/>
          </w:tcPr>
          <w:p>
            <w:pPr>
              <w:keepNext w:val="0"/>
              <w:spacing w:after="0" w:before="0" w:line="252" w:lineRule="auto"/>
            </w:pPr>
            <w:r>
              <w:rPr>
                <w:b w:val="0"/>
                <w:i w:val="0"/>
                <w:sz w:val="18"/>
              </w:rPr>
              <w:t>314A</w:t>
            </w:r>
            <w:r>
              <w:rPr>
                <w:sz w:val="18"/>
              </w:rPr>
              <w:br/>
            </w:r>
            <w:r>
              <w:rPr>
                <w:sz w:val="18"/>
              </w:rPr>
              <w:t xml:space="preserve"> </w:t>
            </w:r>
            <w:r>
              <w:rPr>
                <w:b w:val="0"/>
                <w:i w:val="0"/>
                <w:sz w:val="18"/>
              </w:rPr>
              <w:t>iShares Gold ETF</w:t>
            </w:r>
            <w:r>
              <w:rPr>
                <w:sz w:val="18"/>
              </w:rPr>
              <w:br/>
            </w:r>
            <w:r>
              <w:rPr>
                <w:sz w:val="18"/>
              </w:rPr>
              <w:t xml:space="preserve"> </w:t>
            </w:r>
            <w:r>
              <w:rPr>
                <w:b w:val="0"/>
                <w:i w:val="0"/>
                <w:sz w:val="18"/>
              </w:rPr>
              <w:t>Gold</w:t>
            </w:r>
          </w:p>
        </w:tc>
        <w:tc>
          <w:tcPr>
            <w:tcW w:type="dxa" w:w="1761"/>
            <w:vAlign w:val="center"/>
            <w:tcMar>
              <w:top w:w="80" w:type="dxa"/>
              <w:bottom w:w="80" w:type="dxa"/>
              <w:left w:w="100" w:type="dxa"/>
              <w:right w:w="100" w:type="dxa"/>
            </w:tcMar>
            <w:shd w:fill="F4F7F8"/>
          </w:tcPr>
          <w:p>
            <w:pPr>
              <w:keepNext w:val="0"/>
              <w:spacing w:after="0" w:before="0" w:line="252" w:lineRule="auto"/>
            </w:pPr>
            <w:r>
              <w:rPr>
                <w:b/>
                <w:i w:val="0"/>
                <w:sz w:val="18"/>
              </w:rPr>
              <w:t>Japan</w:t>
            </w:r>
            <w:r>
              <w:rPr>
                <w:sz w:val="18"/>
              </w:rPr>
              <w:br/>
            </w:r>
            <w:r>
              <w:rPr>
                <w:sz w:val="18"/>
              </w:rPr>
              <w:t xml:space="preserve"> </w:t>
            </w:r>
            <w:r>
              <w:rPr>
                <w:b w:val="0"/>
                <w:i w:val="0"/>
                <w:sz w:val="18"/>
              </w:rPr>
              <w:t>ETF holding Irish ETC</w:t>
            </w:r>
          </w:p>
        </w:tc>
        <w:tc>
          <w:tcPr>
            <w:tcW w:type="dxa" w:w="2202"/>
            <w:vAlign w:val="center"/>
            <w:tcMar>
              <w:top w:w="80" w:type="dxa"/>
              <w:bottom w:w="80" w:type="dxa"/>
              <w:left w:w="100" w:type="dxa"/>
              <w:right w:w="100" w:type="dxa"/>
            </w:tcMar>
            <w:shd w:fill="F4F7F8"/>
          </w:tcPr>
          <w:p>
            <w:pPr>
              <w:keepNext w:val="0"/>
              <w:spacing w:after="0" w:before="0" w:line="252" w:lineRule="auto"/>
            </w:pPr>
            <w:r>
              <w:rPr>
                <w:b w:val="0"/>
                <w:i w:val="0"/>
                <w:sz w:val="18"/>
              </w:rPr>
              <w:t>Tokyo · JPY</w:t>
            </w:r>
            <w:r>
              <w:rPr>
                <w:sz w:val="18"/>
              </w:rPr>
              <w:br/>
            </w:r>
            <w:r>
              <w:rPr>
                <w:sz w:val="18"/>
              </w:rPr>
              <w:t xml:space="preserve"> </w:t>
            </w:r>
            <w:r>
              <w:rPr>
                <w:b w:val="0"/>
                <w:i w:val="0"/>
                <w:sz w:val="18"/>
              </w:rPr>
              <w:t>Unhedged</w:t>
            </w:r>
          </w:p>
        </w:tc>
        <w:tc>
          <w:tcPr>
            <w:tcW w:type="dxa" w:w="2202"/>
            <w:vAlign w:val="center"/>
            <w:tcMar>
              <w:top w:w="80" w:type="dxa"/>
              <w:bottom w:w="80" w:type="dxa"/>
              <w:left w:w="100" w:type="dxa"/>
              <w:right w:w="100" w:type="dxa"/>
            </w:tcMar>
            <w:shd w:fill="F4F7F8"/>
          </w:tcPr>
          <w:p>
            <w:pPr>
              <w:keepNext w:val="0"/>
              <w:spacing w:after="0" w:before="0" w:line="252" w:lineRule="auto"/>
            </w:pPr>
            <w:r>
              <w:rPr>
                <w:b/>
                <w:i w:val="0"/>
                <w:sz w:val="18"/>
              </w:rPr>
              <w:t>JPY 80.289bn</w:t>
            </w:r>
            <w:r>
              <w:rPr>
                <w:sz w:val="18"/>
              </w:rPr>
              <w:br/>
            </w:r>
            <w:r>
              <w:rPr>
                <w:sz w:val="18"/>
              </w:rPr>
              <w:t xml:space="preserve"> </w:t>
            </w:r>
            <w:r>
              <w:rPr>
                <w:b w:val="0"/>
                <w:i w:val="0"/>
                <w:sz w:val="18"/>
              </w:rPr>
              <w:t>18 Sep 2026</w:t>
            </w:r>
            <w:r>
              <w:rPr>
                <w:sz w:val="18"/>
              </w:rPr>
              <w:br/>
            </w:r>
            <w:r>
              <w:rPr>
                <w:sz w:val="18"/>
              </w:rPr>
              <w:t xml:space="preserve"> </w:t>
            </w:r>
            <w:r>
              <w:rPr>
                <w:b w:val="0"/>
                <w:i w:val="0"/>
                <w:sz w:val="18"/>
              </w:rPr>
              <w:t>Feeder ETF net assets</w:t>
            </w:r>
          </w:p>
        </w:tc>
        <w:tc>
          <w:tcPr>
            <w:tcW w:type="dxa" w:w="1761"/>
            <w:vAlign w:val="center"/>
            <w:tcMar>
              <w:top w:w="80" w:type="dxa"/>
              <w:bottom w:w="80" w:type="dxa"/>
              <w:left w:w="100" w:type="dxa"/>
              <w:right w:w="100" w:type="dxa"/>
            </w:tcMar>
            <w:shd w:fill="F4F7F8"/>
          </w:tcPr>
          <w:p>
            <w:pPr>
              <w:keepNext w:val="0"/>
              <w:spacing w:after="0" w:before="0" w:line="252" w:lineRule="auto"/>
            </w:pPr>
            <w:r>
              <w:rPr>
                <w:b/>
                <w:i w:val="0"/>
                <w:sz w:val="18"/>
              </w:rPr>
              <w:t>0.22%</w:t>
            </w:r>
            <w:r>
              <w:rPr>
                <w:sz w:val="18"/>
              </w:rPr>
              <w:br/>
            </w:r>
            <w:r>
              <w:rPr>
                <w:b w:val="0"/>
                <w:i w:val="0"/>
                <w:sz w:val="18"/>
              </w:rPr>
              <w:t>Effective trust fee incl. tax</w:t>
            </w:r>
          </w:p>
        </w:tc>
        <w:tc>
          <w:tcPr>
            <w:tcW w:type="dxa" w:w="3082"/>
            <w:vAlign w:val="center"/>
            <w:tcMar>
              <w:top w:w="80" w:type="dxa"/>
              <w:bottom w:w="80" w:type="dxa"/>
              <w:left w:w="100" w:type="dxa"/>
              <w:right w:w="100" w:type="dxa"/>
            </w:tcMar>
            <w:shd w:fill="F4F7F8"/>
          </w:tcPr>
          <w:p>
            <w:pPr>
              <w:keepNext w:val="0"/>
              <w:spacing w:after="0" w:before="0" w:line="252" w:lineRule="auto"/>
            </w:pPr>
            <w:r>
              <w:rPr>
                <w:b w:val="0"/>
                <w:i w:val="0"/>
                <w:sz w:val="18"/>
              </w:rPr>
              <w:t>London (underlying)</w:t>
            </w:r>
            <w:r>
              <w:rPr>
                <w:sz w:val="18"/>
              </w:rPr>
              <w:br/>
            </w:r>
            <w:r>
              <w:rPr>
                <w:b w:val="0"/>
                <w:i w:val="0"/>
                <w:sz w:val="18"/>
              </w:rPr>
              <w:t>Indirect via allocated-metal ETC</w:t>
            </w:r>
          </w:p>
        </w:tc>
      </w:tr>
      <w:tr>
        <w:trPr>
          <w:cantSplit/>
        </w:trPr>
        <w:tc>
          <w:tcPr>
            <w:tcW w:type="dxa" w:w="3669"/>
            <w:vAlign w:val="center"/>
            <w:tcMar>
              <w:top w:w="80" w:type="dxa"/>
              <w:bottom w:w="80" w:type="dxa"/>
              <w:left w:w="100" w:type="dxa"/>
              <w:right w:w="100" w:type="dxa"/>
            </w:tcMar>
            <w:shd w:fill="FFFFFF"/>
          </w:tcPr>
          <w:p>
            <w:pPr>
              <w:keepNext w:val="0"/>
              <w:spacing w:after="0" w:before="0" w:line="252" w:lineRule="auto"/>
            </w:pPr>
            <w:r>
              <w:rPr>
                <w:b w:val="0"/>
                <w:i w:val="0"/>
                <w:sz w:val="18"/>
              </w:rPr>
              <w:t>568A</w:t>
            </w:r>
            <w:r>
              <w:rPr>
                <w:sz w:val="18"/>
              </w:rPr>
              <w:br/>
            </w:r>
            <w:r>
              <w:rPr>
                <w:sz w:val="18"/>
              </w:rPr>
              <w:t xml:space="preserve"> </w:t>
            </w:r>
            <w:r>
              <w:rPr>
                <w:b w:val="0"/>
                <w:i w:val="0"/>
                <w:sz w:val="18"/>
              </w:rPr>
              <w:t>iShares Silver ETF</w:t>
            </w:r>
            <w:r>
              <w:rPr>
                <w:sz w:val="18"/>
              </w:rPr>
              <w:br/>
            </w:r>
            <w:r>
              <w:rPr>
                <w:sz w:val="18"/>
              </w:rPr>
              <w:t xml:space="preserve"> </w:t>
            </w:r>
            <w:r>
              <w:rPr>
                <w:b w:val="0"/>
                <w:i w:val="0"/>
                <w:sz w:val="18"/>
              </w:rPr>
              <w:t>Silver</w:t>
            </w:r>
          </w:p>
        </w:tc>
        <w:tc>
          <w:tcPr>
            <w:tcW w:type="dxa" w:w="1761"/>
            <w:vAlign w:val="center"/>
            <w:tcMar>
              <w:top w:w="80" w:type="dxa"/>
              <w:bottom w:w="80" w:type="dxa"/>
              <w:left w:w="100" w:type="dxa"/>
              <w:right w:w="100" w:type="dxa"/>
            </w:tcMar>
            <w:shd w:fill="FFFFFF"/>
          </w:tcPr>
          <w:p>
            <w:pPr>
              <w:keepNext w:val="0"/>
              <w:spacing w:after="0" w:before="0" w:line="252" w:lineRule="auto"/>
            </w:pPr>
            <w:r>
              <w:rPr>
                <w:b/>
                <w:i w:val="0"/>
                <w:sz w:val="18"/>
              </w:rPr>
              <w:t>Japan</w:t>
            </w:r>
            <w:r>
              <w:rPr>
                <w:sz w:val="18"/>
              </w:rPr>
              <w:br/>
            </w:r>
            <w:r>
              <w:rPr>
                <w:sz w:val="18"/>
              </w:rPr>
              <w:t xml:space="preserve"> </w:t>
            </w:r>
            <w:r>
              <w:rPr>
                <w:b w:val="0"/>
                <w:i w:val="0"/>
                <w:sz w:val="18"/>
              </w:rPr>
              <w:t>ETF holding Irish ETC</w:t>
            </w:r>
          </w:p>
        </w:tc>
        <w:tc>
          <w:tcPr>
            <w:tcW w:type="dxa" w:w="2202"/>
            <w:vAlign w:val="center"/>
            <w:tcMar>
              <w:top w:w="80" w:type="dxa"/>
              <w:bottom w:w="80" w:type="dxa"/>
              <w:left w:w="100" w:type="dxa"/>
              <w:right w:w="100" w:type="dxa"/>
            </w:tcMar>
            <w:shd w:fill="FFFFFF"/>
          </w:tcPr>
          <w:p>
            <w:pPr>
              <w:keepNext w:val="0"/>
              <w:spacing w:after="0" w:before="0" w:line="252" w:lineRule="auto"/>
            </w:pPr>
            <w:r>
              <w:rPr>
                <w:b w:val="0"/>
                <w:i w:val="0"/>
                <w:sz w:val="18"/>
              </w:rPr>
              <w:t>Tokyo · JPY</w:t>
            </w:r>
            <w:r>
              <w:rPr>
                <w:sz w:val="18"/>
              </w:rPr>
              <w:br/>
            </w:r>
            <w:r>
              <w:rPr>
                <w:sz w:val="18"/>
              </w:rPr>
              <w:t xml:space="preserve"> </w:t>
            </w:r>
            <w:r>
              <w:rPr>
                <w:b w:val="0"/>
                <w:i w:val="0"/>
                <w:sz w:val="18"/>
              </w:rPr>
              <w:t>Unhedged</w:t>
            </w:r>
          </w:p>
        </w:tc>
        <w:tc>
          <w:tcPr>
            <w:tcW w:type="dxa" w:w="2202"/>
            <w:vAlign w:val="center"/>
            <w:tcMar>
              <w:top w:w="80" w:type="dxa"/>
              <w:bottom w:w="80" w:type="dxa"/>
              <w:left w:w="100" w:type="dxa"/>
              <w:right w:w="100" w:type="dxa"/>
            </w:tcMar>
            <w:shd w:fill="FFFFFF"/>
          </w:tcPr>
          <w:p>
            <w:pPr>
              <w:keepNext w:val="0"/>
              <w:spacing w:after="0" w:before="0" w:line="252" w:lineRule="auto"/>
            </w:pPr>
            <w:r>
              <w:rPr>
                <w:b/>
                <w:i w:val="0"/>
                <w:sz w:val="18"/>
              </w:rPr>
              <w:t>JPY 691.29m</w:t>
            </w:r>
            <w:r>
              <w:rPr>
                <w:sz w:val="18"/>
              </w:rPr>
              <w:br/>
            </w:r>
            <w:r>
              <w:rPr>
                <w:sz w:val="18"/>
              </w:rPr>
              <w:t xml:space="preserve"> </w:t>
            </w:r>
            <w:r>
              <w:rPr>
                <w:b w:val="0"/>
                <w:i w:val="0"/>
                <w:sz w:val="18"/>
              </w:rPr>
              <w:t>18 Sep 2026</w:t>
            </w:r>
            <w:r>
              <w:rPr>
                <w:sz w:val="18"/>
              </w:rPr>
              <w:br/>
            </w:r>
            <w:r>
              <w:rPr>
                <w:sz w:val="18"/>
              </w:rPr>
              <w:t xml:space="preserve"> </w:t>
            </w:r>
            <w:r>
              <w:rPr>
                <w:b w:val="0"/>
                <w:i w:val="0"/>
                <w:sz w:val="18"/>
              </w:rPr>
              <w:t>Feeder ETF net assets</w:t>
            </w:r>
          </w:p>
        </w:tc>
        <w:tc>
          <w:tcPr>
            <w:tcW w:type="dxa" w:w="1761"/>
            <w:vAlign w:val="center"/>
            <w:tcMar>
              <w:top w:w="80" w:type="dxa"/>
              <w:bottom w:w="80" w:type="dxa"/>
              <w:left w:w="100" w:type="dxa"/>
              <w:right w:w="100" w:type="dxa"/>
            </w:tcMar>
            <w:shd w:fill="FFFFFF"/>
          </w:tcPr>
          <w:p>
            <w:pPr>
              <w:keepNext w:val="0"/>
              <w:spacing w:after="0" w:before="0" w:line="252" w:lineRule="auto"/>
            </w:pPr>
            <w:r>
              <w:rPr>
                <w:b/>
                <w:i w:val="0"/>
                <w:sz w:val="18"/>
              </w:rPr>
              <w:t>0.495%</w:t>
            </w:r>
            <w:r>
              <w:rPr>
                <w:sz w:val="18"/>
              </w:rPr>
              <w:br/>
            </w:r>
            <w:r>
              <w:rPr>
                <w:b w:val="0"/>
                <w:i w:val="0"/>
                <w:sz w:val="18"/>
              </w:rPr>
              <w:t>Effective trust fee incl. tax</w:t>
            </w:r>
          </w:p>
        </w:tc>
        <w:tc>
          <w:tcPr>
            <w:tcW w:type="dxa" w:w="3082"/>
            <w:vAlign w:val="center"/>
            <w:tcMar>
              <w:top w:w="80" w:type="dxa"/>
              <w:bottom w:w="80" w:type="dxa"/>
              <w:left w:w="100" w:type="dxa"/>
              <w:right w:w="100" w:type="dxa"/>
            </w:tcMar>
            <w:shd w:fill="FFFFFF"/>
          </w:tcPr>
          <w:p>
            <w:pPr>
              <w:keepNext w:val="0"/>
              <w:spacing w:after="0" w:before="0" w:line="252" w:lineRule="auto"/>
            </w:pPr>
            <w:r>
              <w:rPr>
                <w:b w:val="0"/>
                <w:i w:val="0"/>
                <w:sz w:val="18"/>
              </w:rPr>
              <w:t>London (underlying)</w:t>
            </w:r>
            <w:r>
              <w:rPr>
                <w:sz w:val="18"/>
              </w:rPr>
              <w:br/>
            </w:r>
            <w:r>
              <w:rPr>
                <w:b w:val="0"/>
                <w:i w:val="0"/>
                <w:sz w:val="18"/>
              </w:rPr>
              <w:t>Indirect via allocated-metal ETC</w:t>
            </w:r>
          </w:p>
        </w:tc>
      </w:tr>
      <w:tr>
        <w:trPr>
          <w:cantSplit/>
        </w:trPr>
        <w:tc>
          <w:tcPr>
            <w:tcW w:type="dxa" w:w="3669"/>
            <w:vAlign w:val="center"/>
            <w:tcMar>
              <w:top w:w="80" w:type="dxa"/>
              <w:bottom w:w="80" w:type="dxa"/>
              <w:left w:w="100" w:type="dxa"/>
              <w:right w:w="100" w:type="dxa"/>
            </w:tcMar>
            <w:shd w:fill="F4F7F8"/>
          </w:tcPr>
          <w:p>
            <w:pPr>
              <w:keepNext w:val="0"/>
              <w:spacing w:after="0" w:before="0" w:line="252" w:lineRule="auto"/>
            </w:pPr>
            <w:r>
              <w:rPr>
                <w:b w:val="0"/>
                <w:i w:val="0"/>
                <w:sz w:val="18"/>
              </w:rPr>
              <w:t>569A</w:t>
            </w:r>
            <w:r>
              <w:rPr>
                <w:sz w:val="18"/>
              </w:rPr>
              <w:br/>
            </w:r>
            <w:r>
              <w:rPr>
                <w:sz w:val="18"/>
              </w:rPr>
              <w:t xml:space="preserve"> </w:t>
            </w:r>
            <w:r>
              <w:rPr>
                <w:b w:val="0"/>
                <w:i w:val="0"/>
                <w:sz w:val="18"/>
              </w:rPr>
              <w:t>iShares Platinum ETF</w:t>
            </w:r>
            <w:r>
              <w:rPr>
                <w:sz w:val="18"/>
              </w:rPr>
              <w:br/>
            </w:r>
            <w:r>
              <w:rPr>
                <w:sz w:val="18"/>
              </w:rPr>
              <w:t xml:space="preserve"> </w:t>
            </w:r>
            <w:r>
              <w:rPr>
                <w:b w:val="0"/>
                <w:i w:val="0"/>
                <w:sz w:val="18"/>
              </w:rPr>
              <w:t>Platinum</w:t>
            </w:r>
          </w:p>
        </w:tc>
        <w:tc>
          <w:tcPr>
            <w:tcW w:type="dxa" w:w="1761"/>
            <w:vAlign w:val="center"/>
            <w:tcMar>
              <w:top w:w="80" w:type="dxa"/>
              <w:bottom w:w="80" w:type="dxa"/>
              <w:left w:w="100" w:type="dxa"/>
              <w:right w:w="100" w:type="dxa"/>
            </w:tcMar>
            <w:shd w:fill="F4F7F8"/>
          </w:tcPr>
          <w:p>
            <w:pPr>
              <w:keepNext w:val="0"/>
              <w:spacing w:after="0" w:before="0" w:line="252" w:lineRule="auto"/>
            </w:pPr>
            <w:r>
              <w:rPr>
                <w:b/>
                <w:i w:val="0"/>
                <w:sz w:val="18"/>
              </w:rPr>
              <w:t>Japan</w:t>
            </w:r>
            <w:r>
              <w:rPr>
                <w:sz w:val="18"/>
              </w:rPr>
              <w:br/>
            </w:r>
            <w:r>
              <w:rPr>
                <w:sz w:val="18"/>
              </w:rPr>
              <w:t xml:space="preserve"> </w:t>
            </w:r>
            <w:r>
              <w:rPr>
                <w:b w:val="0"/>
                <w:i w:val="0"/>
                <w:sz w:val="18"/>
              </w:rPr>
              <w:t>ETF holding Irish ETC</w:t>
            </w:r>
          </w:p>
        </w:tc>
        <w:tc>
          <w:tcPr>
            <w:tcW w:type="dxa" w:w="2202"/>
            <w:vAlign w:val="center"/>
            <w:tcMar>
              <w:top w:w="80" w:type="dxa"/>
              <w:bottom w:w="80" w:type="dxa"/>
              <w:left w:w="100" w:type="dxa"/>
              <w:right w:w="100" w:type="dxa"/>
            </w:tcMar>
            <w:shd w:fill="F4F7F8"/>
          </w:tcPr>
          <w:p>
            <w:pPr>
              <w:keepNext w:val="0"/>
              <w:spacing w:after="0" w:before="0" w:line="252" w:lineRule="auto"/>
            </w:pPr>
            <w:r>
              <w:rPr>
                <w:b w:val="0"/>
                <w:i w:val="0"/>
                <w:sz w:val="18"/>
              </w:rPr>
              <w:t>Tokyo · JPY</w:t>
            </w:r>
            <w:r>
              <w:rPr>
                <w:sz w:val="18"/>
              </w:rPr>
              <w:br/>
            </w:r>
            <w:r>
              <w:rPr>
                <w:sz w:val="18"/>
              </w:rPr>
              <w:t xml:space="preserve"> </w:t>
            </w:r>
            <w:r>
              <w:rPr>
                <w:b w:val="0"/>
                <w:i w:val="0"/>
                <w:sz w:val="18"/>
              </w:rPr>
              <w:t>Unhedged</w:t>
            </w:r>
          </w:p>
        </w:tc>
        <w:tc>
          <w:tcPr>
            <w:tcW w:type="dxa" w:w="2202"/>
            <w:vAlign w:val="center"/>
            <w:tcMar>
              <w:top w:w="80" w:type="dxa"/>
              <w:bottom w:w="80" w:type="dxa"/>
              <w:left w:w="100" w:type="dxa"/>
              <w:right w:w="100" w:type="dxa"/>
            </w:tcMar>
            <w:shd w:fill="F4F7F8"/>
          </w:tcPr>
          <w:p>
            <w:pPr>
              <w:keepNext w:val="0"/>
              <w:spacing w:after="0" w:before="0" w:line="252" w:lineRule="auto"/>
            </w:pPr>
            <w:r>
              <w:rPr>
                <w:b/>
                <w:i w:val="0"/>
                <w:sz w:val="18"/>
              </w:rPr>
              <w:t>JPY 474.93m</w:t>
            </w:r>
            <w:r>
              <w:rPr>
                <w:sz w:val="18"/>
              </w:rPr>
              <w:br/>
            </w:r>
            <w:r>
              <w:rPr>
                <w:sz w:val="18"/>
              </w:rPr>
              <w:t xml:space="preserve"> </w:t>
            </w:r>
            <w:r>
              <w:rPr>
                <w:b w:val="0"/>
                <w:i w:val="0"/>
                <w:sz w:val="18"/>
              </w:rPr>
              <w:t>18 Sep 2026</w:t>
            </w:r>
            <w:r>
              <w:rPr>
                <w:sz w:val="18"/>
              </w:rPr>
              <w:br/>
            </w:r>
            <w:r>
              <w:rPr>
                <w:sz w:val="18"/>
              </w:rPr>
              <w:t xml:space="preserve"> </w:t>
            </w:r>
            <w:r>
              <w:rPr>
                <w:b w:val="0"/>
                <w:i w:val="0"/>
                <w:sz w:val="18"/>
              </w:rPr>
              <w:t>Feeder ETF net assets</w:t>
            </w:r>
          </w:p>
        </w:tc>
        <w:tc>
          <w:tcPr>
            <w:tcW w:type="dxa" w:w="1761"/>
            <w:vAlign w:val="center"/>
            <w:tcMar>
              <w:top w:w="80" w:type="dxa"/>
              <w:bottom w:w="80" w:type="dxa"/>
              <w:left w:w="100" w:type="dxa"/>
              <w:right w:w="100" w:type="dxa"/>
            </w:tcMar>
            <w:shd w:fill="F4F7F8"/>
          </w:tcPr>
          <w:p>
            <w:pPr>
              <w:keepNext w:val="0"/>
              <w:spacing w:after="0" w:before="0" w:line="252" w:lineRule="auto"/>
            </w:pPr>
            <w:r>
              <w:rPr>
                <w:b/>
                <w:i w:val="0"/>
                <w:sz w:val="18"/>
              </w:rPr>
              <w:t>0.495%</w:t>
            </w:r>
            <w:r>
              <w:rPr>
                <w:sz w:val="18"/>
              </w:rPr>
              <w:br/>
            </w:r>
            <w:r>
              <w:rPr>
                <w:b w:val="0"/>
                <w:i w:val="0"/>
                <w:sz w:val="18"/>
              </w:rPr>
              <w:t>Effective trust fee incl. tax</w:t>
            </w:r>
          </w:p>
        </w:tc>
        <w:tc>
          <w:tcPr>
            <w:tcW w:type="dxa" w:w="3082"/>
            <w:vAlign w:val="center"/>
            <w:tcMar>
              <w:top w:w="80" w:type="dxa"/>
              <w:bottom w:w="80" w:type="dxa"/>
              <w:left w:w="100" w:type="dxa"/>
              <w:right w:w="100" w:type="dxa"/>
            </w:tcMar>
            <w:shd w:fill="F4F7F8"/>
          </w:tcPr>
          <w:p>
            <w:pPr>
              <w:keepNext w:val="0"/>
              <w:spacing w:after="0" w:before="0" w:line="252" w:lineRule="auto"/>
            </w:pPr>
            <w:r>
              <w:rPr>
                <w:b w:val="0"/>
                <w:i w:val="0"/>
                <w:sz w:val="18"/>
              </w:rPr>
              <w:t>London / Zurich (underlying)*</w:t>
            </w:r>
            <w:r>
              <w:rPr>
                <w:sz w:val="18"/>
              </w:rPr>
              <w:br/>
            </w:r>
            <w:r>
              <w:rPr>
                <w:b w:val="0"/>
                <w:i w:val="0"/>
                <w:sz w:val="18"/>
              </w:rPr>
              <w:t>Indirect via allocated-metal ETC</w:t>
            </w:r>
          </w:p>
        </w:tc>
      </w:tr>
    </w:tbl>
    <w:p>
      <w:pPr>
        <w:spacing w:after="60" w:before="0" w:line="40" w:lineRule="exact"/>
      </w:pPr>
      <w:r>
        <w:rPr>
          <w:sz w:val="4"/>
        </w:rPr>
      </w:r>
    </w:p>
    <w:p>
      <w:pPr>
        <w:spacing w:after="100"/>
      </w:pPr>
      <w:r>
        <w:rPr>
          <w:b w:val="0"/>
          <w:sz w:val="18"/>
        </w:rPr>
        <w:t>Native currency and valuation date retained. Fees follow the issuer’s stated basis. Location permissions and underlying structure are qualified in the detailed product records.</w:t>
      </w:r>
    </w:p>
    <w:p>
      <w:pPr>
        <w:sectPr>
          <w:pgSz w:w="16838" w:h="11906" w:orient="landscape"/>
          <w:pgMar w:top="960" w:right="1080" w:bottom="920" w:left="1080" w:header="400" w:footer="440" w:gutter="0"/>
          <w:cols w:space="720"/>
          <w:docGrid w:linePitch="360"/>
        </w:sectPr>
      </w:pPr>
    </w:p>
    <w:p>
      <w:bookmarkStart w:id="2" w:name="products"/>
      <w:pPr>
        <w:pStyle w:val="Heading1"/>
        <w:pageBreakBefore w:val="0"/>
      </w:pPr>
      <w:r>
        <w:t>Detailed product records and sources</w:t>
      </w:r>
      <w:bookmarkEnd w:id="2"/>
    </w:p>
    <w:p>
      <w:r>
        <w:rPr>
          <w:b w:val="0"/>
        </w:rPr>
        <w:t>Twenty dated product and currency-class records retain exact values, identifiers, custody terms, metal quantities, listing lines and source references. Canadian classes share their legal funds; Australian and Japanese feeders invest in Irish ETC securities.</w:t>
      </w:r>
    </w:p>
    <w:p>
      <w:bookmarkStart w:id="3" w:name="product_1"/>
      <w:pPr>
        <w:pStyle w:val="Heading1"/>
        <w:pageBreakBefore w:val="0"/>
        <w:spacing w:before="360"/>
      </w:pPr>
      <w:r>
        <w:t>01  iShares Physical Gold ETC</w:t>
      </w:r>
      <w:bookmarkEnd w:id="3"/>
    </w:p>
    <w:p>
      <w:pPr>
        <w:keepNext/>
      </w:pPr>
      <w:r>
        <w:rPr>
          <w:b/>
        </w:rPr>
        <w:t>SGLN / IGLN / EGLN  |  Ireland  |  Gold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24"/>
        <w:gridCol w:w="6822"/>
      </w:tblGrid>
      <w:tr>
        <w:trPr>
          <w:tblHeader/>
          <w:cantSplit/>
        </w:trPr>
        <w:tc>
          <w:tcPr>
            <w:tcW w:type="dxa" w:w="2924"/>
            <w:vAlign w:val="center"/>
            <w:tcMar>
              <w:top w:w="80" w:type="dxa"/>
              <w:bottom w:w="80" w:type="dxa"/>
              <w:left w:w="100" w:type="dxa"/>
              <w:right w:w="100" w:type="dxa"/>
            </w:tcMar>
            <w:shd w:fill="DCE6EB"/>
          </w:tcPr>
          <w:p>
            <w:pPr>
              <w:keepNext/>
              <w:spacing w:after="0" w:before="0" w:line="252" w:lineRule="auto"/>
            </w:pPr>
            <w:r>
              <w:rPr>
                <w:b/>
                <w:sz w:val="20"/>
              </w:rPr>
              <w:t>Field</w:t>
            </w:r>
          </w:p>
        </w:tc>
        <w:tc>
          <w:tcPr>
            <w:tcW w:type="dxa" w:w="6822"/>
            <w:vAlign w:val="center"/>
            <w:tcMar>
              <w:top w:w="80" w:type="dxa"/>
              <w:bottom w:w="80" w:type="dxa"/>
              <w:left w:w="100" w:type="dxa"/>
              <w:right w:w="100" w:type="dxa"/>
            </w:tcMar>
            <w:shd w:fill="DCE6EB"/>
          </w:tcPr>
          <w:p>
            <w:pPr>
              <w:keepNext/>
              <w:spacing w:after="0" w:before="0" w:line="252" w:lineRule="auto"/>
              <w:jc w:val="center"/>
            </w:pPr>
            <w:r>
              <w:rPr>
                <w:b/>
                <w:sz w:val="20"/>
              </w:rPr>
              <w:t>Detail</w:t>
            </w:r>
          </w:p>
        </w:tc>
      </w:tr>
      <w:tr>
        <w:trPr>
          <w:cantSplit/>
        </w:trPr>
        <w:tc>
          <w:tcPr>
            <w:tcW w:type="dxa" w:w="2924"/>
            <w:vAlign w:val="center"/>
            <w:tcMar>
              <w:top w:w="80" w:type="dxa"/>
              <w:bottom w:w="80" w:type="dxa"/>
              <w:left w:w="100" w:type="dxa"/>
              <w:right w:w="100" w:type="dxa"/>
            </w:tcMar>
            <w:shd w:fill="FFFFFF"/>
          </w:tcPr>
          <w:p>
            <w:pPr>
              <w:keepNext w:val="0"/>
              <w:spacing w:after="0" w:before="0" w:line="252" w:lineRule="auto"/>
            </w:pPr>
            <w:r>
              <w:rPr>
                <w:sz w:val="20"/>
              </w:rPr>
              <w:t>Legal form</w:t>
            </w:r>
          </w:p>
        </w:tc>
        <w:tc>
          <w:tcPr>
            <w:tcW w:type="dxa" w:w="6822"/>
            <w:vAlign w:val="center"/>
            <w:tcMar>
              <w:top w:w="80" w:type="dxa"/>
              <w:bottom w:w="80" w:type="dxa"/>
              <w:left w:w="100" w:type="dxa"/>
              <w:right w:w="100" w:type="dxa"/>
            </w:tcMar>
            <w:shd w:fill="FFFFFF"/>
          </w:tcPr>
          <w:p>
            <w:pPr>
              <w:keepNext w:val="0"/>
              <w:spacing w:after="0" w:before="0" w:line="252" w:lineRule="auto"/>
            </w:pPr>
            <w:r>
              <w:rPr>
                <w:sz w:val="20"/>
              </w:rPr>
              <w:t>Secured debt ETC; not a UCITS fund</w:t>
            </w:r>
          </w:p>
        </w:tc>
      </w:tr>
      <w:tr>
        <w:trPr>
          <w:cantSplit/>
        </w:trPr>
        <w:tc>
          <w:tcPr>
            <w:tcW w:type="dxa" w:w="2924"/>
            <w:vAlign w:val="center"/>
            <w:tcMar>
              <w:top w:w="80" w:type="dxa"/>
              <w:bottom w:w="80" w:type="dxa"/>
              <w:left w:w="100" w:type="dxa"/>
              <w:right w:w="100" w:type="dxa"/>
            </w:tcMar>
            <w:shd w:fill="F4F7F8"/>
          </w:tcPr>
          <w:p>
            <w:pPr>
              <w:keepNext w:val="0"/>
              <w:spacing w:after="0" w:before="0" w:line="252" w:lineRule="auto"/>
            </w:pPr>
            <w:r>
              <w:rPr>
                <w:sz w:val="20"/>
              </w:rPr>
              <w:t>Issuer or sponsor</w:t>
            </w:r>
          </w:p>
        </w:tc>
        <w:tc>
          <w:tcPr>
            <w:tcW w:type="dxa" w:w="6822"/>
            <w:vAlign w:val="center"/>
            <w:tcMar>
              <w:top w:w="80" w:type="dxa"/>
              <w:bottom w:w="80" w:type="dxa"/>
              <w:left w:w="100" w:type="dxa"/>
              <w:right w:w="100" w:type="dxa"/>
            </w:tcMar>
            <w:shd w:fill="F4F7F8"/>
          </w:tcPr>
          <w:p>
            <w:pPr>
              <w:keepNext w:val="0"/>
              <w:spacing w:after="0" w:before="0" w:line="252" w:lineRule="auto"/>
            </w:pPr>
            <w:r>
              <w:rPr>
                <w:sz w:val="20"/>
              </w:rPr>
              <w:t>iShares Physical Metals plc</w:t>
            </w:r>
          </w:p>
        </w:tc>
      </w:tr>
      <w:tr>
        <w:trPr>
          <w:cantSplit/>
        </w:trPr>
        <w:tc>
          <w:tcPr>
            <w:tcW w:type="dxa" w:w="2924"/>
            <w:vAlign w:val="center"/>
            <w:tcMar>
              <w:top w:w="80" w:type="dxa"/>
              <w:bottom w:w="80" w:type="dxa"/>
              <w:left w:w="100" w:type="dxa"/>
              <w:right w:w="100" w:type="dxa"/>
            </w:tcMar>
            <w:shd w:fill="FFFFFF"/>
          </w:tcPr>
          <w:p>
            <w:pPr>
              <w:keepNext w:val="0"/>
              <w:spacing w:after="0" w:before="0" w:line="252" w:lineRule="auto"/>
            </w:pPr>
            <w:r>
              <w:rPr>
                <w:sz w:val="20"/>
              </w:rPr>
              <w:t>Launch or class inception</w:t>
            </w:r>
          </w:p>
        </w:tc>
        <w:tc>
          <w:tcPr>
            <w:tcW w:type="dxa" w:w="6822"/>
            <w:vAlign w:val="center"/>
            <w:tcMar>
              <w:top w:w="80" w:type="dxa"/>
              <w:bottom w:w="80" w:type="dxa"/>
              <w:left w:w="100" w:type="dxa"/>
              <w:right w:w="100" w:type="dxa"/>
            </w:tcMar>
            <w:shd w:fill="FFFFFF"/>
          </w:tcPr>
          <w:p>
            <w:pPr>
              <w:keepNext w:val="0"/>
              <w:spacing w:after="0" w:before="0" w:line="252" w:lineRule="auto"/>
              <w:jc w:val="center"/>
            </w:pPr>
            <w:r>
              <w:rPr>
                <w:sz w:val="20"/>
              </w:rPr>
              <w:t>08/Apr/2011</w:t>
            </w:r>
          </w:p>
        </w:tc>
      </w:tr>
      <w:tr>
        <w:trPr>
          <w:cantSplit/>
        </w:trPr>
        <w:tc>
          <w:tcPr>
            <w:tcW w:type="dxa" w:w="2924"/>
            <w:vAlign w:val="center"/>
            <w:tcMar>
              <w:top w:w="80" w:type="dxa"/>
              <w:bottom w:w="80" w:type="dxa"/>
              <w:left w:w="100" w:type="dxa"/>
              <w:right w:w="100" w:type="dxa"/>
            </w:tcMar>
            <w:shd w:fill="F4F7F8"/>
          </w:tcPr>
          <w:p>
            <w:pPr>
              <w:keepNext w:val="0"/>
              <w:spacing w:after="0" w:before="0" w:line="252" w:lineRule="auto"/>
            </w:pPr>
            <w:r>
              <w:rPr>
                <w:sz w:val="20"/>
              </w:rPr>
              <w:t>ISIN / CUSIP</w:t>
            </w:r>
          </w:p>
        </w:tc>
        <w:tc>
          <w:tcPr>
            <w:tcW w:type="dxa" w:w="6822"/>
            <w:vAlign w:val="center"/>
            <w:tcMar>
              <w:top w:w="80" w:type="dxa"/>
              <w:bottom w:w="80" w:type="dxa"/>
              <w:left w:w="100" w:type="dxa"/>
              <w:right w:w="100" w:type="dxa"/>
            </w:tcMar>
            <w:shd w:fill="F4F7F8"/>
          </w:tcPr>
          <w:p>
            <w:pPr>
              <w:keepNext w:val="0"/>
              <w:spacing w:after="0" w:before="0" w:line="252" w:lineRule="auto"/>
              <w:jc w:val="center"/>
            </w:pPr>
            <w:r>
              <w:rPr>
                <w:sz w:val="20"/>
              </w:rPr>
              <w:t>IE00B4ND3602</w:t>
            </w:r>
          </w:p>
        </w:tc>
      </w:tr>
      <w:tr>
        <w:trPr>
          <w:cantSplit/>
        </w:trPr>
        <w:tc>
          <w:tcPr>
            <w:tcW w:type="dxa" w:w="2924"/>
            <w:vAlign w:val="center"/>
            <w:tcMar>
              <w:top w:w="80" w:type="dxa"/>
              <w:bottom w:w="80" w:type="dxa"/>
              <w:left w:w="100" w:type="dxa"/>
              <w:right w:w="100" w:type="dxa"/>
            </w:tcMar>
            <w:shd w:fill="FFFFFF"/>
          </w:tcPr>
          <w:p>
            <w:pPr>
              <w:keepNext w:val="0"/>
              <w:spacing w:after="0" w:before="0" w:line="252" w:lineRule="auto"/>
            </w:pPr>
            <w:r>
              <w:rPr>
                <w:sz w:val="20"/>
              </w:rPr>
              <w:t>Reported net assets</w:t>
            </w:r>
          </w:p>
        </w:tc>
        <w:tc>
          <w:tcPr>
            <w:tcW w:type="dxa" w:w="6822"/>
            <w:vAlign w:val="center"/>
            <w:tcMar>
              <w:top w:w="80" w:type="dxa"/>
              <w:bottom w:w="80" w:type="dxa"/>
              <w:left w:w="100" w:type="dxa"/>
              <w:right w:w="100" w:type="dxa"/>
            </w:tcMar>
            <w:shd w:fill="FFFFFF"/>
          </w:tcPr>
          <w:p>
            <w:pPr>
              <w:keepNext w:val="0"/>
              <w:spacing w:after="0" w:before="0" w:line="252" w:lineRule="auto"/>
            </w:pPr>
            <w:r>
              <w:rPr>
                <w:sz w:val="20"/>
              </w:rPr>
              <w:t>USD 39,687,376,379.00 as of 2026-09-22</w:t>
            </w:r>
          </w:p>
        </w:tc>
      </w:tr>
      <w:tr>
        <w:trPr>
          <w:cantSplit/>
        </w:trPr>
        <w:tc>
          <w:tcPr>
            <w:tcW w:type="dxa" w:w="2924"/>
            <w:vAlign w:val="center"/>
            <w:tcMar>
              <w:top w:w="80" w:type="dxa"/>
              <w:bottom w:w="80" w:type="dxa"/>
              <w:left w:w="100" w:type="dxa"/>
              <w:right w:w="100" w:type="dxa"/>
            </w:tcMar>
            <w:shd w:fill="F4F7F8"/>
          </w:tcPr>
          <w:p>
            <w:pPr>
              <w:keepNext w:val="0"/>
              <w:spacing w:after="0" w:before="0" w:line="252" w:lineRule="auto"/>
            </w:pPr>
            <w:r>
              <w:rPr>
                <w:sz w:val="20"/>
              </w:rPr>
              <w:t>Asset basis</w:t>
            </w:r>
          </w:p>
        </w:tc>
        <w:tc>
          <w:tcPr>
            <w:tcW w:type="dxa" w:w="6822"/>
            <w:vAlign w:val="center"/>
            <w:tcMar>
              <w:top w:w="80" w:type="dxa"/>
              <w:bottom w:w="80" w:type="dxa"/>
              <w:left w:w="100" w:type="dxa"/>
              <w:right w:w="100" w:type="dxa"/>
            </w:tcMar>
            <w:shd w:fill="F4F7F8"/>
          </w:tcPr>
          <w:p>
            <w:pPr>
              <w:keepNext w:val="0"/>
              <w:spacing w:after="0" w:before="0" w:line="252" w:lineRule="auto"/>
            </w:pPr>
            <w:r>
              <w:rPr>
                <w:sz w:val="20"/>
              </w:rPr>
              <w:t>Fund / trust / ETC series</w:t>
            </w:r>
          </w:p>
        </w:tc>
      </w:tr>
      <w:tr>
        <w:trPr>
          <w:cantSplit/>
        </w:trPr>
        <w:tc>
          <w:tcPr>
            <w:tcW w:type="dxa" w:w="2924"/>
            <w:vAlign w:val="center"/>
            <w:tcMar>
              <w:top w:w="80" w:type="dxa"/>
              <w:bottom w:w="80" w:type="dxa"/>
              <w:left w:w="100" w:type="dxa"/>
              <w:right w:w="100" w:type="dxa"/>
            </w:tcMar>
            <w:shd w:fill="FFFFFF"/>
          </w:tcPr>
          <w:p>
            <w:pPr>
              <w:keepNext w:val="0"/>
              <w:spacing w:after="0" w:before="0" w:line="252" w:lineRule="auto"/>
            </w:pPr>
            <w:r>
              <w:rPr>
                <w:sz w:val="20"/>
              </w:rPr>
              <w:t>Currency exposure</w:t>
            </w:r>
          </w:p>
        </w:tc>
        <w:tc>
          <w:tcPr>
            <w:tcW w:type="dxa" w:w="6822"/>
            <w:vAlign w:val="center"/>
            <w:tcMar>
              <w:top w:w="80" w:type="dxa"/>
              <w:bottom w:w="80" w:type="dxa"/>
              <w:left w:w="100" w:type="dxa"/>
              <w:right w:w="100" w:type="dxa"/>
            </w:tcMar>
            <w:shd w:fill="FFFFFF"/>
          </w:tcPr>
          <w:p>
            <w:pPr>
              <w:keepNext w:val="0"/>
              <w:spacing w:after="0" w:before="0" w:line="252" w:lineRule="auto"/>
              <w:jc w:val="center"/>
            </w:pPr>
            <w:r>
              <w:rPr>
                <w:sz w:val="20"/>
              </w:rPr>
              <w:t>Unhedged</w:t>
            </w:r>
          </w:p>
        </w:tc>
      </w:tr>
      <w:tr>
        <w:trPr>
          <w:cantSplit/>
        </w:trPr>
        <w:tc>
          <w:tcPr>
            <w:tcW w:type="dxa" w:w="2924"/>
            <w:vAlign w:val="center"/>
            <w:tcMar>
              <w:top w:w="80" w:type="dxa"/>
              <w:bottom w:w="80" w:type="dxa"/>
              <w:left w:w="100" w:type="dxa"/>
              <w:right w:w="100" w:type="dxa"/>
            </w:tcMar>
            <w:shd w:fill="F4F7F8"/>
          </w:tcPr>
          <w:p>
            <w:pPr>
              <w:keepNext w:val="0"/>
              <w:spacing w:after="0" w:before="0" w:line="252" w:lineRule="auto"/>
            </w:pPr>
            <w:r>
              <w:rPr>
                <w:sz w:val="20"/>
              </w:rPr>
              <w:t>Annual fee</w:t>
            </w:r>
          </w:p>
        </w:tc>
        <w:tc>
          <w:tcPr>
            <w:tcW w:type="dxa" w:w="6822"/>
            <w:vAlign w:val="center"/>
            <w:tcMar>
              <w:top w:w="80" w:type="dxa"/>
              <w:bottom w:w="80" w:type="dxa"/>
              <w:left w:w="100" w:type="dxa"/>
              <w:right w:w="100" w:type="dxa"/>
            </w:tcMar>
            <w:shd w:fill="F4F7F8"/>
          </w:tcPr>
          <w:p>
            <w:pPr>
              <w:keepNext w:val="0"/>
              <w:spacing w:after="0" w:before="0" w:line="252" w:lineRule="auto"/>
              <w:jc w:val="center"/>
            </w:pPr>
            <w:r>
              <w:rPr>
                <w:sz w:val="20"/>
              </w:rPr>
              <w:t>0.12% — TER</w:t>
            </w:r>
          </w:p>
        </w:tc>
      </w:tr>
      <w:tr>
        <w:trPr>
          <w:cantSplit/>
        </w:trPr>
        <w:tc>
          <w:tcPr>
            <w:tcW w:type="dxa" w:w="2924"/>
            <w:vAlign w:val="center"/>
            <w:tcMar>
              <w:top w:w="80" w:type="dxa"/>
              <w:bottom w:w="80" w:type="dxa"/>
              <w:left w:w="100" w:type="dxa"/>
              <w:right w:w="100" w:type="dxa"/>
            </w:tcMar>
            <w:shd w:fill="FFFFFF"/>
          </w:tcPr>
          <w:p>
            <w:pPr>
              <w:keepNext w:val="0"/>
              <w:spacing w:after="0" w:before="0" w:line="252" w:lineRule="auto"/>
            </w:pPr>
            <w:r>
              <w:rPr>
                <w:sz w:val="20"/>
              </w:rPr>
              <w:t>Custodian</w:t>
            </w:r>
          </w:p>
        </w:tc>
        <w:tc>
          <w:tcPr>
            <w:tcW w:type="dxa" w:w="6822"/>
            <w:vAlign w:val="center"/>
            <w:tcMar>
              <w:top w:w="80" w:type="dxa"/>
              <w:bottom w:w="80" w:type="dxa"/>
              <w:left w:w="100" w:type="dxa"/>
              <w:right w:w="100" w:type="dxa"/>
            </w:tcMar>
            <w:shd w:fill="FFFFFF"/>
          </w:tcPr>
          <w:p>
            <w:pPr>
              <w:keepNext w:val="0"/>
              <w:spacing w:after="0" w:before="0" w:line="252" w:lineRule="auto"/>
            </w:pPr>
            <w:r>
              <w:rPr>
                <w:sz w:val="20"/>
              </w:rPr>
              <w:t>JPMorgan Chase Bank N.A., London Branch</w:t>
            </w:r>
          </w:p>
        </w:tc>
      </w:tr>
      <w:tr>
        <w:trPr>
          <w:cantSplit/>
        </w:trPr>
        <w:tc>
          <w:tcPr>
            <w:tcW w:type="dxa" w:w="2924"/>
            <w:vAlign w:val="center"/>
            <w:tcMar>
              <w:top w:w="80" w:type="dxa"/>
              <w:bottom w:w="80" w:type="dxa"/>
              <w:left w:w="100" w:type="dxa"/>
              <w:right w:w="100" w:type="dxa"/>
            </w:tcMar>
            <w:shd w:fill="F4F7F8"/>
          </w:tcPr>
          <w:p>
            <w:pPr>
              <w:keepNext w:val="0"/>
              <w:spacing w:after="0" w:before="0" w:line="252" w:lineRule="auto"/>
            </w:pPr>
            <w:r>
              <w:rPr>
                <w:sz w:val="20"/>
              </w:rPr>
              <w:t>Custody evidence date</w:t>
            </w:r>
          </w:p>
        </w:tc>
        <w:tc>
          <w:tcPr>
            <w:tcW w:type="dxa" w:w="6822"/>
            <w:vAlign w:val="center"/>
            <w:tcMar>
              <w:top w:w="80" w:type="dxa"/>
              <w:bottom w:w="80" w:type="dxa"/>
              <w:left w:w="100" w:type="dxa"/>
              <w:right w:w="100" w:type="dxa"/>
            </w:tcMar>
            <w:shd w:fill="F4F7F8"/>
          </w:tcPr>
          <w:p>
            <w:pPr>
              <w:keepNext w:val="0"/>
              <w:spacing w:after="0" w:before="0" w:line="252" w:lineRule="auto"/>
              <w:jc w:val="center"/>
            </w:pPr>
            <w:r>
              <w:rPr>
                <w:sz w:val="20"/>
              </w:rPr>
              <w:t>2026-09-23</w:t>
            </w:r>
          </w:p>
        </w:tc>
      </w:tr>
      <w:tr>
        <w:trPr>
          <w:cantSplit/>
        </w:trPr>
        <w:tc>
          <w:tcPr>
            <w:tcW w:type="dxa" w:w="2924"/>
            <w:vAlign w:val="center"/>
            <w:tcMar>
              <w:top w:w="80" w:type="dxa"/>
              <w:bottom w:w="80" w:type="dxa"/>
              <w:left w:w="100" w:type="dxa"/>
              <w:right w:w="100" w:type="dxa"/>
            </w:tcMar>
            <w:shd w:fill="FFFFFF"/>
          </w:tcPr>
          <w:p>
            <w:pPr>
              <w:keepNext w:val="0"/>
              <w:spacing w:after="0" w:before="0" w:line="252" w:lineRule="auto"/>
            </w:pPr>
            <w:r>
              <w:rPr>
                <w:sz w:val="20"/>
              </w:rPr>
              <w:t>Reported metal quantity</w:t>
            </w:r>
          </w:p>
        </w:tc>
        <w:tc>
          <w:tcPr>
            <w:tcW w:type="dxa" w:w="6822"/>
            <w:vAlign w:val="center"/>
            <w:tcMar>
              <w:top w:w="80" w:type="dxa"/>
              <w:bottom w:w="80" w:type="dxa"/>
              <w:left w:w="100" w:type="dxa"/>
              <w:right w:w="100" w:type="dxa"/>
            </w:tcMar>
            <w:shd w:fill="FFFFFF"/>
          </w:tcPr>
          <w:p>
            <w:pPr>
              <w:keepNext w:val="0"/>
              <w:spacing w:after="0" w:before="0" w:line="252" w:lineRule="auto"/>
            </w:pPr>
            <w:r>
              <w:rPr>
                <w:sz w:val="20"/>
              </w:rPr>
              <w:t>9,154,572.55 troy ounces; 284.74 tonnes; dated 2026-09-23 — Issuer product-page quantity</w:t>
            </w:r>
          </w:p>
        </w:tc>
      </w:tr>
    </w:tbl>
    <w:p>
      <w:pPr>
        <w:spacing w:after="60" w:before="0" w:line="40" w:lineRule="exact"/>
      </w:pPr>
      <w:r>
        <w:rPr>
          <w:sz w:val="4"/>
        </w:rPr>
      </w:r>
    </w:p>
    <w:p>
      <w:r>
        <w:rPr>
          <w:b/>
        </w:rPr>
        <w:t xml:space="preserve">Fee definition. </w:t>
      </w:r>
      <w:r>
        <w:t>Total expense ratio reported by issuer.</w:t>
      </w:r>
    </w:p>
    <w:p>
      <w:r>
        <w:rPr>
          <w:b/>
        </w:rPr>
        <w:t xml:space="preserve">Allocation. </w:t>
      </w:r>
      <w:r>
        <w:t>The series is backed by allocated metal. Metal must be allocated before securities are issued. Transfers can pass through unallocated accounts, with custodian credit exposure during those periods.</w:t>
      </w:r>
    </w:p>
    <w:p>
      <w:r>
        <w:rPr>
          <w:b/>
        </w:rPr>
        <w:t xml:space="preserve">Bullion storage. </w:t>
      </w:r>
      <w:r>
        <w:t>Prospectus location: London vaults of the custodian or subcustodian. This is the contractual location policy, not a reconciliation of today’s bar inventory by vault.</w:t>
      </w:r>
    </w:p>
    <w:p>
      <w:r>
        <w:rPr>
          <w:b/>
        </w:rPr>
        <w:t xml:space="preserve">Location holding limits. </w:t>
      </w:r>
      <w:r>
        <w:t>The Irish base prospectus places all underlying allocated gold and silver in London custodian/subcustodian vaults. It does not specify a numerical limit per individual London vault in the reviewed location clause. This is a location requirement for allocated bullion, not a requirement that every fund asset or hedge be physically in London. The custody-agreement summary on PDF pages 145–146 specifies London for gold/silver subcustody and London or a Swiss fiscal warehouse in Zurich for platinum/palladium. No US location is permitted in these reviewed provisions. The executed series agreements and complete later-document chain remain to be confirmed.</w:t>
      </w:r>
    </w:p>
    <w:p>
      <w:r>
        <w:rPr>
          <w:b/>
        </w:rPr>
        <w:t xml:space="preserve">Limit scope. </w:t>
      </w:r>
      <w:r>
        <w:t>Allocated bullion backing the Irish ETC series</w:t>
      </w:r>
    </w:p>
    <w:p>
      <w:r>
        <w:rPr>
          <w:b/>
        </w:rPr>
        <w:t xml:space="preserve">Custody verification. </w:t>
      </w:r>
      <w:r>
        <w:t>Published base prospectus dated 11 May 2026, including custody summary, reviewed. US storage permission is not established. Executed series custody agreements and a complete post-base supplement/final-terms chain have not been obtained.</w:t>
      </w:r>
    </w:p>
    <w:p>
      <w:r>
        <w:rPr>
          <w:b/>
        </w:rPr>
        <w:t xml:space="preserve">Location clause source. </w:t>
      </w:r>
      <w:hyperlink r:id="rId12">
        <w:r>
          <w:rPr>
            <w:color w:val="235779"/>
            <w:u w:val="single"/>
          </w:rPr>
          <w:t>2026 base prospectus: custody, insurance and unallocated accounts</w:t>
        </w:r>
      </w:hyperlink>
      <w:r>
        <w:t xml:space="preserve"> — Custody and Insurance, PDF page 56; Custody Agreement summary, PDF pages 145–148 (especially 146(iii))</w:t>
      </w:r>
    </w:p>
    <w:p>
      <w:pPr>
        <w:pStyle w:val="Heading2"/>
        <w:pageBreakBefore w:val="0"/>
      </w:pPr>
      <w:r>
        <w:t>Recorded listings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86"/>
        <w:gridCol w:w="1754"/>
        <w:gridCol w:w="1169"/>
        <w:gridCol w:w="2436"/>
      </w:tblGrid>
      <w:tr>
        <w:trPr>
          <w:tblHeader/>
          <w:cantSplit/>
        </w:trPr>
        <w:tc>
          <w:tcPr>
            <w:tcW w:type="dxa" w:w="4386"/>
            <w:vAlign w:val="center"/>
            <w:tcMar>
              <w:top w:w="80" w:type="dxa"/>
              <w:bottom w:w="80" w:type="dxa"/>
              <w:left w:w="100" w:type="dxa"/>
              <w:right w:w="100" w:type="dxa"/>
            </w:tcMar>
            <w:shd w:fill="DCE6EB"/>
          </w:tcPr>
          <w:p>
            <w:pPr>
              <w:keepNext/>
              <w:spacing w:after="0" w:before="0" w:line="252" w:lineRule="auto"/>
            </w:pPr>
            <w:r>
              <w:rPr>
                <w:b/>
                <w:sz w:val="20"/>
              </w:rPr>
              <w:t>Exchange</w:t>
            </w:r>
          </w:p>
        </w:tc>
        <w:tc>
          <w:tcPr>
            <w:tcW w:type="dxa" w:w="1754"/>
            <w:vAlign w:val="center"/>
            <w:tcMar>
              <w:top w:w="80" w:type="dxa"/>
              <w:bottom w:w="80" w:type="dxa"/>
              <w:left w:w="100" w:type="dxa"/>
              <w:right w:w="100" w:type="dxa"/>
            </w:tcMar>
            <w:shd w:fill="DCE6EB"/>
          </w:tcPr>
          <w:p>
            <w:pPr>
              <w:keepNext/>
              <w:spacing w:after="0" w:before="0" w:line="252" w:lineRule="auto"/>
              <w:jc w:val="center"/>
            </w:pPr>
            <w:r>
              <w:rPr>
                <w:b/>
                <w:sz w:val="20"/>
              </w:rPr>
              <w:t>Ticker</w:t>
            </w:r>
          </w:p>
        </w:tc>
        <w:tc>
          <w:tcPr>
            <w:tcW w:type="dxa" w:w="1169"/>
            <w:vAlign w:val="center"/>
            <w:tcMar>
              <w:top w:w="80" w:type="dxa"/>
              <w:bottom w:w="80" w:type="dxa"/>
              <w:left w:w="100" w:type="dxa"/>
              <w:right w:w="100" w:type="dxa"/>
            </w:tcMar>
            <w:shd w:fill="DCE6EB"/>
          </w:tcPr>
          <w:p>
            <w:pPr>
              <w:keepNext/>
              <w:spacing w:after="0" w:before="0" w:line="252" w:lineRule="auto"/>
              <w:jc w:val="center"/>
            </w:pPr>
            <w:r>
              <w:rPr>
                <w:b/>
                <w:sz w:val="20"/>
              </w:rPr>
              <w:t>Currency</w:t>
            </w:r>
          </w:p>
        </w:tc>
        <w:tc>
          <w:tcPr>
            <w:tcW w:type="dxa" w:w="2436"/>
            <w:vAlign w:val="center"/>
            <w:tcMar>
              <w:top w:w="80" w:type="dxa"/>
              <w:bottom w:w="80" w:type="dxa"/>
              <w:left w:w="100" w:type="dxa"/>
              <w:right w:w="100" w:type="dxa"/>
            </w:tcMar>
            <w:shd w:fill="DCE6EB"/>
          </w:tcPr>
          <w:p>
            <w:pPr>
              <w:keepNext/>
              <w:spacing w:after="0" w:before="0" w:line="252" w:lineRule="auto"/>
              <w:jc w:val="center"/>
            </w:pPr>
            <w:r>
              <w:rPr>
                <w:b/>
                <w:sz w:val="20"/>
              </w:rPr>
              <w:t>Listing date</w:t>
            </w:r>
          </w:p>
        </w:tc>
      </w:tr>
      <w:tr>
        <w:trPr>
          <w:cantSplit/>
        </w:trPr>
        <w:tc>
          <w:tcPr>
            <w:tcW w:type="dxa" w:w="4386"/>
            <w:vAlign w:val="center"/>
            <w:tcMar>
              <w:top w:w="80" w:type="dxa"/>
              <w:bottom w:w="80" w:type="dxa"/>
              <w:left w:w="100" w:type="dxa"/>
              <w:right w:w="100" w:type="dxa"/>
            </w:tcMar>
            <w:shd w:fill="FFFFFF"/>
          </w:tcPr>
          <w:p>
            <w:pPr>
              <w:keepNext w:val="0"/>
              <w:spacing w:after="0" w:before="0" w:line="252" w:lineRule="auto"/>
            </w:pPr>
            <w:r>
              <w:rPr>
                <w:sz w:val="20"/>
              </w:rPr>
              <w:t>Bolsa Mexicana De Valores</w:t>
            </w:r>
          </w:p>
        </w:tc>
        <w:tc>
          <w:tcPr>
            <w:tcW w:type="dxa" w:w="1754"/>
            <w:vAlign w:val="center"/>
            <w:tcMar>
              <w:top w:w="80" w:type="dxa"/>
              <w:bottom w:w="80" w:type="dxa"/>
              <w:left w:w="100" w:type="dxa"/>
              <w:right w:w="100" w:type="dxa"/>
            </w:tcMar>
            <w:shd w:fill="FFFFFF"/>
          </w:tcPr>
          <w:p>
            <w:pPr>
              <w:keepNext w:val="0"/>
              <w:spacing w:after="0" w:before="0" w:line="252" w:lineRule="auto"/>
              <w:jc w:val="center"/>
            </w:pPr>
            <w:r>
              <w:rPr>
                <w:sz w:val="20"/>
              </w:rPr>
              <w:t>IGLN</w:t>
            </w:r>
          </w:p>
        </w:tc>
        <w:tc>
          <w:tcPr>
            <w:tcW w:type="dxa" w:w="1169"/>
            <w:vAlign w:val="center"/>
            <w:tcMar>
              <w:top w:w="80" w:type="dxa"/>
              <w:bottom w:w="80" w:type="dxa"/>
              <w:left w:w="100" w:type="dxa"/>
              <w:right w:w="100" w:type="dxa"/>
            </w:tcMar>
            <w:shd w:fill="FFFFFF"/>
          </w:tcPr>
          <w:p>
            <w:pPr>
              <w:keepNext w:val="0"/>
              <w:spacing w:after="0" w:before="0" w:line="252" w:lineRule="auto"/>
              <w:jc w:val="center"/>
            </w:pPr>
            <w:r>
              <w:rPr>
                <w:sz w:val="20"/>
              </w:rPr>
              <w:t>MXN</w:t>
            </w:r>
          </w:p>
        </w:tc>
        <w:tc>
          <w:tcPr>
            <w:tcW w:type="dxa" w:w="2436"/>
            <w:vAlign w:val="center"/>
            <w:tcMar>
              <w:top w:w="80" w:type="dxa"/>
              <w:bottom w:w="80" w:type="dxa"/>
              <w:left w:w="100" w:type="dxa"/>
              <w:right w:w="100" w:type="dxa"/>
            </w:tcMar>
            <w:shd w:fill="FFFFFF"/>
          </w:tcPr>
          <w:p>
            <w:pPr>
              <w:keepNext w:val="0"/>
              <w:spacing w:after="0" w:before="0" w:line="252" w:lineRule="auto"/>
              <w:jc w:val="center"/>
            </w:pPr>
            <w:r>
              <w:rPr>
                <w:sz w:val="20"/>
              </w:rPr>
              <w:t>23/Nov/2020</w:t>
            </w:r>
          </w:p>
        </w:tc>
      </w:tr>
      <w:tr>
        <w:trPr>
          <w:cantSplit/>
        </w:trPr>
        <w:tc>
          <w:tcPr>
            <w:tcW w:type="dxa" w:w="4386"/>
            <w:vAlign w:val="center"/>
            <w:tcMar>
              <w:top w:w="80" w:type="dxa"/>
              <w:bottom w:w="80" w:type="dxa"/>
              <w:left w:w="100" w:type="dxa"/>
              <w:right w:w="100" w:type="dxa"/>
            </w:tcMar>
            <w:shd w:fill="F4F7F8"/>
          </w:tcPr>
          <w:p>
            <w:pPr>
              <w:keepNext w:val="0"/>
              <w:spacing w:after="0" w:before="0" w:line="252" w:lineRule="auto"/>
            </w:pPr>
            <w:r>
              <w:rPr>
                <w:sz w:val="20"/>
              </w:rPr>
              <w:t>Borsa Italiana</w:t>
            </w:r>
          </w:p>
        </w:tc>
        <w:tc>
          <w:tcPr>
            <w:tcW w:type="dxa" w:w="1754"/>
            <w:vAlign w:val="center"/>
            <w:tcMar>
              <w:top w:w="80" w:type="dxa"/>
              <w:bottom w:w="80" w:type="dxa"/>
              <w:left w:w="100" w:type="dxa"/>
              <w:right w:w="100" w:type="dxa"/>
            </w:tcMar>
            <w:shd w:fill="F4F7F8"/>
          </w:tcPr>
          <w:p>
            <w:pPr>
              <w:keepNext w:val="0"/>
              <w:spacing w:after="0" w:before="0" w:line="252" w:lineRule="auto"/>
              <w:jc w:val="center"/>
            </w:pPr>
            <w:r>
              <w:rPr>
                <w:sz w:val="20"/>
              </w:rPr>
              <w:t>SGLN</w:t>
            </w:r>
          </w:p>
        </w:tc>
        <w:tc>
          <w:tcPr>
            <w:tcW w:type="dxa" w:w="1169"/>
            <w:vAlign w:val="center"/>
            <w:tcMar>
              <w:top w:w="80" w:type="dxa"/>
              <w:bottom w:w="80" w:type="dxa"/>
              <w:left w:w="100" w:type="dxa"/>
              <w:right w:w="100" w:type="dxa"/>
            </w:tcMar>
            <w:shd w:fill="F4F7F8"/>
          </w:tcPr>
          <w:p>
            <w:pPr>
              <w:keepNext w:val="0"/>
              <w:spacing w:after="0" w:before="0" w:line="252" w:lineRule="auto"/>
              <w:jc w:val="center"/>
            </w:pPr>
            <w:r>
              <w:rPr>
                <w:sz w:val="20"/>
              </w:rPr>
              <w:t>EUR</w:t>
            </w:r>
          </w:p>
        </w:tc>
        <w:tc>
          <w:tcPr>
            <w:tcW w:type="dxa" w:w="2436"/>
            <w:vAlign w:val="center"/>
            <w:tcMar>
              <w:top w:w="80" w:type="dxa"/>
              <w:bottom w:w="80" w:type="dxa"/>
              <w:left w:w="100" w:type="dxa"/>
              <w:right w:w="100" w:type="dxa"/>
            </w:tcMar>
            <w:shd w:fill="F4F7F8"/>
          </w:tcPr>
          <w:p>
            <w:pPr>
              <w:keepNext w:val="0"/>
              <w:spacing w:after="0" w:before="0" w:line="252" w:lineRule="auto"/>
              <w:jc w:val="center"/>
            </w:pPr>
            <w:r>
              <w:rPr>
                <w:sz w:val="20"/>
              </w:rPr>
              <w:t>29/Jan/2026</w:t>
            </w:r>
          </w:p>
        </w:tc>
      </w:tr>
      <w:tr>
        <w:trPr>
          <w:cantSplit/>
        </w:trPr>
        <w:tc>
          <w:tcPr>
            <w:tcW w:type="dxa" w:w="4386"/>
            <w:vAlign w:val="center"/>
            <w:tcMar>
              <w:top w:w="80" w:type="dxa"/>
              <w:bottom w:w="80" w:type="dxa"/>
              <w:left w:w="100" w:type="dxa"/>
              <w:right w:w="100" w:type="dxa"/>
            </w:tcMar>
            <w:shd w:fill="FFFFFF"/>
          </w:tcPr>
          <w:p>
            <w:pPr>
              <w:keepNext w:val="0"/>
              <w:spacing w:after="0" w:before="0" w:line="252" w:lineRule="auto"/>
            </w:pPr>
            <w:r>
              <w:rPr>
                <w:sz w:val="20"/>
              </w:rPr>
              <w:t>London Stock Exchange</w:t>
            </w:r>
          </w:p>
        </w:tc>
        <w:tc>
          <w:tcPr>
            <w:tcW w:type="dxa" w:w="1754"/>
            <w:vAlign w:val="center"/>
            <w:tcMar>
              <w:top w:w="80" w:type="dxa"/>
              <w:bottom w:w="80" w:type="dxa"/>
              <w:left w:w="100" w:type="dxa"/>
              <w:right w:w="100" w:type="dxa"/>
            </w:tcMar>
            <w:shd w:fill="FFFFFF"/>
          </w:tcPr>
          <w:p>
            <w:pPr>
              <w:keepNext w:val="0"/>
              <w:spacing w:after="0" w:before="0" w:line="252" w:lineRule="auto"/>
              <w:jc w:val="center"/>
            </w:pPr>
            <w:r>
              <w:rPr>
                <w:sz w:val="20"/>
              </w:rPr>
              <w:t>SGLN</w:t>
            </w:r>
          </w:p>
        </w:tc>
        <w:tc>
          <w:tcPr>
            <w:tcW w:type="dxa" w:w="1169"/>
            <w:vAlign w:val="center"/>
            <w:tcMar>
              <w:top w:w="80" w:type="dxa"/>
              <w:bottom w:w="80" w:type="dxa"/>
              <w:left w:w="100" w:type="dxa"/>
              <w:right w:w="100" w:type="dxa"/>
            </w:tcMar>
            <w:shd w:fill="FFFFFF"/>
          </w:tcPr>
          <w:p>
            <w:pPr>
              <w:keepNext w:val="0"/>
              <w:spacing w:after="0" w:before="0" w:line="252" w:lineRule="auto"/>
              <w:jc w:val="center"/>
            </w:pPr>
            <w:r>
              <w:rPr>
                <w:sz w:val="20"/>
              </w:rPr>
              <w:t>GBP</w:t>
            </w:r>
          </w:p>
        </w:tc>
        <w:tc>
          <w:tcPr>
            <w:tcW w:type="dxa" w:w="2436"/>
            <w:vAlign w:val="center"/>
            <w:tcMar>
              <w:top w:w="80" w:type="dxa"/>
              <w:bottom w:w="80" w:type="dxa"/>
              <w:left w:w="100" w:type="dxa"/>
              <w:right w:w="100" w:type="dxa"/>
            </w:tcMar>
            <w:shd w:fill="FFFFFF"/>
          </w:tcPr>
          <w:p>
            <w:pPr>
              <w:keepNext w:val="0"/>
              <w:spacing w:after="0" w:before="0" w:line="252" w:lineRule="auto"/>
              <w:jc w:val="center"/>
            </w:pPr>
            <w:r>
              <w:rPr>
                <w:sz w:val="20"/>
              </w:rPr>
              <w:t>11/Apr/2011</w:t>
            </w:r>
          </w:p>
        </w:tc>
      </w:tr>
      <w:tr>
        <w:trPr>
          <w:cantSplit/>
        </w:trPr>
        <w:tc>
          <w:tcPr>
            <w:tcW w:type="dxa" w:w="4386"/>
            <w:vAlign w:val="center"/>
            <w:tcMar>
              <w:top w:w="80" w:type="dxa"/>
              <w:bottom w:w="80" w:type="dxa"/>
              <w:left w:w="100" w:type="dxa"/>
              <w:right w:w="100" w:type="dxa"/>
            </w:tcMar>
            <w:shd w:fill="F4F7F8"/>
          </w:tcPr>
          <w:p>
            <w:pPr>
              <w:keepNext w:val="0"/>
              <w:spacing w:after="0" w:before="0" w:line="252" w:lineRule="auto"/>
            </w:pPr>
            <w:r>
              <w:rPr>
                <w:sz w:val="20"/>
              </w:rPr>
              <w:t>London Stock Exchange</w:t>
            </w:r>
          </w:p>
        </w:tc>
        <w:tc>
          <w:tcPr>
            <w:tcW w:type="dxa" w:w="1754"/>
            <w:vAlign w:val="center"/>
            <w:tcMar>
              <w:top w:w="80" w:type="dxa"/>
              <w:bottom w:w="80" w:type="dxa"/>
              <w:left w:w="100" w:type="dxa"/>
              <w:right w:w="100" w:type="dxa"/>
            </w:tcMar>
            <w:shd w:fill="F4F7F8"/>
          </w:tcPr>
          <w:p>
            <w:pPr>
              <w:keepNext w:val="0"/>
              <w:spacing w:after="0" w:before="0" w:line="252" w:lineRule="auto"/>
              <w:jc w:val="center"/>
            </w:pPr>
            <w:r>
              <w:rPr>
                <w:sz w:val="20"/>
              </w:rPr>
              <w:t>IGLN</w:t>
            </w:r>
          </w:p>
        </w:tc>
        <w:tc>
          <w:tcPr>
            <w:tcW w:type="dxa" w:w="1169"/>
            <w:vAlign w:val="center"/>
            <w:tcMar>
              <w:top w:w="80" w:type="dxa"/>
              <w:bottom w:w="80" w:type="dxa"/>
              <w:left w:w="100" w:type="dxa"/>
              <w:right w:w="100" w:type="dxa"/>
            </w:tcMar>
            <w:shd w:fill="F4F7F8"/>
          </w:tcPr>
          <w:p>
            <w:pPr>
              <w:keepNext w:val="0"/>
              <w:spacing w:after="0" w:before="0" w:line="252" w:lineRule="auto"/>
              <w:jc w:val="center"/>
            </w:pPr>
            <w:r>
              <w:rPr>
                <w:sz w:val="20"/>
              </w:rPr>
              <w:t>USD</w:t>
            </w:r>
          </w:p>
        </w:tc>
        <w:tc>
          <w:tcPr>
            <w:tcW w:type="dxa" w:w="2436"/>
            <w:vAlign w:val="center"/>
            <w:tcMar>
              <w:top w:w="80" w:type="dxa"/>
              <w:bottom w:w="80" w:type="dxa"/>
              <w:left w:w="100" w:type="dxa"/>
              <w:right w:w="100" w:type="dxa"/>
            </w:tcMar>
            <w:shd w:fill="F4F7F8"/>
          </w:tcPr>
          <w:p>
            <w:pPr>
              <w:keepNext w:val="0"/>
              <w:spacing w:after="0" w:before="0" w:line="252" w:lineRule="auto"/>
              <w:jc w:val="center"/>
            </w:pPr>
            <w:r>
              <w:rPr>
                <w:sz w:val="20"/>
              </w:rPr>
              <w:t>11/Apr/2011</w:t>
            </w:r>
          </w:p>
        </w:tc>
      </w:tr>
      <w:tr>
        <w:trPr>
          <w:cantSplit/>
        </w:trPr>
        <w:tc>
          <w:tcPr>
            <w:tcW w:type="dxa" w:w="4386"/>
            <w:vAlign w:val="center"/>
            <w:tcMar>
              <w:top w:w="80" w:type="dxa"/>
              <w:bottom w:w="80" w:type="dxa"/>
              <w:left w:w="100" w:type="dxa"/>
              <w:right w:w="100" w:type="dxa"/>
            </w:tcMar>
            <w:shd w:fill="FFFFFF"/>
          </w:tcPr>
          <w:p>
            <w:pPr>
              <w:keepNext w:val="0"/>
              <w:spacing w:after="0" w:before="0" w:line="252" w:lineRule="auto"/>
            </w:pPr>
            <w:r>
              <w:rPr>
                <w:sz w:val="20"/>
              </w:rPr>
              <w:t>London Stock Exchange</w:t>
            </w:r>
          </w:p>
        </w:tc>
        <w:tc>
          <w:tcPr>
            <w:tcW w:type="dxa" w:w="1754"/>
            <w:vAlign w:val="center"/>
            <w:tcMar>
              <w:top w:w="80" w:type="dxa"/>
              <w:bottom w:w="80" w:type="dxa"/>
              <w:left w:w="100" w:type="dxa"/>
              <w:right w:w="100" w:type="dxa"/>
            </w:tcMar>
            <w:shd w:fill="FFFFFF"/>
          </w:tcPr>
          <w:p>
            <w:pPr>
              <w:keepNext w:val="0"/>
              <w:spacing w:after="0" w:before="0" w:line="252" w:lineRule="auto"/>
              <w:jc w:val="center"/>
            </w:pPr>
            <w:r>
              <w:rPr>
                <w:sz w:val="20"/>
              </w:rPr>
              <w:t>EGLN</w:t>
            </w:r>
          </w:p>
        </w:tc>
        <w:tc>
          <w:tcPr>
            <w:tcW w:type="dxa" w:w="1169"/>
            <w:vAlign w:val="center"/>
            <w:tcMar>
              <w:top w:w="80" w:type="dxa"/>
              <w:bottom w:w="80" w:type="dxa"/>
              <w:left w:w="100" w:type="dxa"/>
              <w:right w:w="100" w:type="dxa"/>
            </w:tcMar>
            <w:shd w:fill="FFFFFF"/>
          </w:tcPr>
          <w:p>
            <w:pPr>
              <w:keepNext w:val="0"/>
              <w:spacing w:after="0" w:before="0" w:line="252" w:lineRule="auto"/>
              <w:jc w:val="center"/>
            </w:pPr>
            <w:r>
              <w:rPr>
                <w:sz w:val="20"/>
              </w:rPr>
              <w:t>EUR</w:t>
            </w:r>
          </w:p>
        </w:tc>
        <w:tc>
          <w:tcPr>
            <w:tcW w:type="dxa" w:w="2436"/>
            <w:vAlign w:val="center"/>
            <w:tcMar>
              <w:top w:w="80" w:type="dxa"/>
              <w:bottom w:w="80" w:type="dxa"/>
              <w:left w:w="100" w:type="dxa"/>
              <w:right w:w="100" w:type="dxa"/>
            </w:tcMar>
            <w:shd w:fill="FFFFFF"/>
          </w:tcPr>
          <w:p>
            <w:pPr>
              <w:keepNext w:val="0"/>
              <w:spacing w:after="0" w:before="0" w:line="252" w:lineRule="auto"/>
              <w:jc w:val="center"/>
            </w:pPr>
            <w:r>
              <w:rPr>
                <w:sz w:val="20"/>
              </w:rPr>
              <w:t>28/Nov/2016</w:t>
            </w:r>
          </w:p>
        </w:tc>
      </w:tr>
      <w:tr>
        <w:trPr>
          <w:cantSplit/>
        </w:trPr>
        <w:tc>
          <w:tcPr>
            <w:tcW w:type="dxa" w:w="4386"/>
            <w:vAlign w:val="center"/>
            <w:tcMar>
              <w:top w:w="80" w:type="dxa"/>
              <w:bottom w:w="80" w:type="dxa"/>
              <w:left w:w="100" w:type="dxa"/>
              <w:right w:w="100" w:type="dxa"/>
            </w:tcMar>
            <w:shd w:fill="F4F7F8"/>
          </w:tcPr>
          <w:p>
            <w:pPr>
              <w:keepNext w:val="0"/>
              <w:spacing w:after="0" w:before="0" w:line="252" w:lineRule="auto"/>
            </w:pPr>
            <w:r>
              <w:rPr>
                <w:sz w:val="20"/>
              </w:rPr>
              <w:t>Nyse Euronext - Euronext Paris</w:t>
            </w:r>
          </w:p>
        </w:tc>
        <w:tc>
          <w:tcPr>
            <w:tcW w:type="dxa" w:w="1754"/>
            <w:vAlign w:val="center"/>
            <w:tcMar>
              <w:top w:w="80" w:type="dxa"/>
              <w:bottom w:w="80" w:type="dxa"/>
              <w:left w:w="100" w:type="dxa"/>
              <w:right w:w="100" w:type="dxa"/>
            </w:tcMar>
            <w:shd w:fill="F4F7F8"/>
          </w:tcPr>
          <w:p>
            <w:pPr>
              <w:keepNext w:val="0"/>
              <w:spacing w:after="0" w:before="0" w:line="252" w:lineRule="auto"/>
              <w:jc w:val="center"/>
            </w:pPr>
            <w:r>
              <w:rPr>
                <w:sz w:val="20"/>
              </w:rPr>
              <w:t>SLGN</w:t>
            </w:r>
          </w:p>
        </w:tc>
        <w:tc>
          <w:tcPr>
            <w:tcW w:type="dxa" w:w="1169"/>
            <w:vAlign w:val="center"/>
            <w:tcMar>
              <w:top w:w="80" w:type="dxa"/>
              <w:bottom w:w="80" w:type="dxa"/>
              <w:left w:w="100" w:type="dxa"/>
              <w:right w:w="100" w:type="dxa"/>
            </w:tcMar>
            <w:shd w:fill="F4F7F8"/>
          </w:tcPr>
          <w:p>
            <w:pPr>
              <w:keepNext w:val="0"/>
              <w:spacing w:after="0" w:before="0" w:line="252" w:lineRule="auto"/>
              <w:jc w:val="center"/>
            </w:pPr>
            <w:r>
              <w:rPr>
                <w:sz w:val="20"/>
              </w:rPr>
              <w:t>EUR</w:t>
            </w:r>
          </w:p>
        </w:tc>
        <w:tc>
          <w:tcPr>
            <w:tcW w:type="dxa" w:w="2436"/>
            <w:vAlign w:val="center"/>
            <w:tcMar>
              <w:top w:w="80" w:type="dxa"/>
              <w:bottom w:w="80" w:type="dxa"/>
              <w:left w:w="100" w:type="dxa"/>
              <w:right w:w="100" w:type="dxa"/>
            </w:tcMar>
            <w:shd w:fill="F4F7F8"/>
          </w:tcPr>
          <w:p>
            <w:pPr>
              <w:keepNext w:val="0"/>
              <w:spacing w:after="0" w:before="0" w:line="252" w:lineRule="auto"/>
              <w:jc w:val="center"/>
            </w:pPr>
            <w:r>
              <w:rPr>
                <w:sz w:val="20"/>
              </w:rPr>
              <w:t>10/Sept/2026</w:t>
            </w:r>
          </w:p>
        </w:tc>
      </w:tr>
      <w:tr>
        <w:trPr>
          <w:cantSplit/>
        </w:trPr>
        <w:tc>
          <w:tcPr>
            <w:tcW w:type="dxa" w:w="4386"/>
            <w:vAlign w:val="center"/>
            <w:tcMar>
              <w:top w:w="80" w:type="dxa"/>
              <w:bottom w:w="80" w:type="dxa"/>
              <w:left w:w="100" w:type="dxa"/>
              <w:right w:w="100" w:type="dxa"/>
            </w:tcMar>
            <w:shd w:fill="FFFFFF"/>
          </w:tcPr>
          <w:p>
            <w:pPr>
              <w:keepNext w:val="0"/>
              <w:spacing w:after="0" w:before="0" w:line="252" w:lineRule="auto"/>
            </w:pPr>
            <w:r>
              <w:rPr>
                <w:sz w:val="20"/>
              </w:rPr>
              <w:t>Xetra</w:t>
            </w:r>
          </w:p>
        </w:tc>
        <w:tc>
          <w:tcPr>
            <w:tcW w:type="dxa" w:w="1754"/>
            <w:vAlign w:val="center"/>
            <w:tcMar>
              <w:top w:w="80" w:type="dxa"/>
              <w:bottom w:w="80" w:type="dxa"/>
              <w:left w:w="100" w:type="dxa"/>
              <w:right w:w="100" w:type="dxa"/>
            </w:tcMar>
            <w:shd w:fill="FFFFFF"/>
          </w:tcPr>
          <w:p>
            <w:pPr>
              <w:keepNext w:val="0"/>
              <w:spacing w:after="0" w:before="0" w:line="252" w:lineRule="auto"/>
              <w:jc w:val="center"/>
            </w:pPr>
            <w:r>
              <w:rPr>
                <w:sz w:val="20"/>
              </w:rPr>
              <w:t>PPFB GY</w:t>
            </w:r>
          </w:p>
        </w:tc>
        <w:tc>
          <w:tcPr>
            <w:tcW w:type="dxa" w:w="1169"/>
            <w:vAlign w:val="center"/>
            <w:tcMar>
              <w:top w:w="80" w:type="dxa"/>
              <w:bottom w:w="80" w:type="dxa"/>
              <w:left w:w="100" w:type="dxa"/>
              <w:right w:w="100" w:type="dxa"/>
            </w:tcMar>
            <w:shd w:fill="FFFFFF"/>
          </w:tcPr>
          <w:p>
            <w:pPr>
              <w:keepNext w:val="0"/>
              <w:spacing w:after="0" w:before="0" w:line="252" w:lineRule="auto"/>
              <w:jc w:val="center"/>
            </w:pPr>
            <w:r>
              <w:rPr>
                <w:sz w:val="20"/>
              </w:rPr>
              <w:t>EUR</w:t>
            </w:r>
          </w:p>
        </w:tc>
        <w:tc>
          <w:tcPr>
            <w:tcW w:type="dxa" w:w="2436"/>
            <w:vAlign w:val="center"/>
            <w:tcMar>
              <w:top w:w="80" w:type="dxa"/>
              <w:bottom w:w="80" w:type="dxa"/>
              <w:left w:w="100" w:type="dxa"/>
              <w:right w:w="100" w:type="dxa"/>
            </w:tcMar>
            <w:shd w:fill="FFFFFF"/>
          </w:tcPr>
          <w:p>
            <w:pPr>
              <w:keepNext w:val="0"/>
              <w:spacing w:after="0" w:before="0" w:line="252" w:lineRule="auto"/>
              <w:jc w:val="center"/>
            </w:pPr>
            <w:r>
              <w:rPr>
                <w:sz w:val="20"/>
              </w:rPr>
              <w:t>16/Jul/2021</w:t>
            </w:r>
          </w:p>
        </w:tc>
      </w:tr>
    </w:tbl>
    <w:p>
      <w:pPr>
        <w:spacing w:after="60" w:before="0" w:line="40" w:lineRule="exact"/>
      </w:pPr>
      <w:r>
        <w:rPr>
          <w:sz w:val="4"/>
        </w:rPr>
      </w:r>
    </w:p>
    <w:p>
      <w:pPr>
        <w:pStyle w:val="Heading2"/>
        <w:pageBreakBefore w:val="0"/>
      </w:pPr>
      <w:r>
        <w:t>Sources</w:t>
      </w:r>
    </w:p>
    <w:p>
      <w:pPr>
        <w:spacing w:after="80"/>
      </w:pPr>
      <w:hyperlink r:id="rId13">
        <w:r>
          <w:rPr>
            <w:color w:val="235779"/>
            <w:u w:val="single"/>
          </w:rPr>
          <w:t>Issuer product page</w:t>
        </w:r>
      </w:hyperlink>
      <w:r>
        <w:t xml:space="preserve">  ·  </w:t>
      </w:r>
      <w:hyperlink r:id="rId14">
        <w:r>
          <w:rPr>
            <w:color w:val="235779"/>
            <w:u w:val="single"/>
          </w:rPr>
          <w:t>Saved source</w:t>
        </w:r>
      </w:hyperlink>
    </w:p>
    <w:p>
      <w:pPr>
        <w:spacing w:after="80"/>
      </w:pPr>
      <w:hyperlink r:id="rId15">
        <w:r>
          <w:rPr>
            <w:color w:val="235779"/>
            <w:u w:val="single"/>
          </w:rPr>
          <w:t>2026 base prospectus: custody, insurance and unallocated accounts</w:t>
        </w:r>
      </w:hyperlink>
      <w:r>
        <w:t xml:space="preserve">  ·  </w:t>
      </w:r>
      <w:hyperlink r:id="rId16">
        <w:r>
          <w:rPr>
            <w:color w:val="235779"/>
            <w:u w:val="single"/>
          </w:rPr>
          <w:t>Saved source</w:t>
        </w:r>
      </w:hyperlink>
    </w:p>
    <w:p>
      <w:bookmarkStart w:id="4" w:name="product_2"/>
      <w:pPr>
        <w:pStyle w:val="Heading1"/>
        <w:pageBreakBefore w:val="0"/>
        <w:spacing w:before="360"/>
      </w:pPr>
      <w:r>
        <w:t>02  iShares Physical Silver ETC</w:t>
      </w:r>
      <w:bookmarkEnd w:id="4"/>
    </w:p>
    <w:p>
      <w:pPr>
        <w:keepNext/>
      </w:pPr>
      <w:r>
        <w:rPr>
          <w:b/>
        </w:rPr>
        <w:t>SSLN / ISLN  |  Ireland  |  Silver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24"/>
        <w:gridCol w:w="6822"/>
      </w:tblGrid>
      <w:tr>
        <w:trPr>
          <w:tblHeader/>
          <w:cantSplit/>
        </w:trPr>
        <w:tc>
          <w:tcPr>
            <w:tcW w:type="dxa" w:w="2924"/>
            <w:vAlign w:val="center"/>
            <w:tcMar>
              <w:top w:w="80" w:type="dxa"/>
              <w:bottom w:w="80" w:type="dxa"/>
              <w:left w:w="100" w:type="dxa"/>
              <w:right w:w="100" w:type="dxa"/>
            </w:tcMar>
            <w:shd w:fill="DCE6EB"/>
          </w:tcPr>
          <w:p>
            <w:pPr>
              <w:keepNext/>
              <w:spacing w:after="0" w:before="0" w:line="252" w:lineRule="auto"/>
            </w:pPr>
            <w:r>
              <w:rPr>
                <w:b/>
                <w:sz w:val="20"/>
              </w:rPr>
              <w:t>Field</w:t>
            </w:r>
          </w:p>
        </w:tc>
        <w:tc>
          <w:tcPr>
            <w:tcW w:type="dxa" w:w="6822"/>
            <w:vAlign w:val="center"/>
            <w:tcMar>
              <w:top w:w="80" w:type="dxa"/>
              <w:bottom w:w="80" w:type="dxa"/>
              <w:left w:w="100" w:type="dxa"/>
              <w:right w:w="100" w:type="dxa"/>
            </w:tcMar>
            <w:shd w:fill="DCE6EB"/>
          </w:tcPr>
          <w:p>
            <w:pPr>
              <w:keepNext/>
              <w:spacing w:after="0" w:before="0" w:line="252" w:lineRule="auto"/>
              <w:jc w:val="center"/>
            </w:pPr>
            <w:r>
              <w:rPr>
                <w:b/>
                <w:sz w:val="20"/>
              </w:rPr>
              <w:t>Detail</w:t>
            </w:r>
          </w:p>
        </w:tc>
      </w:tr>
      <w:tr>
        <w:trPr>
          <w:cantSplit/>
        </w:trPr>
        <w:tc>
          <w:tcPr>
            <w:tcW w:type="dxa" w:w="2924"/>
            <w:vAlign w:val="center"/>
            <w:tcMar>
              <w:top w:w="80" w:type="dxa"/>
              <w:bottom w:w="80" w:type="dxa"/>
              <w:left w:w="100" w:type="dxa"/>
              <w:right w:w="100" w:type="dxa"/>
            </w:tcMar>
            <w:shd w:fill="FFFFFF"/>
          </w:tcPr>
          <w:p>
            <w:pPr>
              <w:keepNext w:val="0"/>
              <w:spacing w:after="0" w:before="0" w:line="252" w:lineRule="auto"/>
            </w:pPr>
            <w:r>
              <w:rPr>
                <w:sz w:val="20"/>
              </w:rPr>
              <w:t>Legal form</w:t>
            </w:r>
          </w:p>
        </w:tc>
        <w:tc>
          <w:tcPr>
            <w:tcW w:type="dxa" w:w="6822"/>
            <w:vAlign w:val="center"/>
            <w:tcMar>
              <w:top w:w="80" w:type="dxa"/>
              <w:bottom w:w="80" w:type="dxa"/>
              <w:left w:w="100" w:type="dxa"/>
              <w:right w:w="100" w:type="dxa"/>
            </w:tcMar>
            <w:shd w:fill="FFFFFF"/>
          </w:tcPr>
          <w:p>
            <w:pPr>
              <w:keepNext w:val="0"/>
              <w:spacing w:after="0" w:before="0" w:line="252" w:lineRule="auto"/>
            </w:pPr>
            <w:r>
              <w:rPr>
                <w:sz w:val="20"/>
              </w:rPr>
              <w:t>Secured debt ETC; not a UCITS fund</w:t>
            </w:r>
          </w:p>
        </w:tc>
      </w:tr>
      <w:tr>
        <w:trPr>
          <w:cantSplit/>
        </w:trPr>
        <w:tc>
          <w:tcPr>
            <w:tcW w:type="dxa" w:w="2924"/>
            <w:vAlign w:val="center"/>
            <w:tcMar>
              <w:top w:w="80" w:type="dxa"/>
              <w:bottom w:w="80" w:type="dxa"/>
              <w:left w:w="100" w:type="dxa"/>
              <w:right w:w="100" w:type="dxa"/>
            </w:tcMar>
            <w:shd w:fill="F4F7F8"/>
          </w:tcPr>
          <w:p>
            <w:pPr>
              <w:keepNext w:val="0"/>
              <w:spacing w:after="0" w:before="0" w:line="252" w:lineRule="auto"/>
            </w:pPr>
            <w:r>
              <w:rPr>
                <w:sz w:val="20"/>
              </w:rPr>
              <w:t>Issuer or sponsor</w:t>
            </w:r>
          </w:p>
        </w:tc>
        <w:tc>
          <w:tcPr>
            <w:tcW w:type="dxa" w:w="6822"/>
            <w:vAlign w:val="center"/>
            <w:tcMar>
              <w:top w:w="80" w:type="dxa"/>
              <w:bottom w:w="80" w:type="dxa"/>
              <w:left w:w="100" w:type="dxa"/>
              <w:right w:w="100" w:type="dxa"/>
            </w:tcMar>
            <w:shd w:fill="F4F7F8"/>
          </w:tcPr>
          <w:p>
            <w:pPr>
              <w:keepNext w:val="0"/>
              <w:spacing w:after="0" w:before="0" w:line="252" w:lineRule="auto"/>
            </w:pPr>
            <w:r>
              <w:rPr>
                <w:sz w:val="20"/>
              </w:rPr>
              <w:t>iShares Physical Metals plc</w:t>
            </w:r>
          </w:p>
        </w:tc>
      </w:tr>
      <w:tr>
        <w:trPr>
          <w:cantSplit/>
        </w:trPr>
        <w:tc>
          <w:tcPr>
            <w:tcW w:type="dxa" w:w="2924"/>
            <w:vAlign w:val="center"/>
            <w:tcMar>
              <w:top w:w="80" w:type="dxa"/>
              <w:bottom w:w="80" w:type="dxa"/>
              <w:left w:w="100" w:type="dxa"/>
              <w:right w:w="100" w:type="dxa"/>
            </w:tcMar>
            <w:shd w:fill="FFFFFF"/>
          </w:tcPr>
          <w:p>
            <w:pPr>
              <w:keepNext w:val="0"/>
              <w:spacing w:after="0" w:before="0" w:line="252" w:lineRule="auto"/>
            </w:pPr>
            <w:r>
              <w:rPr>
                <w:sz w:val="20"/>
              </w:rPr>
              <w:t>Launch or class inception</w:t>
            </w:r>
          </w:p>
        </w:tc>
        <w:tc>
          <w:tcPr>
            <w:tcW w:type="dxa" w:w="6822"/>
            <w:vAlign w:val="center"/>
            <w:tcMar>
              <w:top w:w="80" w:type="dxa"/>
              <w:bottom w:w="80" w:type="dxa"/>
              <w:left w:w="100" w:type="dxa"/>
              <w:right w:w="100" w:type="dxa"/>
            </w:tcMar>
            <w:shd w:fill="FFFFFF"/>
          </w:tcPr>
          <w:p>
            <w:pPr>
              <w:keepNext w:val="0"/>
              <w:spacing w:after="0" w:before="0" w:line="252" w:lineRule="auto"/>
              <w:jc w:val="center"/>
            </w:pPr>
            <w:r>
              <w:rPr>
                <w:sz w:val="20"/>
              </w:rPr>
              <w:t>08/Apr/2011</w:t>
            </w:r>
          </w:p>
        </w:tc>
      </w:tr>
      <w:tr>
        <w:trPr>
          <w:cantSplit/>
        </w:trPr>
        <w:tc>
          <w:tcPr>
            <w:tcW w:type="dxa" w:w="2924"/>
            <w:vAlign w:val="center"/>
            <w:tcMar>
              <w:top w:w="80" w:type="dxa"/>
              <w:bottom w:w="80" w:type="dxa"/>
              <w:left w:w="100" w:type="dxa"/>
              <w:right w:w="100" w:type="dxa"/>
            </w:tcMar>
            <w:shd w:fill="F4F7F8"/>
          </w:tcPr>
          <w:p>
            <w:pPr>
              <w:keepNext w:val="0"/>
              <w:spacing w:after="0" w:before="0" w:line="252" w:lineRule="auto"/>
            </w:pPr>
            <w:r>
              <w:rPr>
                <w:sz w:val="20"/>
              </w:rPr>
              <w:t>ISIN / CUSIP</w:t>
            </w:r>
          </w:p>
        </w:tc>
        <w:tc>
          <w:tcPr>
            <w:tcW w:type="dxa" w:w="6822"/>
            <w:vAlign w:val="center"/>
            <w:tcMar>
              <w:top w:w="80" w:type="dxa"/>
              <w:bottom w:w="80" w:type="dxa"/>
              <w:left w:w="100" w:type="dxa"/>
              <w:right w:w="100" w:type="dxa"/>
            </w:tcMar>
            <w:shd w:fill="F4F7F8"/>
          </w:tcPr>
          <w:p>
            <w:pPr>
              <w:keepNext w:val="0"/>
              <w:spacing w:after="0" w:before="0" w:line="252" w:lineRule="auto"/>
              <w:jc w:val="center"/>
            </w:pPr>
            <w:r>
              <w:rPr>
                <w:sz w:val="20"/>
              </w:rPr>
              <w:t>IE00B4NCWG09</w:t>
            </w:r>
          </w:p>
        </w:tc>
      </w:tr>
      <w:tr>
        <w:trPr>
          <w:cantSplit/>
        </w:trPr>
        <w:tc>
          <w:tcPr>
            <w:tcW w:type="dxa" w:w="2924"/>
            <w:vAlign w:val="center"/>
            <w:tcMar>
              <w:top w:w="80" w:type="dxa"/>
              <w:bottom w:w="80" w:type="dxa"/>
              <w:left w:w="100" w:type="dxa"/>
              <w:right w:w="100" w:type="dxa"/>
            </w:tcMar>
            <w:shd w:fill="FFFFFF"/>
          </w:tcPr>
          <w:p>
            <w:pPr>
              <w:keepNext w:val="0"/>
              <w:spacing w:after="0" w:before="0" w:line="252" w:lineRule="auto"/>
            </w:pPr>
            <w:r>
              <w:rPr>
                <w:sz w:val="20"/>
              </w:rPr>
              <w:t>Reported net assets</w:t>
            </w:r>
          </w:p>
        </w:tc>
        <w:tc>
          <w:tcPr>
            <w:tcW w:type="dxa" w:w="6822"/>
            <w:vAlign w:val="center"/>
            <w:tcMar>
              <w:top w:w="80" w:type="dxa"/>
              <w:bottom w:w="80" w:type="dxa"/>
              <w:left w:w="100" w:type="dxa"/>
              <w:right w:w="100" w:type="dxa"/>
            </w:tcMar>
            <w:shd w:fill="FFFFFF"/>
          </w:tcPr>
          <w:p>
            <w:pPr>
              <w:keepNext w:val="0"/>
              <w:spacing w:after="0" w:before="0" w:line="252" w:lineRule="auto"/>
            </w:pPr>
            <w:r>
              <w:rPr>
                <w:sz w:val="20"/>
              </w:rPr>
              <w:t>USD 3,352,107,207.00 as of 2026-09-22</w:t>
            </w:r>
          </w:p>
        </w:tc>
      </w:tr>
      <w:tr>
        <w:trPr>
          <w:cantSplit/>
        </w:trPr>
        <w:tc>
          <w:tcPr>
            <w:tcW w:type="dxa" w:w="2924"/>
            <w:vAlign w:val="center"/>
            <w:tcMar>
              <w:top w:w="80" w:type="dxa"/>
              <w:bottom w:w="80" w:type="dxa"/>
              <w:left w:w="100" w:type="dxa"/>
              <w:right w:w="100" w:type="dxa"/>
            </w:tcMar>
            <w:shd w:fill="F4F7F8"/>
          </w:tcPr>
          <w:p>
            <w:pPr>
              <w:keepNext w:val="0"/>
              <w:spacing w:after="0" w:before="0" w:line="252" w:lineRule="auto"/>
            </w:pPr>
            <w:r>
              <w:rPr>
                <w:sz w:val="20"/>
              </w:rPr>
              <w:t>Asset basis</w:t>
            </w:r>
          </w:p>
        </w:tc>
        <w:tc>
          <w:tcPr>
            <w:tcW w:type="dxa" w:w="6822"/>
            <w:vAlign w:val="center"/>
            <w:tcMar>
              <w:top w:w="80" w:type="dxa"/>
              <w:bottom w:w="80" w:type="dxa"/>
              <w:left w:w="100" w:type="dxa"/>
              <w:right w:w="100" w:type="dxa"/>
            </w:tcMar>
            <w:shd w:fill="F4F7F8"/>
          </w:tcPr>
          <w:p>
            <w:pPr>
              <w:keepNext w:val="0"/>
              <w:spacing w:after="0" w:before="0" w:line="252" w:lineRule="auto"/>
            </w:pPr>
            <w:r>
              <w:rPr>
                <w:sz w:val="20"/>
              </w:rPr>
              <w:t>Fund / trust / ETC series</w:t>
            </w:r>
          </w:p>
        </w:tc>
      </w:tr>
      <w:tr>
        <w:trPr>
          <w:cantSplit/>
        </w:trPr>
        <w:tc>
          <w:tcPr>
            <w:tcW w:type="dxa" w:w="2924"/>
            <w:vAlign w:val="center"/>
            <w:tcMar>
              <w:top w:w="80" w:type="dxa"/>
              <w:bottom w:w="80" w:type="dxa"/>
              <w:left w:w="100" w:type="dxa"/>
              <w:right w:w="100" w:type="dxa"/>
            </w:tcMar>
            <w:shd w:fill="FFFFFF"/>
          </w:tcPr>
          <w:p>
            <w:pPr>
              <w:keepNext w:val="0"/>
              <w:spacing w:after="0" w:before="0" w:line="252" w:lineRule="auto"/>
            </w:pPr>
            <w:r>
              <w:rPr>
                <w:sz w:val="20"/>
              </w:rPr>
              <w:t>Currency exposure</w:t>
            </w:r>
          </w:p>
        </w:tc>
        <w:tc>
          <w:tcPr>
            <w:tcW w:type="dxa" w:w="6822"/>
            <w:vAlign w:val="center"/>
            <w:tcMar>
              <w:top w:w="80" w:type="dxa"/>
              <w:bottom w:w="80" w:type="dxa"/>
              <w:left w:w="100" w:type="dxa"/>
              <w:right w:w="100" w:type="dxa"/>
            </w:tcMar>
            <w:shd w:fill="FFFFFF"/>
          </w:tcPr>
          <w:p>
            <w:pPr>
              <w:keepNext w:val="0"/>
              <w:spacing w:after="0" w:before="0" w:line="252" w:lineRule="auto"/>
              <w:jc w:val="center"/>
            </w:pPr>
            <w:r>
              <w:rPr>
                <w:sz w:val="20"/>
              </w:rPr>
              <w:t>Unhedged</w:t>
            </w:r>
          </w:p>
        </w:tc>
      </w:tr>
      <w:tr>
        <w:trPr>
          <w:cantSplit/>
        </w:trPr>
        <w:tc>
          <w:tcPr>
            <w:tcW w:type="dxa" w:w="2924"/>
            <w:vAlign w:val="center"/>
            <w:tcMar>
              <w:top w:w="80" w:type="dxa"/>
              <w:bottom w:w="80" w:type="dxa"/>
              <w:left w:w="100" w:type="dxa"/>
              <w:right w:w="100" w:type="dxa"/>
            </w:tcMar>
            <w:shd w:fill="F4F7F8"/>
          </w:tcPr>
          <w:p>
            <w:pPr>
              <w:keepNext w:val="0"/>
              <w:spacing w:after="0" w:before="0" w:line="252" w:lineRule="auto"/>
            </w:pPr>
            <w:r>
              <w:rPr>
                <w:sz w:val="20"/>
              </w:rPr>
              <w:t>Annual fee</w:t>
            </w:r>
          </w:p>
        </w:tc>
        <w:tc>
          <w:tcPr>
            <w:tcW w:type="dxa" w:w="6822"/>
            <w:vAlign w:val="center"/>
            <w:tcMar>
              <w:top w:w="80" w:type="dxa"/>
              <w:bottom w:w="80" w:type="dxa"/>
              <w:left w:w="100" w:type="dxa"/>
              <w:right w:w="100" w:type="dxa"/>
            </w:tcMar>
            <w:shd w:fill="F4F7F8"/>
          </w:tcPr>
          <w:p>
            <w:pPr>
              <w:keepNext w:val="0"/>
              <w:spacing w:after="0" w:before="0" w:line="252" w:lineRule="auto"/>
              <w:jc w:val="center"/>
            </w:pPr>
            <w:r>
              <w:rPr>
                <w:sz w:val="20"/>
              </w:rPr>
              <w:t>0.2% — TER</w:t>
            </w:r>
          </w:p>
        </w:tc>
      </w:tr>
      <w:tr>
        <w:trPr>
          <w:cantSplit/>
        </w:trPr>
        <w:tc>
          <w:tcPr>
            <w:tcW w:type="dxa" w:w="2924"/>
            <w:vAlign w:val="center"/>
            <w:tcMar>
              <w:top w:w="80" w:type="dxa"/>
              <w:bottom w:w="80" w:type="dxa"/>
              <w:left w:w="100" w:type="dxa"/>
              <w:right w:w="100" w:type="dxa"/>
            </w:tcMar>
            <w:shd w:fill="FFFFFF"/>
          </w:tcPr>
          <w:p>
            <w:pPr>
              <w:keepNext w:val="0"/>
              <w:spacing w:after="0" w:before="0" w:line="252" w:lineRule="auto"/>
            </w:pPr>
            <w:r>
              <w:rPr>
                <w:sz w:val="20"/>
              </w:rPr>
              <w:t>Custodian</w:t>
            </w:r>
          </w:p>
        </w:tc>
        <w:tc>
          <w:tcPr>
            <w:tcW w:type="dxa" w:w="6822"/>
            <w:vAlign w:val="center"/>
            <w:tcMar>
              <w:top w:w="80" w:type="dxa"/>
              <w:bottom w:w="80" w:type="dxa"/>
              <w:left w:w="100" w:type="dxa"/>
              <w:right w:w="100" w:type="dxa"/>
            </w:tcMar>
            <w:shd w:fill="FFFFFF"/>
          </w:tcPr>
          <w:p>
            <w:pPr>
              <w:keepNext w:val="0"/>
              <w:spacing w:after="0" w:before="0" w:line="252" w:lineRule="auto"/>
            </w:pPr>
            <w:r>
              <w:rPr>
                <w:sz w:val="20"/>
              </w:rPr>
              <w:t>JPMorgan Chase Bank N.A., London Branch</w:t>
            </w:r>
          </w:p>
        </w:tc>
      </w:tr>
      <w:tr>
        <w:trPr>
          <w:cantSplit/>
        </w:trPr>
        <w:tc>
          <w:tcPr>
            <w:tcW w:type="dxa" w:w="2924"/>
            <w:vAlign w:val="center"/>
            <w:tcMar>
              <w:top w:w="80" w:type="dxa"/>
              <w:bottom w:w="80" w:type="dxa"/>
              <w:left w:w="100" w:type="dxa"/>
              <w:right w:w="100" w:type="dxa"/>
            </w:tcMar>
            <w:shd w:fill="F4F7F8"/>
          </w:tcPr>
          <w:p>
            <w:pPr>
              <w:keepNext w:val="0"/>
              <w:spacing w:after="0" w:before="0" w:line="252" w:lineRule="auto"/>
            </w:pPr>
            <w:r>
              <w:rPr>
                <w:sz w:val="20"/>
              </w:rPr>
              <w:t>Custody evidence date</w:t>
            </w:r>
          </w:p>
        </w:tc>
        <w:tc>
          <w:tcPr>
            <w:tcW w:type="dxa" w:w="6822"/>
            <w:vAlign w:val="center"/>
            <w:tcMar>
              <w:top w:w="80" w:type="dxa"/>
              <w:bottom w:w="80" w:type="dxa"/>
              <w:left w:w="100" w:type="dxa"/>
              <w:right w:w="100" w:type="dxa"/>
            </w:tcMar>
            <w:shd w:fill="F4F7F8"/>
          </w:tcPr>
          <w:p>
            <w:pPr>
              <w:keepNext w:val="0"/>
              <w:spacing w:after="0" w:before="0" w:line="252" w:lineRule="auto"/>
              <w:jc w:val="center"/>
            </w:pPr>
            <w:r>
              <w:rPr>
                <w:sz w:val="20"/>
              </w:rPr>
              <w:t>2026-09-23</w:t>
            </w:r>
          </w:p>
        </w:tc>
      </w:tr>
      <w:tr>
        <w:trPr>
          <w:cantSplit/>
        </w:trPr>
        <w:tc>
          <w:tcPr>
            <w:tcW w:type="dxa" w:w="2924"/>
            <w:vAlign w:val="center"/>
            <w:tcMar>
              <w:top w:w="80" w:type="dxa"/>
              <w:bottom w:w="80" w:type="dxa"/>
              <w:left w:w="100" w:type="dxa"/>
              <w:right w:w="100" w:type="dxa"/>
            </w:tcMar>
            <w:shd w:fill="FFFFFF"/>
          </w:tcPr>
          <w:p>
            <w:pPr>
              <w:keepNext w:val="0"/>
              <w:spacing w:after="0" w:before="0" w:line="252" w:lineRule="auto"/>
            </w:pPr>
            <w:r>
              <w:rPr>
                <w:sz w:val="20"/>
              </w:rPr>
              <w:t>Reported metal quantity</w:t>
            </w:r>
          </w:p>
        </w:tc>
        <w:tc>
          <w:tcPr>
            <w:tcW w:type="dxa" w:w="6822"/>
            <w:vAlign w:val="center"/>
            <w:tcMar>
              <w:top w:w="80" w:type="dxa"/>
              <w:bottom w:w="80" w:type="dxa"/>
              <w:left w:w="100" w:type="dxa"/>
              <w:right w:w="100" w:type="dxa"/>
            </w:tcMar>
            <w:shd w:fill="FFFFFF"/>
          </w:tcPr>
          <w:p>
            <w:pPr>
              <w:keepNext w:val="0"/>
              <w:spacing w:after="0" w:before="0" w:line="252" w:lineRule="auto"/>
            </w:pPr>
            <w:r>
              <w:rPr>
                <w:sz w:val="20"/>
              </w:rPr>
              <w:t>51,100,185.13 troy ounces; 1,589.41 tonnes; dated 2026-09-23 — Issuer product-page quantity</w:t>
            </w:r>
          </w:p>
        </w:tc>
      </w:tr>
    </w:tbl>
    <w:p>
      <w:pPr>
        <w:spacing w:after="60" w:before="0" w:line="40" w:lineRule="exact"/>
      </w:pPr>
      <w:r>
        <w:rPr>
          <w:sz w:val="4"/>
        </w:rPr>
      </w:r>
    </w:p>
    <w:p>
      <w:r>
        <w:rPr>
          <w:b/>
        </w:rPr>
        <w:t xml:space="preserve">Fee definition. </w:t>
      </w:r>
      <w:r>
        <w:t>Total expense ratio reported by issuer.</w:t>
      </w:r>
    </w:p>
    <w:p>
      <w:r>
        <w:rPr>
          <w:b/>
        </w:rPr>
        <w:t xml:space="preserve">Allocation. </w:t>
      </w:r>
      <w:r>
        <w:t>The series is backed by allocated metal. Metal must be allocated before securities are issued. Transfers can pass through unallocated accounts, with custodian credit exposure during those periods.</w:t>
      </w:r>
    </w:p>
    <w:p>
      <w:r>
        <w:rPr>
          <w:b/>
        </w:rPr>
        <w:t xml:space="preserve">Bullion storage. </w:t>
      </w:r>
      <w:r>
        <w:t>Prospectus location: London vaults of the custodian or subcustodian. This is the contractual location policy, not a reconciliation of today’s bar inventory by vault.</w:t>
      </w:r>
    </w:p>
    <w:p>
      <w:r>
        <w:rPr>
          <w:b/>
        </w:rPr>
        <w:t xml:space="preserve">Location holding limits. </w:t>
      </w:r>
      <w:r>
        <w:t>The Irish base prospectus places all underlying allocated gold and silver in London custodian/subcustodian vaults. It does not specify a numerical limit per individual London vault in the reviewed location clause. This is a location requirement for allocated bullion, not a requirement that every fund asset or hedge be physically in London. The custody-agreement summary on PDF pages 145–146 specifies London for gold/silver subcustody and London or a Swiss fiscal warehouse in Zurich for platinum/palladium. No US location is permitted in these reviewed provisions. The executed series agreements and complete later-document chain remain to be confirmed.</w:t>
      </w:r>
    </w:p>
    <w:p>
      <w:r>
        <w:rPr>
          <w:b/>
        </w:rPr>
        <w:t xml:space="preserve">Limit scope. </w:t>
      </w:r>
      <w:r>
        <w:t>Allocated bullion backing the Irish ETC series</w:t>
      </w:r>
    </w:p>
    <w:p>
      <w:r>
        <w:rPr>
          <w:b/>
        </w:rPr>
        <w:t xml:space="preserve">Custody verification. </w:t>
      </w:r>
      <w:r>
        <w:t>Published base prospectus dated 11 May 2026, including custody summary, reviewed. US storage permission is not established. Executed series custody agreements and a complete post-base supplement/final-terms chain have not been obtained.</w:t>
      </w:r>
    </w:p>
    <w:p>
      <w:r>
        <w:rPr>
          <w:b/>
        </w:rPr>
        <w:t xml:space="preserve">Location clause source. </w:t>
      </w:r>
      <w:hyperlink r:id="rId12">
        <w:r>
          <w:rPr>
            <w:color w:val="235779"/>
            <w:u w:val="single"/>
          </w:rPr>
          <w:t>2026 base prospectus: custody, insurance and unallocated accounts</w:t>
        </w:r>
      </w:hyperlink>
      <w:r>
        <w:t xml:space="preserve"> — Custody and Insurance, PDF page 56; Custody Agreement summary, PDF pages 145–148 (especially 146(iii))</w:t>
      </w:r>
    </w:p>
    <w:p>
      <w:pPr>
        <w:pStyle w:val="Heading2"/>
        <w:pageBreakBefore w:val="0"/>
      </w:pPr>
      <w:r>
        <w:t>Recorded listings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86"/>
        <w:gridCol w:w="1754"/>
        <w:gridCol w:w="1169"/>
        <w:gridCol w:w="2436"/>
      </w:tblGrid>
      <w:tr>
        <w:trPr>
          <w:tblHeader/>
          <w:cantSplit/>
        </w:trPr>
        <w:tc>
          <w:tcPr>
            <w:tcW w:type="dxa" w:w="4386"/>
            <w:vAlign w:val="center"/>
            <w:tcMar>
              <w:top w:w="80" w:type="dxa"/>
              <w:bottom w:w="80" w:type="dxa"/>
              <w:left w:w="100" w:type="dxa"/>
              <w:right w:w="100" w:type="dxa"/>
            </w:tcMar>
            <w:shd w:fill="DCE6EB"/>
          </w:tcPr>
          <w:p>
            <w:pPr>
              <w:keepNext/>
              <w:spacing w:after="0" w:before="0" w:line="252" w:lineRule="auto"/>
            </w:pPr>
            <w:r>
              <w:rPr>
                <w:b/>
                <w:sz w:val="20"/>
              </w:rPr>
              <w:t>Exchange</w:t>
            </w:r>
          </w:p>
        </w:tc>
        <w:tc>
          <w:tcPr>
            <w:tcW w:type="dxa" w:w="1754"/>
            <w:vAlign w:val="center"/>
            <w:tcMar>
              <w:top w:w="80" w:type="dxa"/>
              <w:bottom w:w="80" w:type="dxa"/>
              <w:left w:w="100" w:type="dxa"/>
              <w:right w:w="100" w:type="dxa"/>
            </w:tcMar>
            <w:shd w:fill="DCE6EB"/>
          </w:tcPr>
          <w:p>
            <w:pPr>
              <w:keepNext/>
              <w:spacing w:after="0" w:before="0" w:line="252" w:lineRule="auto"/>
              <w:jc w:val="center"/>
            </w:pPr>
            <w:r>
              <w:rPr>
                <w:b/>
                <w:sz w:val="20"/>
              </w:rPr>
              <w:t>Ticker</w:t>
            </w:r>
          </w:p>
        </w:tc>
        <w:tc>
          <w:tcPr>
            <w:tcW w:type="dxa" w:w="1169"/>
            <w:vAlign w:val="center"/>
            <w:tcMar>
              <w:top w:w="80" w:type="dxa"/>
              <w:bottom w:w="80" w:type="dxa"/>
              <w:left w:w="100" w:type="dxa"/>
              <w:right w:w="100" w:type="dxa"/>
            </w:tcMar>
            <w:shd w:fill="DCE6EB"/>
          </w:tcPr>
          <w:p>
            <w:pPr>
              <w:keepNext/>
              <w:spacing w:after="0" w:before="0" w:line="252" w:lineRule="auto"/>
              <w:jc w:val="center"/>
            </w:pPr>
            <w:r>
              <w:rPr>
                <w:b/>
                <w:sz w:val="20"/>
              </w:rPr>
              <w:t>Currency</w:t>
            </w:r>
          </w:p>
        </w:tc>
        <w:tc>
          <w:tcPr>
            <w:tcW w:type="dxa" w:w="2436"/>
            <w:vAlign w:val="center"/>
            <w:tcMar>
              <w:top w:w="80" w:type="dxa"/>
              <w:bottom w:w="80" w:type="dxa"/>
              <w:left w:w="100" w:type="dxa"/>
              <w:right w:w="100" w:type="dxa"/>
            </w:tcMar>
            <w:shd w:fill="DCE6EB"/>
          </w:tcPr>
          <w:p>
            <w:pPr>
              <w:keepNext/>
              <w:spacing w:after="0" w:before="0" w:line="252" w:lineRule="auto"/>
              <w:jc w:val="center"/>
            </w:pPr>
            <w:r>
              <w:rPr>
                <w:b/>
                <w:sz w:val="20"/>
              </w:rPr>
              <w:t>Listing date</w:t>
            </w:r>
          </w:p>
        </w:tc>
      </w:tr>
      <w:tr>
        <w:trPr>
          <w:cantSplit/>
        </w:trPr>
        <w:tc>
          <w:tcPr>
            <w:tcW w:type="dxa" w:w="4386"/>
            <w:vAlign w:val="center"/>
            <w:tcMar>
              <w:top w:w="80" w:type="dxa"/>
              <w:bottom w:w="80" w:type="dxa"/>
              <w:left w:w="100" w:type="dxa"/>
              <w:right w:w="100" w:type="dxa"/>
            </w:tcMar>
            <w:shd w:fill="FFFFFF"/>
          </w:tcPr>
          <w:p>
            <w:pPr>
              <w:keepNext w:val="0"/>
              <w:spacing w:after="0" w:before="0" w:line="252" w:lineRule="auto"/>
            </w:pPr>
            <w:r>
              <w:rPr>
                <w:sz w:val="20"/>
              </w:rPr>
              <w:t>Berne Stock Exchange</w:t>
            </w:r>
          </w:p>
        </w:tc>
        <w:tc>
          <w:tcPr>
            <w:tcW w:type="dxa" w:w="1754"/>
            <w:vAlign w:val="center"/>
            <w:tcMar>
              <w:top w:w="80" w:type="dxa"/>
              <w:bottom w:w="80" w:type="dxa"/>
              <w:left w:w="100" w:type="dxa"/>
              <w:right w:w="100" w:type="dxa"/>
            </w:tcMar>
            <w:shd w:fill="FFFFFF"/>
          </w:tcPr>
          <w:p>
            <w:pPr>
              <w:keepNext w:val="0"/>
              <w:spacing w:after="0" w:before="0" w:line="252" w:lineRule="auto"/>
              <w:jc w:val="center"/>
            </w:pPr>
            <w:r>
              <w:rPr>
                <w:sz w:val="20"/>
              </w:rPr>
              <w:t>ISLN</w:t>
            </w:r>
          </w:p>
        </w:tc>
        <w:tc>
          <w:tcPr>
            <w:tcW w:type="dxa" w:w="1169"/>
            <w:vAlign w:val="center"/>
            <w:tcMar>
              <w:top w:w="80" w:type="dxa"/>
              <w:bottom w:w="80" w:type="dxa"/>
              <w:left w:w="100" w:type="dxa"/>
              <w:right w:w="100" w:type="dxa"/>
            </w:tcMar>
            <w:shd w:fill="FFFFFF"/>
          </w:tcPr>
          <w:p>
            <w:pPr>
              <w:keepNext w:val="0"/>
              <w:spacing w:after="0" w:before="0" w:line="252" w:lineRule="auto"/>
              <w:jc w:val="center"/>
            </w:pPr>
            <w:r>
              <w:rPr>
                <w:sz w:val="20"/>
              </w:rPr>
              <w:t>EUR</w:t>
            </w:r>
          </w:p>
        </w:tc>
        <w:tc>
          <w:tcPr>
            <w:tcW w:type="dxa" w:w="2436"/>
            <w:vAlign w:val="center"/>
            <w:tcMar>
              <w:top w:w="80" w:type="dxa"/>
              <w:bottom w:w="80" w:type="dxa"/>
              <w:left w:w="100" w:type="dxa"/>
              <w:right w:w="100" w:type="dxa"/>
            </w:tcMar>
            <w:shd w:fill="FFFFFF"/>
          </w:tcPr>
          <w:p>
            <w:pPr>
              <w:keepNext w:val="0"/>
              <w:spacing w:after="0" w:before="0" w:line="252" w:lineRule="auto"/>
              <w:jc w:val="center"/>
            </w:pPr>
            <w:r>
              <w:rPr>
                <w:sz w:val="20"/>
              </w:rPr>
              <w:t>24/Mar/2026</w:t>
            </w:r>
          </w:p>
        </w:tc>
      </w:tr>
      <w:tr>
        <w:trPr>
          <w:cantSplit/>
        </w:trPr>
        <w:tc>
          <w:tcPr>
            <w:tcW w:type="dxa" w:w="4386"/>
            <w:vAlign w:val="center"/>
            <w:tcMar>
              <w:top w:w="80" w:type="dxa"/>
              <w:bottom w:w="80" w:type="dxa"/>
              <w:left w:w="100" w:type="dxa"/>
              <w:right w:w="100" w:type="dxa"/>
            </w:tcMar>
            <w:shd w:fill="F4F7F8"/>
          </w:tcPr>
          <w:p>
            <w:pPr>
              <w:keepNext w:val="0"/>
              <w:spacing w:after="0" w:before="0" w:line="252" w:lineRule="auto"/>
            </w:pPr>
            <w:r>
              <w:rPr>
                <w:sz w:val="20"/>
              </w:rPr>
              <w:t>Bolsa Mexicana De Valores</w:t>
            </w:r>
          </w:p>
        </w:tc>
        <w:tc>
          <w:tcPr>
            <w:tcW w:type="dxa" w:w="1754"/>
            <w:vAlign w:val="center"/>
            <w:tcMar>
              <w:top w:w="80" w:type="dxa"/>
              <w:bottom w:w="80" w:type="dxa"/>
              <w:left w:w="100" w:type="dxa"/>
              <w:right w:w="100" w:type="dxa"/>
            </w:tcMar>
            <w:shd w:fill="F4F7F8"/>
          </w:tcPr>
          <w:p>
            <w:pPr>
              <w:keepNext w:val="0"/>
              <w:spacing w:after="0" w:before="0" w:line="252" w:lineRule="auto"/>
              <w:jc w:val="center"/>
            </w:pPr>
            <w:r>
              <w:rPr>
                <w:sz w:val="20"/>
              </w:rPr>
              <w:t>ISLN</w:t>
            </w:r>
          </w:p>
        </w:tc>
        <w:tc>
          <w:tcPr>
            <w:tcW w:type="dxa" w:w="1169"/>
            <w:vAlign w:val="center"/>
            <w:tcMar>
              <w:top w:w="80" w:type="dxa"/>
              <w:bottom w:w="80" w:type="dxa"/>
              <w:left w:w="100" w:type="dxa"/>
              <w:right w:w="100" w:type="dxa"/>
            </w:tcMar>
            <w:shd w:fill="F4F7F8"/>
          </w:tcPr>
          <w:p>
            <w:pPr>
              <w:keepNext w:val="0"/>
              <w:spacing w:after="0" w:before="0" w:line="252" w:lineRule="auto"/>
              <w:jc w:val="center"/>
            </w:pPr>
            <w:r>
              <w:rPr>
                <w:sz w:val="20"/>
              </w:rPr>
              <w:t>MXN</w:t>
            </w:r>
          </w:p>
        </w:tc>
        <w:tc>
          <w:tcPr>
            <w:tcW w:type="dxa" w:w="2436"/>
            <w:vAlign w:val="center"/>
            <w:tcMar>
              <w:top w:w="80" w:type="dxa"/>
              <w:bottom w:w="80" w:type="dxa"/>
              <w:left w:w="100" w:type="dxa"/>
              <w:right w:w="100" w:type="dxa"/>
            </w:tcMar>
            <w:shd w:fill="F4F7F8"/>
          </w:tcPr>
          <w:p>
            <w:pPr>
              <w:keepNext w:val="0"/>
              <w:spacing w:after="0" w:before="0" w:line="252" w:lineRule="auto"/>
              <w:jc w:val="center"/>
            </w:pPr>
            <w:r>
              <w:rPr>
                <w:sz w:val="20"/>
              </w:rPr>
              <w:t>06/Mar/2024</w:t>
            </w:r>
          </w:p>
        </w:tc>
      </w:tr>
      <w:tr>
        <w:trPr>
          <w:cantSplit/>
        </w:trPr>
        <w:tc>
          <w:tcPr>
            <w:tcW w:type="dxa" w:w="4386"/>
            <w:vAlign w:val="center"/>
            <w:tcMar>
              <w:top w:w="80" w:type="dxa"/>
              <w:bottom w:w="80" w:type="dxa"/>
              <w:left w:w="100" w:type="dxa"/>
              <w:right w:w="100" w:type="dxa"/>
            </w:tcMar>
            <w:shd w:fill="FFFFFF"/>
          </w:tcPr>
          <w:p>
            <w:pPr>
              <w:keepNext w:val="0"/>
              <w:spacing w:after="0" w:before="0" w:line="252" w:lineRule="auto"/>
            </w:pPr>
            <w:r>
              <w:rPr>
                <w:sz w:val="20"/>
              </w:rPr>
              <w:t>London Stock Exchange</w:t>
            </w:r>
          </w:p>
        </w:tc>
        <w:tc>
          <w:tcPr>
            <w:tcW w:type="dxa" w:w="1754"/>
            <w:vAlign w:val="center"/>
            <w:tcMar>
              <w:top w:w="80" w:type="dxa"/>
              <w:bottom w:w="80" w:type="dxa"/>
              <w:left w:w="100" w:type="dxa"/>
              <w:right w:w="100" w:type="dxa"/>
            </w:tcMar>
            <w:shd w:fill="FFFFFF"/>
          </w:tcPr>
          <w:p>
            <w:pPr>
              <w:keepNext w:val="0"/>
              <w:spacing w:after="0" w:before="0" w:line="252" w:lineRule="auto"/>
              <w:jc w:val="center"/>
            </w:pPr>
            <w:r>
              <w:rPr>
                <w:sz w:val="20"/>
              </w:rPr>
              <w:t>SSLN</w:t>
            </w:r>
          </w:p>
        </w:tc>
        <w:tc>
          <w:tcPr>
            <w:tcW w:type="dxa" w:w="1169"/>
            <w:vAlign w:val="center"/>
            <w:tcMar>
              <w:top w:w="80" w:type="dxa"/>
              <w:bottom w:w="80" w:type="dxa"/>
              <w:left w:w="100" w:type="dxa"/>
              <w:right w:w="100" w:type="dxa"/>
            </w:tcMar>
            <w:shd w:fill="FFFFFF"/>
          </w:tcPr>
          <w:p>
            <w:pPr>
              <w:keepNext w:val="0"/>
              <w:spacing w:after="0" w:before="0" w:line="252" w:lineRule="auto"/>
              <w:jc w:val="center"/>
            </w:pPr>
            <w:r>
              <w:rPr>
                <w:sz w:val="20"/>
              </w:rPr>
              <w:t>GBP</w:t>
            </w:r>
          </w:p>
        </w:tc>
        <w:tc>
          <w:tcPr>
            <w:tcW w:type="dxa" w:w="2436"/>
            <w:vAlign w:val="center"/>
            <w:tcMar>
              <w:top w:w="80" w:type="dxa"/>
              <w:bottom w:w="80" w:type="dxa"/>
              <w:left w:w="100" w:type="dxa"/>
              <w:right w:w="100" w:type="dxa"/>
            </w:tcMar>
            <w:shd w:fill="FFFFFF"/>
          </w:tcPr>
          <w:p>
            <w:pPr>
              <w:keepNext w:val="0"/>
              <w:spacing w:after="0" w:before="0" w:line="252" w:lineRule="auto"/>
              <w:jc w:val="center"/>
            </w:pPr>
            <w:r>
              <w:rPr>
                <w:sz w:val="20"/>
              </w:rPr>
              <w:t>11/Apr/2011</w:t>
            </w:r>
          </w:p>
        </w:tc>
      </w:tr>
      <w:tr>
        <w:trPr>
          <w:cantSplit/>
        </w:trPr>
        <w:tc>
          <w:tcPr>
            <w:tcW w:type="dxa" w:w="4386"/>
            <w:vAlign w:val="center"/>
            <w:tcMar>
              <w:top w:w="80" w:type="dxa"/>
              <w:bottom w:w="80" w:type="dxa"/>
              <w:left w:w="100" w:type="dxa"/>
              <w:right w:w="100" w:type="dxa"/>
            </w:tcMar>
            <w:shd w:fill="F4F7F8"/>
          </w:tcPr>
          <w:p>
            <w:pPr>
              <w:keepNext w:val="0"/>
              <w:spacing w:after="0" w:before="0" w:line="252" w:lineRule="auto"/>
            </w:pPr>
            <w:r>
              <w:rPr>
                <w:sz w:val="20"/>
              </w:rPr>
              <w:t>London Stock Exchange</w:t>
            </w:r>
          </w:p>
        </w:tc>
        <w:tc>
          <w:tcPr>
            <w:tcW w:type="dxa" w:w="1754"/>
            <w:vAlign w:val="center"/>
            <w:tcMar>
              <w:top w:w="80" w:type="dxa"/>
              <w:bottom w:w="80" w:type="dxa"/>
              <w:left w:w="100" w:type="dxa"/>
              <w:right w:w="100" w:type="dxa"/>
            </w:tcMar>
            <w:shd w:fill="F4F7F8"/>
          </w:tcPr>
          <w:p>
            <w:pPr>
              <w:keepNext w:val="0"/>
              <w:spacing w:after="0" w:before="0" w:line="252" w:lineRule="auto"/>
              <w:jc w:val="center"/>
            </w:pPr>
            <w:r>
              <w:rPr>
                <w:sz w:val="20"/>
              </w:rPr>
              <w:t>ISLN</w:t>
            </w:r>
          </w:p>
        </w:tc>
        <w:tc>
          <w:tcPr>
            <w:tcW w:type="dxa" w:w="1169"/>
            <w:vAlign w:val="center"/>
            <w:tcMar>
              <w:top w:w="80" w:type="dxa"/>
              <w:bottom w:w="80" w:type="dxa"/>
              <w:left w:w="100" w:type="dxa"/>
              <w:right w:w="100" w:type="dxa"/>
            </w:tcMar>
            <w:shd w:fill="F4F7F8"/>
          </w:tcPr>
          <w:p>
            <w:pPr>
              <w:keepNext w:val="0"/>
              <w:spacing w:after="0" w:before="0" w:line="252" w:lineRule="auto"/>
              <w:jc w:val="center"/>
            </w:pPr>
            <w:r>
              <w:rPr>
                <w:sz w:val="20"/>
              </w:rPr>
              <w:t>USD</w:t>
            </w:r>
          </w:p>
        </w:tc>
        <w:tc>
          <w:tcPr>
            <w:tcW w:type="dxa" w:w="2436"/>
            <w:vAlign w:val="center"/>
            <w:tcMar>
              <w:top w:w="80" w:type="dxa"/>
              <w:bottom w:w="80" w:type="dxa"/>
              <w:left w:w="100" w:type="dxa"/>
              <w:right w:w="100" w:type="dxa"/>
            </w:tcMar>
            <w:shd w:fill="F4F7F8"/>
          </w:tcPr>
          <w:p>
            <w:pPr>
              <w:keepNext w:val="0"/>
              <w:spacing w:after="0" w:before="0" w:line="252" w:lineRule="auto"/>
              <w:jc w:val="center"/>
            </w:pPr>
            <w:r>
              <w:rPr>
                <w:sz w:val="20"/>
              </w:rPr>
              <w:t>11/Apr/2011</w:t>
            </w:r>
          </w:p>
        </w:tc>
      </w:tr>
      <w:tr>
        <w:trPr>
          <w:cantSplit/>
        </w:trPr>
        <w:tc>
          <w:tcPr>
            <w:tcW w:type="dxa" w:w="4386"/>
            <w:vAlign w:val="center"/>
            <w:tcMar>
              <w:top w:w="80" w:type="dxa"/>
              <w:bottom w:w="80" w:type="dxa"/>
              <w:left w:w="100" w:type="dxa"/>
              <w:right w:w="100" w:type="dxa"/>
            </w:tcMar>
            <w:shd w:fill="FFFFFF"/>
          </w:tcPr>
          <w:p>
            <w:pPr>
              <w:keepNext w:val="0"/>
              <w:spacing w:after="0" w:before="0" w:line="252" w:lineRule="auto"/>
            </w:pPr>
            <w:r>
              <w:rPr>
                <w:sz w:val="20"/>
              </w:rPr>
              <w:t>Nyse Euronext - Euronext Paris</w:t>
            </w:r>
          </w:p>
        </w:tc>
        <w:tc>
          <w:tcPr>
            <w:tcW w:type="dxa" w:w="1754"/>
            <w:vAlign w:val="center"/>
            <w:tcMar>
              <w:top w:w="80" w:type="dxa"/>
              <w:bottom w:w="80" w:type="dxa"/>
              <w:left w:w="100" w:type="dxa"/>
              <w:right w:w="100" w:type="dxa"/>
            </w:tcMar>
            <w:shd w:fill="FFFFFF"/>
          </w:tcPr>
          <w:p>
            <w:pPr>
              <w:keepNext w:val="0"/>
              <w:spacing w:after="0" w:before="0" w:line="252" w:lineRule="auto"/>
              <w:jc w:val="center"/>
            </w:pPr>
            <w:r>
              <w:rPr>
                <w:sz w:val="20"/>
              </w:rPr>
              <w:t>SSLN</w:t>
            </w:r>
          </w:p>
        </w:tc>
        <w:tc>
          <w:tcPr>
            <w:tcW w:type="dxa" w:w="1169"/>
            <w:vAlign w:val="center"/>
            <w:tcMar>
              <w:top w:w="80" w:type="dxa"/>
              <w:bottom w:w="80" w:type="dxa"/>
              <w:left w:w="100" w:type="dxa"/>
              <w:right w:w="100" w:type="dxa"/>
            </w:tcMar>
            <w:shd w:fill="FFFFFF"/>
          </w:tcPr>
          <w:p>
            <w:pPr>
              <w:keepNext w:val="0"/>
              <w:spacing w:after="0" w:before="0" w:line="252" w:lineRule="auto"/>
              <w:jc w:val="center"/>
            </w:pPr>
            <w:r>
              <w:rPr>
                <w:sz w:val="20"/>
              </w:rPr>
              <w:t>EUR</w:t>
            </w:r>
          </w:p>
        </w:tc>
        <w:tc>
          <w:tcPr>
            <w:tcW w:type="dxa" w:w="2436"/>
            <w:vAlign w:val="center"/>
            <w:tcMar>
              <w:top w:w="80" w:type="dxa"/>
              <w:bottom w:w="80" w:type="dxa"/>
              <w:left w:w="100" w:type="dxa"/>
              <w:right w:w="100" w:type="dxa"/>
            </w:tcMar>
            <w:shd w:fill="FFFFFF"/>
          </w:tcPr>
          <w:p>
            <w:pPr>
              <w:keepNext w:val="0"/>
              <w:spacing w:after="0" w:before="0" w:line="252" w:lineRule="auto"/>
              <w:jc w:val="center"/>
            </w:pPr>
            <w:r>
              <w:rPr>
                <w:sz w:val="20"/>
              </w:rPr>
              <w:t>10/Sept/2026</w:t>
            </w:r>
          </w:p>
        </w:tc>
      </w:tr>
    </w:tbl>
    <w:p>
      <w:pPr>
        <w:spacing w:after="60" w:before="0" w:line="40" w:lineRule="exact"/>
      </w:pPr>
      <w:r>
        <w:rPr>
          <w:sz w:val="4"/>
        </w:rPr>
      </w:r>
    </w:p>
    <w:p>
      <w:pPr>
        <w:pStyle w:val="Heading2"/>
        <w:pageBreakBefore w:val="0"/>
      </w:pPr>
      <w:r>
        <w:t>Sources</w:t>
      </w:r>
    </w:p>
    <w:p>
      <w:pPr>
        <w:spacing w:after="80"/>
      </w:pPr>
      <w:hyperlink r:id="rId17">
        <w:r>
          <w:rPr>
            <w:color w:val="235779"/>
            <w:u w:val="single"/>
          </w:rPr>
          <w:t>Issuer product page</w:t>
        </w:r>
      </w:hyperlink>
      <w:r>
        <w:t xml:space="preserve">  ·  </w:t>
      </w:r>
      <w:hyperlink r:id="rId18">
        <w:r>
          <w:rPr>
            <w:color w:val="235779"/>
            <w:u w:val="single"/>
          </w:rPr>
          <w:t>Saved source</w:t>
        </w:r>
      </w:hyperlink>
    </w:p>
    <w:p>
      <w:pPr>
        <w:spacing w:after="80"/>
      </w:pPr>
      <w:hyperlink r:id="rId15">
        <w:r>
          <w:rPr>
            <w:color w:val="235779"/>
            <w:u w:val="single"/>
          </w:rPr>
          <w:t>2026 base prospectus: custody, insurance and unallocated accounts</w:t>
        </w:r>
      </w:hyperlink>
      <w:r>
        <w:t xml:space="preserve">  ·  </w:t>
      </w:r>
      <w:hyperlink r:id="rId16">
        <w:r>
          <w:rPr>
            <w:color w:val="235779"/>
            <w:u w:val="single"/>
          </w:rPr>
          <w:t>Saved source</w:t>
        </w:r>
      </w:hyperlink>
    </w:p>
    <w:p>
      <w:bookmarkStart w:id="5" w:name="product_3"/>
      <w:pPr>
        <w:pStyle w:val="Heading1"/>
        <w:pageBreakBefore w:val="0"/>
        <w:spacing w:before="360"/>
      </w:pPr>
      <w:r>
        <w:t>03  iShares Physical Platinum ETC</w:t>
      </w:r>
      <w:bookmarkEnd w:id="5"/>
    </w:p>
    <w:p>
      <w:pPr>
        <w:keepNext/>
      </w:pPr>
      <w:r>
        <w:rPr>
          <w:b/>
        </w:rPr>
        <w:t>SPLT / IPLT  |  Ireland  |  Platinum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24"/>
        <w:gridCol w:w="6822"/>
      </w:tblGrid>
      <w:tr>
        <w:trPr>
          <w:tblHeader/>
          <w:cantSplit/>
        </w:trPr>
        <w:tc>
          <w:tcPr>
            <w:tcW w:type="dxa" w:w="2924"/>
            <w:vAlign w:val="center"/>
            <w:tcMar>
              <w:top w:w="80" w:type="dxa"/>
              <w:bottom w:w="80" w:type="dxa"/>
              <w:left w:w="100" w:type="dxa"/>
              <w:right w:w="100" w:type="dxa"/>
            </w:tcMar>
            <w:shd w:fill="DCE6EB"/>
          </w:tcPr>
          <w:p>
            <w:pPr>
              <w:keepNext/>
              <w:spacing w:after="0" w:before="0" w:line="252" w:lineRule="auto"/>
            </w:pPr>
            <w:r>
              <w:rPr>
                <w:b/>
                <w:sz w:val="20"/>
              </w:rPr>
              <w:t>Field</w:t>
            </w:r>
          </w:p>
        </w:tc>
        <w:tc>
          <w:tcPr>
            <w:tcW w:type="dxa" w:w="6822"/>
            <w:vAlign w:val="center"/>
            <w:tcMar>
              <w:top w:w="80" w:type="dxa"/>
              <w:bottom w:w="80" w:type="dxa"/>
              <w:left w:w="100" w:type="dxa"/>
              <w:right w:w="100" w:type="dxa"/>
            </w:tcMar>
            <w:shd w:fill="DCE6EB"/>
          </w:tcPr>
          <w:p>
            <w:pPr>
              <w:keepNext/>
              <w:spacing w:after="0" w:before="0" w:line="252" w:lineRule="auto"/>
              <w:jc w:val="center"/>
            </w:pPr>
            <w:r>
              <w:rPr>
                <w:b/>
                <w:sz w:val="20"/>
              </w:rPr>
              <w:t>Detail</w:t>
            </w:r>
          </w:p>
        </w:tc>
      </w:tr>
      <w:tr>
        <w:trPr>
          <w:cantSplit/>
        </w:trPr>
        <w:tc>
          <w:tcPr>
            <w:tcW w:type="dxa" w:w="2924"/>
            <w:vAlign w:val="center"/>
            <w:tcMar>
              <w:top w:w="80" w:type="dxa"/>
              <w:bottom w:w="80" w:type="dxa"/>
              <w:left w:w="100" w:type="dxa"/>
              <w:right w:w="100" w:type="dxa"/>
            </w:tcMar>
            <w:shd w:fill="FFFFFF"/>
          </w:tcPr>
          <w:p>
            <w:pPr>
              <w:keepNext w:val="0"/>
              <w:spacing w:after="0" w:before="0" w:line="252" w:lineRule="auto"/>
            </w:pPr>
            <w:r>
              <w:rPr>
                <w:sz w:val="20"/>
              </w:rPr>
              <w:t>Legal form</w:t>
            </w:r>
          </w:p>
        </w:tc>
        <w:tc>
          <w:tcPr>
            <w:tcW w:type="dxa" w:w="6822"/>
            <w:vAlign w:val="center"/>
            <w:tcMar>
              <w:top w:w="80" w:type="dxa"/>
              <w:bottom w:w="80" w:type="dxa"/>
              <w:left w:w="100" w:type="dxa"/>
              <w:right w:w="100" w:type="dxa"/>
            </w:tcMar>
            <w:shd w:fill="FFFFFF"/>
          </w:tcPr>
          <w:p>
            <w:pPr>
              <w:keepNext w:val="0"/>
              <w:spacing w:after="0" w:before="0" w:line="252" w:lineRule="auto"/>
            </w:pPr>
            <w:r>
              <w:rPr>
                <w:sz w:val="20"/>
              </w:rPr>
              <w:t>Secured debt ETC; not a UCITS fund</w:t>
            </w:r>
          </w:p>
        </w:tc>
      </w:tr>
      <w:tr>
        <w:trPr>
          <w:cantSplit/>
        </w:trPr>
        <w:tc>
          <w:tcPr>
            <w:tcW w:type="dxa" w:w="2924"/>
            <w:vAlign w:val="center"/>
            <w:tcMar>
              <w:top w:w="80" w:type="dxa"/>
              <w:bottom w:w="80" w:type="dxa"/>
              <w:left w:w="100" w:type="dxa"/>
              <w:right w:w="100" w:type="dxa"/>
            </w:tcMar>
            <w:shd w:fill="F4F7F8"/>
          </w:tcPr>
          <w:p>
            <w:pPr>
              <w:keepNext w:val="0"/>
              <w:spacing w:after="0" w:before="0" w:line="252" w:lineRule="auto"/>
            </w:pPr>
            <w:r>
              <w:rPr>
                <w:sz w:val="20"/>
              </w:rPr>
              <w:t>Issuer or sponsor</w:t>
            </w:r>
          </w:p>
        </w:tc>
        <w:tc>
          <w:tcPr>
            <w:tcW w:type="dxa" w:w="6822"/>
            <w:vAlign w:val="center"/>
            <w:tcMar>
              <w:top w:w="80" w:type="dxa"/>
              <w:bottom w:w="80" w:type="dxa"/>
              <w:left w:w="100" w:type="dxa"/>
              <w:right w:w="100" w:type="dxa"/>
            </w:tcMar>
            <w:shd w:fill="F4F7F8"/>
          </w:tcPr>
          <w:p>
            <w:pPr>
              <w:keepNext w:val="0"/>
              <w:spacing w:after="0" w:before="0" w:line="252" w:lineRule="auto"/>
            </w:pPr>
            <w:r>
              <w:rPr>
                <w:sz w:val="20"/>
              </w:rPr>
              <w:t>iShares Physical Metals plc</w:t>
            </w:r>
          </w:p>
        </w:tc>
      </w:tr>
      <w:tr>
        <w:trPr>
          <w:cantSplit/>
        </w:trPr>
        <w:tc>
          <w:tcPr>
            <w:tcW w:type="dxa" w:w="2924"/>
            <w:vAlign w:val="center"/>
            <w:tcMar>
              <w:top w:w="80" w:type="dxa"/>
              <w:bottom w:w="80" w:type="dxa"/>
              <w:left w:w="100" w:type="dxa"/>
              <w:right w:w="100" w:type="dxa"/>
            </w:tcMar>
            <w:shd w:fill="FFFFFF"/>
          </w:tcPr>
          <w:p>
            <w:pPr>
              <w:keepNext w:val="0"/>
              <w:spacing w:after="0" w:before="0" w:line="252" w:lineRule="auto"/>
            </w:pPr>
            <w:r>
              <w:rPr>
                <w:sz w:val="20"/>
              </w:rPr>
              <w:t>Launch or class inception</w:t>
            </w:r>
          </w:p>
        </w:tc>
        <w:tc>
          <w:tcPr>
            <w:tcW w:type="dxa" w:w="6822"/>
            <w:vAlign w:val="center"/>
            <w:tcMar>
              <w:top w:w="80" w:type="dxa"/>
              <w:bottom w:w="80" w:type="dxa"/>
              <w:left w:w="100" w:type="dxa"/>
              <w:right w:w="100" w:type="dxa"/>
            </w:tcMar>
            <w:shd w:fill="FFFFFF"/>
          </w:tcPr>
          <w:p>
            <w:pPr>
              <w:keepNext w:val="0"/>
              <w:spacing w:after="0" w:before="0" w:line="252" w:lineRule="auto"/>
              <w:jc w:val="center"/>
            </w:pPr>
            <w:r>
              <w:rPr>
                <w:sz w:val="20"/>
              </w:rPr>
              <w:t>08/Apr/2011</w:t>
            </w:r>
          </w:p>
        </w:tc>
      </w:tr>
      <w:tr>
        <w:trPr>
          <w:cantSplit/>
        </w:trPr>
        <w:tc>
          <w:tcPr>
            <w:tcW w:type="dxa" w:w="2924"/>
            <w:vAlign w:val="center"/>
            <w:tcMar>
              <w:top w:w="80" w:type="dxa"/>
              <w:bottom w:w="80" w:type="dxa"/>
              <w:left w:w="100" w:type="dxa"/>
              <w:right w:w="100" w:type="dxa"/>
            </w:tcMar>
            <w:shd w:fill="F4F7F8"/>
          </w:tcPr>
          <w:p>
            <w:pPr>
              <w:keepNext w:val="0"/>
              <w:spacing w:after="0" w:before="0" w:line="252" w:lineRule="auto"/>
            </w:pPr>
            <w:r>
              <w:rPr>
                <w:sz w:val="20"/>
              </w:rPr>
              <w:t>ISIN / CUSIP</w:t>
            </w:r>
          </w:p>
        </w:tc>
        <w:tc>
          <w:tcPr>
            <w:tcW w:type="dxa" w:w="6822"/>
            <w:vAlign w:val="center"/>
            <w:tcMar>
              <w:top w:w="80" w:type="dxa"/>
              <w:bottom w:w="80" w:type="dxa"/>
              <w:left w:w="100" w:type="dxa"/>
              <w:right w:w="100" w:type="dxa"/>
            </w:tcMar>
            <w:shd w:fill="F4F7F8"/>
          </w:tcPr>
          <w:p>
            <w:pPr>
              <w:keepNext w:val="0"/>
              <w:spacing w:after="0" w:before="0" w:line="252" w:lineRule="auto"/>
              <w:jc w:val="center"/>
            </w:pPr>
            <w:r>
              <w:rPr>
                <w:sz w:val="20"/>
              </w:rPr>
              <w:t>IE00B4LHWP62</w:t>
            </w:r>
          </w:p>
        </w:tc>
      </w:tr>
      <w:tr>
        <w:trPr>
          <w:cantSplit/>
        </w:trPr>
        <w:tc>
          <w:tcPr>
            <w:tcW w:type="dxa" w:w="2924"/>
            <w:vAlign w:val="center"/>
            <w:tcMar>
              <w:top w:w="80" w:type="dxa"/>
              <w:bottom w:w="80" w:type="dxa"/>
              <w:left w:w="100" w:type="dxa"/>
              <w:right w:w="100" w:type="dxa"/>
            </w:tcMar>
            <w:shd w:fill="FFFFFF"/>
          </w:tcPr>
          <w:p>
            <w:pPr>
              <w:keepNext w:val="0"/>
              <w:spacing w:after="0" w:before="0" w:line="252" w:lineRule="auto"/>
            </w:pPr>
            <w:r>
              <w:rPr>
                <w:sz w:val="20"/>
              </w:rPr>
              <w:t>Reported net assets</w:t>
            </w:r>
          </w:p>
        </w:tc>
        <w:tc>
          <w:tcPr>
            <w:tcW w:type="dxa" w:w="6822"/>
            <w:vAlign w:val="center"/>
            <w:tcMar>
              <w:top w:w="80" w:type="dxa"/>
              <w:bottom w:w="80" w:type="dxa"/>
              <w:left w:w="100" w:type="dxa"/>
              <w:right w:w="100" w:type="dxa"/>
            </w:tcMar>
            <w:shd w:fill="FFFFFF"/>
          </w:tcPr>
          <w:p>
            <w:pPr>
              <w:keepNext w:val="0"/>
              <w:spacing w:after="0" w:before="0" w:line="252" w:lineRule="auto"/>
            </w:pPr>
            <w:r>
              <w:rPr>
                <w:sz w:val="20"/>
              </w:rPr>
              <w:t>USD 367,312,054.00 as of 2026-09-22</w:t>
            </w:r>
          </w:p>
        </w:tc>
      </w:tr>
      <w:tr>
        <w:trPr>
          <w:cantSplit/>
        </w:trPr>
        <w:tc>
          <w:tcPr>
            <w:tcW w:type="dxa" w:w="2924"/>
            <w:vAlign w:val="center"/>
            <w:tcMar>
              <w:top w:w="80" w:type="dxa"/>
              <w:bottom w:w="80" w:type="dxa"/>
              <w:left w:w="100" w:type="dxa"/>
              <w:right w:w="100" w:type="dxa"/>
            </w:tcMar>
            <w:shd w:fill="F4F7F8"/>
          </w:tcPr>
          <w:p>
            <w:pPr>
              <w:keepNext w:val="0"/>
              <w:spacing w:after="0" w:before="0" w:line="252" w:lineRule="auto"/>
            </w:pPr>
            <w:r>
              <w:rPr>
                <w:sz w:val="20"/>
              </w:rPr>
              <w:t>Asset basis</w:t>
            </w:r>
          </w:p>
        </w:tc>
        <w:tc>
          <w:tcPr>
            <w:tcW w:type="dxa" w:w="6822"/>
            <w:vAlign w:val="center"/>
            <w:tcMar>
              <w:top w:w="80" w:type="dxa"/>
              <w:bottom w:w="80" w:type="dxa"/>
              <w:left w:w="100" w:type="dxa"/>
              <w:right w:w="100" w:type="dxa"/>
            </w:tcMar>
            <w:shd w:fill="F4F7F8"/>
          </w:tcPr>
          <w:p>
            <w:pPr>
              <w:keepNext w:val="0"/>
              <w:spacing w:after="0" w:before="0" w:line="252" w:lineRule="auto"/>
            </w:pPr>
            <w:r>
              <w:rPr>
                <w:sz w:val="20"/>
              </w:rPr>
              <w:t>Fund / trust / ETC series</w:t>
            </w:r>
          </w:p>
        </w:tc>
      </w:tr>
      <w:tr>
        <w:trPr>
          <w:cantSplit/>
        </w:trPr>
        <w:tc>
          <w:tcPr>
            <w:tcW w:type="dxa" w:w="2924"/>
            <w:vAlign w:val="center"/>
            <w:tcMar>
              <w:top w:w="80" w:type="dxa"/>
              <w:bottom w:w="80" w:type="dxa"/>
              <w:left w:w="100" w:type="dxa"/>
              <w:right w:w="100" w:type="dxa"/>
            </w:tcMar>
            <w:shd w:fill="FFFFFF"/>
          </w:tcPr>
          <w:p>
            <w:pPr>
              <w:keepNext w:val="0"/>
              <w:spacing w:after="0" w:before="0" w:line="252" w:lineRule="auto"/>
            </w:pPr>
            <w:r>
              <w:rPr>
                <w:sz w:val="20"/>
              </w:rPr>
              <w:t>Currency exposure</w:t>
            </w:r>
          </w:p>
        </w:tc>
        <w:tc>
          <w:tcPr>
            <w:tcW w:type="dxa" w:w="6822"/>
            <w:vAlign w:val="center"/>
            <w:tcMar>
              <w:top w:w="80" w:type="dxa"/>
              <w:bottom w:w="80" w:type="dxa"/>
              <w:left w:w="100" w:type="dxa"/>
              <w:right w:w="100" w:type="dxa"/>
            </w:tcMar>
            <w:shd w:fill="FFFFFF"/>
          </w:tcPr>
          <w:p>
            <w:pPr>
              <w:keepNext w:val="0"/>
              <w:spacing w:after="0" w:before="0" w:line="252" w:lineRule="auto"/>
              <w:jc w:val="center"/>
            </w:pPr>
            <w:r>
              <w:rPr>
                <w:sz w:val="20"/>
              </w:rPr>
              <w:t>Unhedged</w:t>
            </w:r>
          </w:p>
        </w:tc>
      </w:tr>
      <w:tr>
        <w:trPr>
          <w:cantSplit/>
        </w:trPr>
        <w:tc>
          <w:tcPr>
            <w:tcW w:type="dxa" w:w="2924"/>
            <w:vAlign w:val="center"/>
            <w:tcMar>
              <w:top w:w="80" w:type="dxa"/>
              <w:bottom w:w="80" w:type="dxa"/>
              <w:left w:w="100" w:type="dxa"/>
              <w:right w:w="100" w:type="dxa"/>
            </w:tcMar>
            <w:shd w:fill="F4F7F8"/>
          </w:tcPr>
          <w:p>
            <w:pPr>
              <w:keepNext w:val="0"/>
              <w:spacing w:after="0" w:before="0" w:line="252" w:lineRule="auto"/>
            </w:pPr>
            <w:r>
              <w:rPr>
                <w:sz w:val="20"/>
              </w:rPr>
              <w:t>Annual fee</w:t>
            </w:r>
          </w:p>
        </w:tc>
        <w:tc>
          <w:tcPr>
            <w:tcW w:type="dxa" w:w="6822"/>
            <w:vAlign w:val="center"/>
            <w:tcMar>
              <w:top w:w="80" w:type="dxa"/>
              <w:bottom w:w="80" w:type="dxa"/>
              <w:left w:w="100" w:type="dxa"/>
              <w:right w:w="100" w:type="dxa"/>
            </w:tcMar>
            <w:shd w:fill="F4F7F8"/>
          </w:tcPr>
          <w:p>
            <w:pPr>
              <w:keepNext w:val="0"/>
              <w:spacing w:after="0" w:before="0" w:line="252" w:lineRule="auto"/>
              <w:jc w:val="center"/>
            </w:pPr>
            <w:r>
              <w:rPr>
                <w:sz w:val="20"/>
              </w:rPr>
              <w:t>0.2% — TER</w:t>
            </w:r>
          </w:p>
        </w:tc>
      </w:tr>
      <w:tr>
        <w:trPr>
          <w:cantSplit/>
        </w:trPr>
        <w:tc>
          <w:tcPr>
            <w:tcW w:type="dxa" w:w="2924"/>
            <w:vAlign w:val="center"/>
            <w:tcMar>
              <w:top w:w="80" w:type="dxa"/>
              <w:bottom w:w="80" w:type="dxa"/>
              <w:left w:w="100" w:type="dxa"/>
              <w:right w:w="100" w:type="dxa"/>
            </w:tcMar>
            <w:shd w:fill="FFFFFF"/>
          </w:tcPr>
          <w:p>
            <w:pPr>
              <w:keepNext w:val="0"/>
              <w:spacing w:after="0" w:before="0" w:line="252" w:lineRule="auto"/>
            </w:pPr>
            <w:r>
              <w:rPr>
                <w:sz w:val="20"/>
              </w:rPr>
              <w:t>Custodian</w:t>
            </w:r>
          </w:p>
        </w:tc>
        <w:tc>
          <w:tcPr>
            <w:tcW w:type="dxa" w:w="6822"/>
            <w:vAlign w:val="center"/>
            <w:tcMar>
              <w:top w:w="80" w:type="dxa"/>
              <w:bottom w:w="80" w:type="dxa"/>
              <w:left w:w="100" w:type="dxa"/>
              <w:right w:w="100" w:type="dxa"/>
            </w:tcMar>
            <w:shd w:fill="FFFFFF"/>
          </w:tcPr>
          <w:p>
            <w:pPr>
              <w:keepNext w:val="0"/>
              <w:spacing w:after="0" w:before="0" w:line="252" w:lineRule="auto"/>
            </w:pPr>
            <w:r>
              <w:rPr>
                <w:sz w:val="20"/>
              </w:rPr>
              <w:t>JPMorgan Chase Bank N.A., London Branch</w:t>
            </w:r>
          </w:p>
        </w:tc>
      </w:tr>
      <w:tr>
        <w:trPr>
          <w:cantSplit/>
        </w:trPr>
        <w:tc>
          <w:tcPr>
            <w:tcW w:type="dxa" w:w="2924"/>
            <w:vAlign w:val="center"/>
            <w:tcMar>
              <w:top w:w="80" w:type="dxa"/>
              <w:bottom w:w="80" w:type="dxa"/>
              <w:left w:w="100" w:type="dxa"/>
              <w:right w:w="100" w:type="dxa"/>
            </w:tcMar>
            <w:shd w:fill="F4F7F8"/>
          </w:tcPr>
          <w:p>
            <w:pPr>
              <w:keepNext w:val="0"/>
              <w:spacing w:after="0" w:before="0" w:line="252" w:lineRule="auto"/>
            </w:pPr>
            <w:r>
              <w:rPr>
                <w:sz w:val="20"/>
              </w:rPr>
              <w:t>Custody evidence date</w:t>
            </w:r>
          </w:p>
        </w:tc>
        <w:tc>
          <w:tcPr>
            <w:tcW w:type="dxa" w:w="6822"/>
            <w:vAlign w:val="center"/>
            <w:tcMar>
              <w:top w:w="80" w:type="dxa"/>
              <w:bottom w:w="80" w:type="dxa"/>
              <w:left w:w="100" w:type="dxa"/>
              <w:right w:w="100" w:type="dxa"/>
            </w:tcMar>
            <w:shd w:fill="F4F7F8"/>
          </w:tcPr>
          <w:p>
            <w:pPr>
              <w:keepNext w:val="0"/>
              <w:spacing w:after="0" w:before="0" w:line="252" w:lineRule="auto"/>
              <w:jc w:val="center"/>
            </w:pPr>
            <w:r>
              <w:rPr>
                <w:sz w:val="20"/>
              </w:rPr>
              <w:t>2026-09-23</w:t>
            </w:r>
          </w:p>
        </w:tc>
      </w:tr>
      <w:tr>
        <w:trPr>
          <w:cantSplit/>
        </w:trPr>
        <w:tc>
          <w:tcPr>
            <w:tcW w:type="dxa" w:w="2924"/>
            <w:vAlign w:val="center"/>
            <w:tcMar>
              <w:top w:w="80" w:type="dxa"/>
              <w:bottom w:w="80" w:type="dxa"/>
              <w:left w:w="100" w:type="dxa"/>
              <w:right w:w="100" w:type="dxa"/>
            </w:tcMar>
            <w:shd w:fill="FFFFFF"/>
          </w:tcPr>
          <w:p>
            <w:pPr>
              <w:keepNext w:val="0"/>
              <w:spacing w:after="0" w:before="0" w:line="252" w:lineRule="auto"/>
            </w:pPr>
            <w:r>
              <w:rPr>
                <w:sz w:val="20"/>
              </w:rPr>
              <w:t>Reported metal quantity</w:t>
            </w:r>
          </w:p>
        </w:tc>
        <w:tc>
          <w:tcPr>
            <w:tcW w:type="dxa" w:w="6822"/>
            <w:vAlign w:val="center"/>
            <w:tcMar>
              <w:top w:w="80" w:type="dxa"/>
              <w:bottom w:w="80" w:type="dxa"/>
              <w:left w:w="100" w:type="dxa"/>
              <w:right w:w="100" w:type="dxa"/>
            </w:tcMar>
            <w:shd w:fill="FFFFFF"/>
          </w:tcPr>
          <w:p>
            <w:pPr>
              <w:keepNext w:val="0"/>
              <w:spacing w:after="0" w:before="0" w:line="252" w:lineRule="auto"/>
            </w:pPr>
            <w:r>
              <w:rPr>
                <w:sz w:val="20"/>
              </w:rPr>
              <w:t>202,475.08 troy ounces; 6.3 tonnes; dated 2026-09-23 — Issuer product-page quantity</w:t>
            </w:r>
          </w:p>
        </w:tc>
      </w:tr>
    </w:tbl>
    <w:p>
      <w:pPr>
        <w:spacing w:after="60" w:before="0" w:line="40" w:lineRule="exact"/>
      </w:pPr>
      <w:r>
        <w:rPr>
          <w:sz w:val="4"/>
        </w:rPr>
      </w:r>
    </w:p>
    <w:p>
      <w:r>
        <w:rPr>
          <w:b/>
        </w:rPr>
        <w:t xml:space="preserve">Fee definition. </w:t>
      </w:r>
      <w:r>
        <w:t>Total expense ratio reported by issuer.</w:t>
      </w:r>
    </w:p>
    <w:p>
      <w:r>
        <w:rPr>
          <w:b/>
        </w:rPr>
        <w:t xml:space="preserve">Allocation. </w:t>
      </w:r>
      <w:r>
        <w:t>The series is backed by allocated metal. Metal must be allocated before securities are issued. Transfers can pass through unallocated accounts, with custodian credit exposure during those periods.</w:t>
      </w:r>
    </w:p>
    <w:p>
      <w:r>
        <w:rPr>
          <w:b/>
        </w:rPr>
        <w:t xml:space="preserve">Bullion storage. </w:t>
      </w:r>
      <w:r>
        <w:t>Prospectus location: London vaults of the custodian or subcustodian. Limited circumstances also permit platinum and palladium in a subcustodian vault in Zurich. This is the contractual location policy, not a reconciliation of today’s bar inventory by vault.</w:t>
      </w:r>
    </w:p>
    <w:p>
      <w:r>
        <w:rPr>
          <w:b/>
        </w:rPr>
        <w:t xml:space="preserve">Location holding limits. </w:t>
      </w:r>
      <w:r>
        <w:t>The Irish base prospectus places allocated metal in London and permits platinum/palladium in a Zurich subcustodian vault only in limited circumstances. The reviewed location clause does not quantify those circumstances or specify a percentage, ounce or dollar cap for Zurich or a split between cities. The custody-agreement summary on PDF pages 145–146 specifies London for gold/silver subcustody and London or a Swiss fiscal warehouse in Zurich for platinum/palladium. No US location is permitted in these reviewed provisions. The executed series agreements and complete later-document chain remain to be confirmed.</w:t>
      </w:r>
    </w:p>
    <w:p>
      <w:r>
        <w:rPr>
          <w:b/>
        </w:rPr>
        <w:t xml:space="preserve">Limit scope. </w:t>
      </w:r>
      <w:r>
        <w:t>Allocated bullion backing the Irish ETC series</w:t>
      </w:r>
    </w:p>
    <w:p>
      <w:r>
        <w:rPr>
          <w:b/>
        </w:rPr>
        <w:t xml:space="preserve">Custody verification. </w:t>
      </w:r>
      <w:r>
        <w:t>Published base prospectus dated 11 May 2026, including custody summary, reviewed. US storage permission is not established. Executed series custody agreements and a complete post-base supplement/final-terms chain have not been obtained.</w:t>
      </w:r>
    </w:p>
    <w:p>
      <w:r>
        <w:rPr>
          <w:b/>
        </w:rPr>
        <w:t xml:space="preserve">Location clause source. </w:t>
      </w:r>
      <w:hyperlink r:id="rId12">
        <w:r>
          <w:rPr>
            <w:color w:val="235779"/>
            <w:u w:val="single"/>
          </w:rPr>
          <w:t>2026 base prospectus: custody, insurance and unallocated accounts</w:t>
        </w:r>
      </w:hyperlink>
      <w:r>
        <w:t xml:space="preserve"> — Custody and Insurance, PDF page 56; Custody Agreement summary, PDF pages 145–148 (especially 146(iii))</w:t>
      </w:r>
    </w:p>
    <w:p>
      <w:pPr>
        <w:pStyle w:val="Heading2"/>
        <w:pageBreakBefore w:val="0"/>
      </w:pPr>
      <w:r>
        <w:t>Recorded listings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86"/>
        <w:gridCol w:w="1754"/>
        <w:gridCol w:w="1169"/>
        <w:gridCol w:w="2436"/>
      </w:tblGrid>
      <w:tr>
        <w:trPr>
          <w:tblHeader/>
          <w:cantSplit/>
        </w:trPr>
        <w:tc>
          <w:tcPr>
            <w:tcW w:type="dxa" w:w="4386"/>
            <w:vAlign w:val="center"/>
            <w:tcMar>
              <w:top w:w="80" w:type="dxa"/>
              <w:bottom w:w="80" w:type="dxa"/>
              <w:left w:w="100" w:type="dxa"/>
              <w:right w:w="100" w:type="dxa"/>
            </w:tcMar>
            <w:shd w:fill="DCE6EB"/>
          </w:tcPr>
          <w:p>
            <w:pPr>
              <w:keepNext/>
              <w:spacing w:after="0" w:before="0" w:line="252" w:lineRule="auto"/>
            </w:pPr>
            <w:r>
              <w:rPr>
                <w:b/>
                <w:sz w:val="20"/>
              </w:rPr>
              <w:t>Exchange</w:t>
            </w:r>
          </w:p>
        </w:tc>
        <w:tc>
          <w:tcPr>
            <w:tcW w:type="dxa" w:w="1754"/>
            <w:vAlign w:val="center"/>
            <w:tcMar>
              <w:top w:w="80" w:type="dxa"/>
              <w:bottom w:w="80" w:type="dxa"/>
              <w:left w:w="100" w:type="dxa"/>
              <w:right w:w="100" w:type="dxa"/>
            </w:tcMar>
            <w:shd w:fill="DCE6EB"/>
          </w:tcPr>
          <w:p>
            <w:pPr>
              <w:keepNext/>
              <w:spacing w:after="0" w:before="0" w:line="252" w:lineRule="auto"/>
              <w:jc w:val="center"/>
            </w:pPr>
            <w:r>
              <w:rPr>
                <w:b/>
                <w:sz w:val="20"/>
              </w:rPr>
              <w:t>Ticker</w:t>
            </w:r>
          </w:p>
        </w:tc>
        <w:tc>
          <w:tcPr>
            <w:tcW w:type="dxa" w:w="1169"/>
            <w:vAlign w:val="center"/>
            <w:tcMar>
              <w:top w:w="80" w:type="dxa"/>
              <w:bottom w:w="80" w:type="dxa"/>
              <w:left w:w="100" w:type="dxa"/>
              <w:right w:w="100" w:type="dxa"/>
            </w:tcMar>
            <w:shd w:fill="DCE6EB"/>
          </w:tcPr>
          <w:p>
            <w:pPr>
              <w:keepNext/>
              <w:spacing w:after="0" w:before="0" w:line="252" w:lineRule="auto"/>
              <w:jc w:val="center"/>
            </w:pPr>
            <w:r>
              <w:rPr>
                <w:b/>
                <w:sz w:val="20"/>
              </w:rPr>
              <w:t>Currency</w:t>
            </w:r>
          </w:p>
        </w:tc>
        <w:tc>
          <w:tcPr>
            <w:tcW w:type="dxa" w:w="2436"/>
            <w:vAlign w:val="center"/>
            <w:tcMar>
              <w:top w:w="80" w:type="dxa"/>
              <w:bottom w:w="80" w:type="dxa"/>
              <w:left w:w="100" w:type="dxa"/>
              <w:right w:w="100" w:type="dxa"/>
            </w:tcMar>
            <w:shd w:fill="DCE6EB"/>
          </w:tcPr>
          <w:p>
            <w:pPr>
              <w:keepNext/>
              <w:spacing w:after="0" w:before="0" w:line="252" w:lineRule="auto"/>
              <w:jc w:val="center"/>
            </w:pPr>
            <w:r>
              <w:rPr>
                <w:b/>
                <w:sz w:val="20"/>
              </w:rPr>
              <w:t>Listing date</w:t>
            </w:r>
          </w:p>
        </w:tc>
      </w:tr>
      <w:tr>
        <w:trPr>
          <w:cantSplit/>
        </w:trPr>
        <w:tc>
          <w:tcPr>
            <w:tcW w:type="dxa" w:w="4386"/>
            <w:vAlign w:val="center"/>
            <w:tcMar>
              <w:top w:w="80" w:type="dxa"/>
              <w:bottom w:w="80" w:type="dxa"/>
              <w:left w:w="100" w:type="dxa"/>
              <w:right w:w="100" w:type="dxa"/>
            </w:tcMar>
            <w:shd w:fill="FFFFFF"/>
          </w:tcPr>
          <w:p>
            <w:pPr>
              <w:keepNext w:val="0"/>
              <w:spacing w:after="0" w:before="0" w:line="252" w:lineRule="auto"/>
            </w:pPr>
            <w:r>
              <w:rPr>
                <w:sz w:val="20"/>
              </w:rPr>
              <w:t>Borsa Italiana</w:t>
            </w:r>
          </w:p>
        </w:tc>
        <w:tc>
          <w:tcPr>
            <w:tcW w:type="dxa" w:w="1754"/>
            <w:vAlign w:val="center"/>
            <w:tcMar>
              <w:top w:w="80" w:type="dxa"/>
              <w:bottom w:w="80" w:type="dxa"/>
              <w:left w:w="100" w:type="dxa"/>
              <w:right w:w="100" w:type="dxa"/>
            </w:tcMar>
            <w:shd w:fill="FFFFFF"/>
          </w:tcPr>
          <w:p>
            <w:pPr>
              <w:keepNext w:val="0"/>
              <w:spacing w:after="0" w:before="0" w:line="252" w:lineRule="auto"/>
              <w:jc w:val="center"/>
            </w:pPr>
            <w:r>
              <w:rPr>
                <w:sz w:val="20"/>
              </w:rPr>
              <w:t>SPLT</w:t>
            </w:r>
          </w:p>
        </w:tc>
        <w:tc>
          <w:tcPr>
            <w:tcW w:type="dxa" w:w="1169"/>
            <w:vAlign w:val="center"/>
            <w:tcMar>
              <w:top w:w="80" w:type="dxa"/>
              <w:bottom w:w="80" w:type="dxa"/>
              <w:left w:w="100" w:type="dxa"/>
              <w:right w:w="100" w:type="dxa"/>
            </w:tcMar>
            <w:shd w:fill="FFFFFF"/>
          </w:tcPr>
          <w:p>
            <w:pPr>
              <w:keepNext w:val="0"/>
              <w:spacing w:after="0" w:before="0" w:line="252" w:lineRule="auto"/>
              <w:jc w:val="center"/>
            </w:pPr>
            <w:r>
              <w:rPr>
                <w:sz w:val="20"/>
              </w:rPr>
              <w:t>EUR</w:t>
            </w:r>
          </w:p>
        </w:tc>
        <w:tc>
          <w:tcPr>
            <w:tcW w:type="dxa" w:w="2436"/>
            <w:vAlign w:val="center"/>
            <w:tcMar>
              <w:top w:w="80" w:type="dxa"/>
              <w:bottom w:w="80" w:type="dxa"/>
              <w:left w:w="100" w:type="dxa"/>
              <w:right w:w="100" w:type="dxa"/>
            </w:tcMar>
            <w:shd w:fill="FFFFFF"/>
          </w:tcPr>
          <w:p>
            <w:pPr>
              <w:keepNext w:val="0"/>
              <w:spacing w:after="0" w:before="0" w:line="252" w:lineRule="auto"/>
              <w:jc w:val="center"/>
            </w:pPr>
            <w:r>
              <w:rPr>
                <w:sz w:val="20"/>
              </w:rPr>
              <w:t>25/Mar/2026</w:t>
            </w:r>
          </w:p>
        </w:tc>
      </w:tr>
      <w:tr>
        <w:trPr>
          <w:cantSplit/>
        </w:trPr>
        <w:tc>
          <w:tcPr>
            <w:tcW w:type="dxa" w:w="4386"/>
            <w:vAlign w:val="center"/>
            <w:tcMar>
              <w:top w:w="80" w:type="dxa"/>
              <w:bottom w:w="80" w:type="dxa"/>
              <w:left w:w="100" w:type="dxa"/>
              <w:right w:w="100" w:type="dxa"/>
            </w:tcMar>
            <w:shd w:fill="F4F7F8"/>
          </w:tcPr>
          <w:p>
            <w:pPr>
              <w:keepNext w:val="0"/>
              <w:spacing w:after="0" w:before="0" w:line="252" w:lineRule="auto"/>
            </w:pPr>
            <w:r>
              <w:rPr>
                <w:sz w:val="20"/>
              </w:rPr>
              <w:t>London Stock Exchange</w:t>
            </w:r>
          </w:p>
        </w:tc>
        <w:tc>
          <w:tcPr>
            <w:tcW w:type="dxa" w:w="1754"/>
            <w:vAlign w:val="center"/>
            <w:tcMar>
              <w:top w:w="80" w:type="dxa"/>
              <w:bottom w:w="80" w:type="dxa"/>
              <w:left w:w="100" w:type="dxa"/>
              <w:right w:w="100" w:type="dxa"/>
            </w:tcMar>
            <w:shd w:fill="F4F7F8"/>
          </w:tcPr>
          <w:p>
            <w:pPr>
              <w:keepNext w:val="0"/>
              <w:spacing w:after="0" w:before="0" w:line="252" w:lineRule="auto"/>
              <w:jc w:val="center"/>
            </w:pPr>
            <w:r>
              <w:rPr>
                <w:sz w:val="20"/>
              </w:rPr>
              <w:t>SPLT</w:t>
            </w:r>
          </w:p>
        </w:tc>
        <w:tc>
          <w:tcPr>
            <w:tcW w:type="dxa" w:w="1169"/>
            <w:vAlign w:val="center"/>
            <w:tcMar>
              <w:top w:w="80" w:type="dxa"/>
              <w:bottom w:w="80" w:type="dxa"/>
              <w:left w:w="100" w:type="dxa"/>
              <w:right w:w="100" w:type="dxa"/>
            </w:tcMar>
            <w:shd w:fill="F4F7F8"/>
          </w:tcPr>
          <w:p>
            <w:pPr>
              <w:keepNext w:val="0"/>
              <w:spacing w:after="0" w:before="0" w:line="252" w:lineRule="auto"/>
              <w:jc w:val="center"/>
            </w:pPr>
            <w:r>
              <w:rPr>
                <w:sz w:val="20"/>
              </w:rPr>
              <w:t>GBP</w:t>
            </w:r>
          </w:p>
        </w:tc>
        <w:tc>
          <w:tcPr>
            <w:tcW w:type="dxa" w:w="2436"/>
            <w:vAlign w:val="center"/>
            <w:tcMar>
              <w:top w:w="80" w:type="dxa"/>
              <w:bottom w:w="80" w:type="dxa"/>
              <w:left w:w="100" w:type="dxa"/>
              <w:right w:w="100" w:type="dxa"/>
            </w:tcMar>
            <w:shd w:fill="F4F7F8"/>
          </w:tcPr>
          <w:p>
            <w:pPr>
              <w:keepNext w:val="0"/>
              <w:spacing w:after="0" w:before="0" w:line="252" w:lineRule="auto"/>
              <w:jc w:val="center"/>
            </w:pPr>
            <w:r>
              <w:rPr>
                <w:sz w:val="20"/>
              </w:rPr>
              <w:t>11/Apr/2011</w:t>
            </w:r>
          </w:p>
        </w:tc>
      </w:tr>
      <w:tr>
        <w:trPr>
          <w:cantSplit/>
        </w:trPr>
        <w:tc>
          <w:tcPr>
            <w:tcW w:type="dxa" w:w="4386"/>
            <w:vAlign w:val="center"/>
            <w:tcMar>
              <w:top w:w="80" w:type="dxa"/>
              <w:bottom w:w="80" w:type="dxa"/>
              <w:left w:w="100" w:type="dxa"/>
              <w:right w:w="100" w:type="dxa"/>
            </w:tcMar>
            <w:shd w:fill="FFFFFF"/>
          </w:tcPr>
          <w:p>
            <w:pPr>
              <w:keepNext w:val="0"/>
              <w:spacing w:after="0" w:before="0" w:line="252" w:lineRule="auto"/>
            </w:pPr>
            <w:r>
              <w:rPr>
                <w:sz w:val="20"/>
              </w:rPr>
              <w:t>London Stock Exchange</w:t>
            </w:r>
          </w:p>
        </w:tc>
        <w:tc>
          <w:tcPr>
            <w:tcW w:type="dxa" w:w="1754"/>
            <w:vAlign w:val="center"/>
            <w:tcMar>
              <w:top w:w="80" w:type="dxa"/>
              <w:bottom w:w="80" w:type="dxa"/>
              <w:left w:w="100" w:type="dxa"/>
              <w:right w:w="100" w:type="dxa"/>
            </w:tcMar>
            <w:shd w:fill="FFFFFF"/>
          </w:tcPr>
          <w:p>
            <w:pPr>
              <w:keepNext w:val="0"/>
              <w:spacing w:after="0" w:before="0" w:line="252" w:lineRule="auto"/>
              <w:jc w:val="center"/>
            </w:pPr>
            <w:r>
              <w:rPr>
                <w:sz w:val="20"/>
              </w:rPr>
              <w:t>IPLT</w:t>
            </w:r>
          </w:p>
        </w:tc>
        <w:tc>
          <w:tcPr>
            <w:tcW w:type="dxa" w:w="1169"/>
            <w:vAlign w:val="center"/>
            <w:tcMar>
              <w:top w:w="80" w:type="dxa"/>
              <w:bottom w:w="80" w:type="dxa"/>
              <w:left w:w="100" w:type="dxa"/>
              <w:right w:w="100" w:type="dxa"/>
            </w:tcMar>
            <w:shd w:fill="FFFFFF"/>
          </w:tcPr>
          <w:p>
            <w:pPr>
              <w:keepNext w:val="0"/>
              <w:spacing w:after="0" w:before="0" w:line="252" w:lineRule="auto"/>
              <w:jc w:val="center"/>
            </w:pPr>
            <w:r>
              <w:rPr>
                <w:sz w:val="20"/>
              </w:rPr>
              <w:t>USD</w:t>
            </w:r>
          </w:p>
        </w:tc>
        <w:tc>
          <w:tcPr>
            <w:tcW w:type="dxa" w:w="2436"/>
            <w:vAlign w:val="center"/>
            <w:tcMar>
              <w:top w:w="80" w:type="dxa"/>
              <w:bottom w:w="80" w:type="dxa"/>
              <w:left w:w="100" w:type="dxa"/>
              <w:right w:w="100" w:type="dxa"/>
            </w:tcMar>
            <w:shd w:fill="FFFFFF"/>
          </w:tcPr>
          <w:p>
            <w:pPr>
              <w:keepNext w:val="0"/>
              <w:spacing w:after="0" w:before="0" w:line="252" w:lineRule="auto"/>
              <w:jc w:val="center"/>
            </w:pPr>
            <w:r>
              <w:rPr>
                <w:sz w:val="20"/>
              </w:rPr>
              <w:t>11/Apr/2011</w:t>
            </w:r>
          </w:p>
        </w:tc>
      </w:tr>
    </w:tbl>
    <w:p>
      <w:pPr>
        <w:spacing w:after="60" w:before="0" w:line="40" w:lineRule="exact"/>
      </w:pPr>
      <w:r>
        <w:rPr>
          <w:sz w:val="4"/>
        </w:rPr>
      </w:r>
    </w:p>
    <w:p>
      <w:pPr>
        <w:pStyle w:val="Heading2"/>
        <w:pageBreakBefore w:val="0"/>
      </w:pPr>
      <w:r>
        <w:t>Sources</w:t>
      </w:r>
    </w:p>
    <w:p>
      <w:pPr>
        <w:spacing w:after="80"/>
      </w:pPr>
      <w:hyperlink r:id="rId19">
        <w:r>
          <w:rPr>
            <w:color w:val="235779"/>
            <w:u w:val="single"/>
          </w:rPr>
          <w:t>Issuer product page</w:t>
        </w:r>
      </w:hyperlink>
      <w:r>
        <w:t xml:space="preserve">  ·  </w:t>
      </w:r>
      <w:hyperlink r:id="rId20">
        <w:r>
          <w:rPr>
            <w:color w:val="235779"/>
            <w:u w:val="single"/>
          </w:rPr>
          <w:t>Saved source</w:t>
        </w:r>
      </w:hyperlink>
    </w:p>
    <w:p>
      <w:pPr>
        <w:spacing w:after="80"/>
      </w:pPr>
      <w:hyperlink r:id="rId15">
        <w:r>
          <w:rPr>
            <w:color w:val="235779"/>
            <w:u w:val="single"/>
          </w:rPr>
          <w:t>2026 base prospectus: custody, insurance and unallocated accounts</w:t>
        </w:r>
      </w:hyperlink>
      <w:r>
        <w:t xml:space="preserve">  ·  </w:t>
      </w:r>
      <w:hyperlink r:id="rId16">
        <w:r>
          <w:rPr>
            <w:color w:val="235779"/>
            <w:u w:val="single"/>
          </w:rPr>
          <w:t>Saved source</w:t>
        </w:r>
      </w:hyperlink>
    </w:p>
    <w:p>
      <w:bookmarkStart w:id="6" w:name="product_4"/>
      <w:pPr>
        <w:pStyle w:val="Heading1"/>
        <w:pageBreakBefore w:val="0"/>
        <w:spacing w:before="360"/>
      </w:pPr>
      <w:r>
        <w:t>04  iShares Physical Palladium ETC</w:t>
      </w:r>
      <w:bookmarkEnd w:id="6"/>
    </w:p>
    <w:p>
      <w:pPr>
        <w:keepNext/>
      </w:pPr>
      <w:r>
        <w:rPr>
          <w:b/>
        </w:rPr>
        <w:t>SPDM / IPDM  |  Ireland  |  Palladium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24"/>
        <w:gridCol w:w="6822"/>
      </w:tblGrid>
      <w:tr>
        <w:trPr>
          <w:tblHeader/>
          <w:cantSplit/>
        </w:trPr>
        <w:tc>
          <w:tcPr>
            <w:tcW w:type="dxa" w:w="2924"/>
            <w:vAlign w:val="center"/>
            <w:tcMar>
              <w:top w:w="80" w:type="dxa"/>
              <w:bottom w:w="80" w:type="dxa"/>
              <w:left w:w="100" w:type="dxa"/>
              <w:right w:w="100" w:type="dxa"/>
            </w:tcMar>
            <w:shd w:fill="DCE6EB"/>
          </w:tcPr>
          <w:p>
            <w:pPr>
              <w:keepNext/>
              <w:spacing w:after="0" w:before="0" w:line="252" w:lineRule="auto"/>
            </w:pPr>
            <w:r>
              <w:rPr>
                <w:b/>
                <w:sz w:val="20"/>
              </w:rPr>
              <w:t>Field</w:t>
            </w:r>
          </w:p>
        </w:tc>
        <w:tc>
          <w:tcPr>
            <w:tcW w:type="dxa" w:w="6822"/>
            <w:vAlign w:val="center"/>
            <w:tcMar>
              <w:top w:w="80" w:type="dxa"/>
              <w:bottom w:w="80" w:type="dxa"/>
              <w:left w:w="100" w:type="dxa"/>
              <w:right w:w="100" w:type="dxa"/>
            </w:tcMar>
            <w:shd w:fill="DCE6EB"/>
          </w:tcPr>
          <w:p>
            <w:pPr>
              <w:keepNext/>
              <w:spacing w:after="0" w:before="0" w:line="252" w:lineRule="auto"/>
              <w:jc w:val="center"/>
            </w:pPr>
            <w:r>
              <w:rPr>
                <w:b/>
                <w:sz w:val="20"/>
              </w:rPr>
              <w:t>Detail</w:t>
            </w:r>
          </w:p>
        </w:tc>
      </w:tr>
      <w:tr>
        <w:trPr>
          <w:cantSplit/>
        </w:trPr>
        <w:tc>
          <w:tcPr>
            <w:tcW w:type="dxa" w:w="2924"/>
            <w:vAlign w:val="center"/>
            <w:tcMar>
              <w:top w:w="80" w:type="dxa"/>
              <w:bottom w:w="80" w:type="dxa"/>
              <w:left w:w="100" w:type="dxa"/>
              <w:right w:w="100" w:type="dxa"/>
            </w:tcMar>
            <w:shd w:fill="FFFFFF"/>
          </w:tcPr>
          <w:p>
            <w:pPr>
              <w:keepNext w:val="0"/>
              <w:spacing w:after="0" w:before="0" w:line="252" w:lineRule="auto"/>
            </w:pPr>
            <w:r>
              <w:rPr>
                <w:sz w:val="20"/>
              </w:rPr>
              <w:t>Legal form</w:t>
            </w:r>
          </w:p>
        </w:tc>
        <w:tc>
          <w:tcPr>
            <w:tcW w:type="dxa" w:w="6822"/>
            <w:vAlign w:val="center"/>
            <w:tcMar>
              <w:top w:w="80" w:type="dxa"/>
              <w:bottom w:w="80" w:type="dxa"/>
              <w:left w:w="100" w:type="dxa"/>
              <w:right w:w="100" w:type="dxa"/>
            </w:tcMar>
            <w:shd w:fill="FFFFFF"/>
          </w:tcPr>
          <w:p>
            <w:pPr>
              <w:keepNext w:val="0"/>
              <w:spacing w:after="0" w:before="0" w:line="252" w:lineRule="auto"/>
            </w:pPr>
            <w:r>
              <w:rPr>
                <w:sz w:val="20"/>
              </w:rPr>
              <w:t>Secured debt ETC; not a UCITS fund</w:t>
            </w:r>
          </w:p>
        </w:tc>
      </w:tr>
      <w:tr>
        <w:trPr>
          <w:cantSplit/>
        </w:trPr>
        <w:tc>
          <w:tcPr>
            <w:tcW w:type="dxa" w:w="2924"/>
            <w:vAlign w:val="center"/>
            <w:tcMar>
              <w:top w:w="80" w:type="dxa"/>
              <w:bottom w:w="80" w:type="dxa"/>
              <w:left w:w="100" w:type="dxa"/>
              <w:right w:w="100" w:type="dxa"/>
            </w:tcMar>
            <w:shd w:fill="F4F7F8"/>
          </w:tcPr>
          <w:p>
            <w:pPr>
              <w:keepNext w:val="0"/>
              <w:spacing w:after="0" w:before="0" w:line="252" w:lineRule="auto"/>
            </w:pPr>
            <w:r>
              <w:rPr>
                <w:sz w:val="20"/>
              </w:rPr>
              <w:t>Issuer or sponsor</w:t>
            </w:r>
          </w:p>
        </w:tc>
        <w:tc>
          <w:tcPr>
            <w:tcW w:type="dxa" w:w="6822"/>
            <w:vAlign w:val="center"/>
            <w:tcMar>
              <w:top w:w="80" w:type="dxa"/>
              <w:bottom w:w="80" w:type="dxa"/>
              <w:left w:w="100" w:type="dxa"/>
              <w:right w:w="100" w:type="dxa"/>
            </w:tcMar>
            <w:shd w:fill="F4F7F8"/>
          </w:tcPr>
          <w:p>
            <w:pPr>
              <w:keepNext w:val="0"/>
              <w:spacing w:after="0" w:before="0" w:line="252" w:lineRule="auto"/>
            </w:pPr>
            <w:r>
              <w:rPr>
                <w:sz w:val="20"/>
              </w:rPr>
              <w:t>iShares Physical Metals plc</w:t>
            </w:r>
          </w:p>
        </w:tc>
      </w:tr>
      <w:tr>
        <w:trPr>
          <w:cantSplit/>
        </w:trPr>
        <w:tc>
          <w:tcPr>
            <w:tcW w:type="dxa" w:w="2924"/>
            <w:vAlign w:val="center"/>
            <w:tcMar>
              <w:top w:w="80" w:type="dxa"/>
              <w:bottom w:w="80" w:type="dxa"/>
              <w:left w:w="100" w:type="dxa"/>
              <w:right w:w="100" w:type="dxa"/>
            </w:tcMar>
            <w:shd w:fill="FFFFFF"/>
          </w:tcPr>
          <w:p>
            <w:pPr>
              <w:keepNext w:val="0"/>
              <w:spacing w:after="0" w:before="0" w:line="252" w:lineRule="auto"/>
            </w:pPr>
            <w:r>
              <w:rPr>
                <w:sz w:val="20"/>
              </w:rPr>
              <w:t>Launch or class inception</w:t>
            </w:r>
          </w:p>
        </w:tc>
        <w:tc>
          <w:tcPr>
            <w:tcW w:type="dxa" w:w="6822"/>
            <w:vAlign w:val="center"/>
            <w:tcMar>
              <w:top w:w="80" w:type="dxa"/>
              <w:bottom w:w="80" w:type="dxa"/>
              <w:left w:w="100" w:type="dxa"/>
              <w:right w:w="100" w:type="dxa"/>
            </w:tcMar>
            <w:shd w:fill="FFFFFF"/>
          </w:tcPr>
          <w:p>
            <w:pPr>
              <w:keepNext w:val="0"/>
              <w:spacing w:after="0" w:before="0" w:line="252" w:lineRule="auto"/>
              <w:jc w:val="center"/>
            </w:pPr>
            <w:r>
              <w:rPr>
                <w:sz w:val="20"/>
              </w:rPr>
              <w:t>08/Apr/2011</w:t>
            </w:r>
          </w:p>
        </w:tc>
      </w:tr>
      <w:tr>
        <w:trPr>
          <w:cantSplit/>
        </w:trPr>
        <w:tc>
          <w:tcPr>
            <w:tcW w:type="dxa" w:w="2924"/>
            <w:vAlign w:val="center"/>
            <w:tcMar>
              <w:top w:w="80" w:type="dxa"/>
              <w:bottom w:w="80" w:type="dxa"/>
              <w:left w:w="100" w:type="dxa"/>
              <w:right w:w="100" w:type="dxa"/>
            </w:tcMar>
            <w:shd w:fill="F4F7F8"/>
          </w:tcPr>
          <w:p>
            <w:pPr>
              <w:keepNext w:val="0"/>
              <w:spacing w:after="0" w:before="0" w:line="252" w:lineRule="auto"/>
            </w:pPr>
            <w:r>
              <w:rPr>
                <w:sz w:val="20"/>
              </w:rPr>
              <w:t>ISIN / CUSIP</w:t>
            </w:r>
          </w:p>
        </w:tc>
        <w:tc>
          <w:tcPr>
            <w:tcW w:type="dxa" w:w="6822"/>
            <w:vAlign w:val="center"/>
            <w:tcMar>
              <w:top w:w="80" w:type="dxa"/>
              <w:bottom w:w="80" w:type="dxa"/>
              <w:left w:w="100" w:type="dxa"/>
              <w:right w:w="100" w:type="dxa"/>
            </w:tcMar>
            <w:shd w:fill="F4F7F8"/>
          </w:tcPr>
          <w:p>
            <w:pPr>
              <w:keepNext w:val="0"/>
              <w:spacing w:after="0" w:before="0" w:line="252" w:lineRule="auto"/>
              <w:jc w:val="center"/>
            </w:pPr>
            <w:r>
              <w:rPr>
                <w:sz w:val="20"/>
              </w:rPr>
              <w:t>IE00B4556L06</w:t>
            </w:r>
          </w:p>
        </w:tc>
      </w:tr>
      <w:tr>
        <w:trPr>
          <w:cantSplit/>
        </w:trPr>
        <w:tc>
          <w:tcPr>
            <w:tcW w:type="dxa" w:w="2924"/>
            <w:vAlign w:val="center"/>
            <w:tcMar>
              <w:top w:w="80" w:type="dxa"/>
              <w:bottom w:w="80" w:type="dxa"/>
              <w:left w:w="100" w:type="dxa"/>
              <w:right w:w="100" w:type="dxa"/>
            </w:tcMar>
            <w:shd w:fill="FFFFFF"/>
          </w:tcPr>
          <w:p>
            <w:pPr>
              <w:keepNext w:val="0"/>
              <w:spacing w:after="0" w:before="0" w:line="252" w:lineRule="auto"/>
            </w:pPr>
            <w:r>
              <w:rPr>
                <w:sz w:val="20"/>
              </w:rPr>
              <w:t>Reported net assets</w:t>
            </w:r>
          </w:p>
        </w:tc>
        <w:tc>
          <w:tcPr>
            <w:tcW w:type="dxa" w:w="6822"/>
            <w:vAlign w:val="center"/>
            <w:tcMar>
              <w:top w:w="80" w:type="dxa"/>
              <w:bottom w:w="80" w:type="dxa"/>
              <w:left w:w="100" w:type="dxa"/>
              <w:right w:w="100" w:type="dxa"/>
            </w:tcMar>
            <w:shd w:fill="FFFFFF"/>
          </w:tcPr>
          <w:p>
            <w:pPr>
              <w:keepNext w:val="0"/>
              <w:spacing w:after="0" w:before="0" w:line="252" w:lineRule="auto"/>
            </w:pPr>
            <w:r>
              <w:rPr>
                <w:sz w:val="20"/>
              </w:rPr>
              <w:t>USD 76,406,539.00 as of 2026-09-22</w:t>
            </w:r>
          </w:p>
        </w:tc>
      </w:tr>
      <w:tr>
        <w:trPr>
          <w:cantSplit/>
        </w:trPr>
        <w:tc>
          <w:tcPr>
            <w:tcW w:type="dxa" w:w="2924"/>
            <w:vAlign w:val="center"/>
            <w:tcMar>
              <w:top w:w="80" w:type="dxa"/>
              <w:bottom w:w="80" w:type="dxa"/>
              <w:left w:w="100" w:type="dxa"/>
              <w:right w:w="100" w:type="dxa"/>
            </w:tcMar>
            <w:shd w:fill="F4F7F8"/>
          </w:tcPr>
          <w:p>
            <w:pPr>
              <w:keepNext w:val="0"/>
              <w:spacing w:after="0" w:before="0" w:line="252" w:lineRule="auto"/>
            </w:pPr>
            <w:r>
              <w:rPr>
                <w:sz w:val="20"/>
              </w:rPr>
              <w:t>Asset basis</w:t>
            </w:r>
          </w:p>
        </w:tc>
        <w:tc>
          <w:tcPr>
            <w:tcW w:type="dxa" w:w="6822"/>
            <w:vAlign w:val="center"/>
            <w:tcMar>
              <w:top w:w="80" w:type="dxa"/>
              <w:bottom w:w="80" w:type="dxa"/>
              <w:left w:w="100" w:type="dxa"/>
              <w:right w:w="100" w:type="dxa"/>
            </w:tcMar>
            <w:shd w:fill="F4F7F8"/>
          </w:tcPr>
          <w:p>
            <w:pPr>
              <w:keepNext w:val="0"/>
              <w:spacing w:after="0" w:before="0" w:line="252" w:lineRule="auto"/>
            </w:pPr>
            <w:r>
              <w:rPr>
                <w:sz w:val="20"/>
              </w:rPr>
              <w:t>Fund / trust / ETC series</w:t>
            </w:r>
          </w:p>
        </w:tc>
      </w:tr>
      <w:tr>
        <w:trPr>
          <w:cantSplit/>
        </w:trPr>
        <w:tc>
          <w:tcPr>
            <w:tcW w:type="dxa" w:w="2924"/>
            <w:vAlign w:val="center"/>
            <w:tcMar>
              <w:top w:w="80" w:type="dxa"/>
              <w:bottom w:w="80" w:type="dxa"/>
              <w:left w:w="100" w:type="dxa"/>
              <w:right w:w="100" w:type="dxa"/>
            </w:tcMar>
            <w:shd w:fill="FFFFFF"/>
          </w:tcPr>
          <w:p>
            <w:pPr>
              <w:keepNext w:val="0"/>
              <w:spacing w:after="0" w:before="0" w:line="252" w:lineRule="auto"/>
            </w:pPr>
            <w:r>
              <w:rPr>
                <w:sz w:val="20"/>
              </w:rPr>
              <w:t>Currency exposure</w:t>
            </w:r>
          </w:p>
        </w:tc>
        <w:tc>
          <w:tcPr>
            <w:tcW w:type="dxa" w:w="6822"/>
            <w:vAlign w:val="center"/>
            <w:tcMar>
              <w:top w:w="80" w:type="dxa"/>
              <w:bottom w:w="80" w:type="dxa"/>
              <w:left w:w="100" w:type="dxa"/>
              <w:right w:w="100" w:type="dxa"/>
            </w:tcMar>
            <w:shd w:fill="FFFFFF"/>
          </w:tcPr>
          <w:p>
            <w:pPr>
              <w:keepNext w:val="0"/>
              <w:spacing w:after="0" w:before="0" w:line="252" w:lineRule="auto"/>
              <w:jc w:val="center"/>
            </w:pPr>
            <w:r>
              <w:rPr>
                <w:sz w:val="20"/>
              </w:rPr>
              <w:t>Unhedged</w:t>
            </w:r>
          </w:p>
        </w:tc>
      </w:tr>
      <w:tr>
        <w:trPr>
          <w:cantSplit/>
        </w:trPr>
        <w:tc>
          <w:tcPr>
            <w:tcW w:type="dxa" w:w="2924"/>
            <w:vAlign w:val="center"/>
            <w:tcMar>
              <w:top w:w="80" w:type="dxa"/>
              <w:bottom w:w="80" w:type="dxa"/>
              <w:left w:w="100" w:type="dxa"/>
              <w:right w:w="100" w:type="dxa"/>
            </w:tcMar>
            <w:shd w:fill="F4F7F8"/>
          </w:tcPr>
          <w:p>
            <w:pPr>
              <w:keepNext w:val="0"/>
              <w:spacing w:after="0" w:before="0" w:line="252" w:lineRule="auto"/>
            </w:pPr>
            <w:r>
              <w:rPr>
                <w:sz w:val="20"/>
              </w:rPr>
              <w:t>Annual fee</w:t>
            </w:r>
          </w:p>
        </w:tc>
        <w:tc>
          <w:tcPr>
            <w:tcW w:type="dxa" w:w="6822"/>
            <w:vAlign w:val="center"/>
            <w:tcMar>
              <w:top w:w="80" w:type="dxa"/>
              <w:bottom w:w="80" w:type="dxa"/>
              <w:left w:w="100" w:type="dxa"/>
              <w:right w:w="100" w:type="dxa"/>
            </w:tcMar>
            <w:shd w:fill="F4F7F8"/>
          </w:tcPr>
          <w:p>
            <w:pPr>
              <w:keepNext w:val="0"/>
              <w:spacing w:after="0" w:before="0" w:line="252" w:lineRule="auto"/>
              <w:jc w:val="center"/>
            </w:pPr>
            <w:r>
              <w:rPr>
                <w:sz w:val="20"/>
              </w:rPr>
              <w:t>0.2% — TER</w:t>
            </w:r>
          </w:p>
        </w:tc>
      </w:tr>
      <w:tr>
        <w:trPr>
          <w:cantSplit/>
        </w:trPr>
        <w:tc>
          <w:tcPr>
            <w:tcW w:type="dxa" w:w="2924"/>
            <w:vAlign w:val="center"/>
            <w:tcMar>
              <w:top w:w="80" w:type="dxa"/>
              <w:bottom w:w="80" w:type="dxa"/>
              <w:left w:w="100" w:type="dxa"/>
              <w:right w:w="100" w:type="dxa"/>
            </w:tcMar>
            <w:shd w:fill="FFFFFF"/>
          </w:tcPr>
          <w:p>
            <w:pPr>
              <w:keepNext w:val="0"/>
              <w:spacing w:after="0" w:before="0" w:line="252" w:lineRule="auto"/>
            </w:pPr>
            <w:r>
              <w:rPr>
                <w:sz w:val="20"/>
              </w:rPr>
              <w:t>Custodian</w:t>
            </w:r>
          </w:p>
        </w:tc>
        <w:tc>
          <w:tcPr>
            <w:tcW w:type="dxa" w:w="6822"/>
            <w:vAlign w:val="center"/>
            <w:tcMar>
              <w:top w:w="80" w:type="dxa"/>
              <w:bottom w:w="80" w:type="dxa"/>
              <w:left w:w="100" w:type="dxa"/>
              <w:right w:w="100" w:type="dxa"/>
            </w:tcMar>
            <w:shd w:fill="FFFFFF"/>
          </w:tcPr>
          <w:p>
            <w:pPr>
              <w:keepNext w:val="0"/>
              <w:spacing w:after="0" w:before="0" w:line="252" w:lineRule="auto"/>
            </w:pPr>
            <w:r>
              <w:rPr>
                <w:sz w:val="20"/>
              </w:rPr>
              <w:t>JPMorgan Chase Bank N.A., London Branch</w:t>
            </w:r>
          </w:p>
        </w:tc>
      </w:tr>
      <w:tr>
        <w:trPr>
          <w:cantSplit/>
        </w:trPr>
        <w:tc>
          <w:tcPr>
            <w:tcW w:type="dxa" w:w="2924"/>
            <w:vAlign w:val="center"/>
            <w:tcMar>
              <w:top w:w="80" w:type="dxa"/>
              <w:bottom w:w="80" w:type="dxa"/>
              <w:left w:w="100" w:type="dxa"/>
              <w:right w:w="100" w:type="dxa"/>
            </w:tcMar>
            <w:shd w:fill="F4F7F8"/>
          </w:tcPr>
          <w:p>
            <w:pPr>
              <w:keepNext w:val="0"/>
              <w:spacing w:after="0" w:before="0" w:line="252" w:lineRule="auto"/>
            </w:pPr>
            <w:r>
              <w:rPr>
                <w:sz w:val="20"/>
              </w:rPr>
              <w:t>Custody evidence date</w:t>
            </w:r>
          </w:p>
        </w:tc>
        <w:tc>
          <w:tcPr>
            <w:tcW w:type="dxa" w:w="6822"/>
            <w:vAlign w:val="center"/>
            <w:tcMar>
              <w:top w:w="80" w:type="dxa"/>
              <w:bottom w:w="80" w:type="dxa"/>
              <w:left w:w="100" w:type="dxa"/>
              <w:right w:w="100" w:type="dxa"/>
            </w:tcMar>
            <w:shd w:fill="F4F7F8"/>
          </w:tcPr>
          <w:p>
            <w:pPr>
              <w:keepNext w:val="0"/>
              <w:spacing w:after="0" w:before="0" w:line="252" w:lineRule="auto"/>
              <w:jc w:val="center"/>
            </w:pPr>
            <w:r>
              <w:rPr>
                <w:sz w:val="20"/>
              </w:rPr>
              <w:t>2026-09-23</w:t>
            </w:r>
          </w:p>
        </w:tc>
      </w:tr>
      <w:tr>
        <w:trPr>
          <w:cantSplit/>
        </w:trPr>
        <w:tc>
          <w:tcPr>
            <w:tcW w:type="dxa" w:w="2924"/>
            <w:vAlign w:val="center"/>
            <w:tcMar>
              <w:top w:w="80" w:type="dxa"/>
              <w:bottom w:w="80" w:type="dxa"/>
              <w:left w:w="100" w:type="dxa"/>
              <w:right w:w="100" w:type="dxa"/>
            </w:tcMar>
            <w:shd w:fill="FFFFFF"/>
          </w:tcPr>
          <w:p>
            <w:pPr>
              <w:keepNext w:val="0"/>
              <w:spacing w:after="0" w:before="0" w:line="252" w:lineRule="auto"/>
            </w:pPr>
            <w:r>
              <w:rPr>
                <w:sz w:val="20"/>
              </w:rPr>
              <w:t>Reported metal quantity</w:t>
            </w:r>
          </w:p>
        </w:tc>
        <w:tc>
          <w:tcPr>
            <w:tcW w:type="dxa" w:w="6822"/>
            <w:vAlign w:val="center"/>
            <w:tcMar>
              <w:top w:w="80" w:type="dxa"/>
              <w:bottom w:w="80" w:type="dxa"/>
              <w:left w:w="100" w:type="dxa"/>
              <w:right w:w="100" w:type="dxa"/>
            </w:tcMar>
            <w:shd w:fill="FFFFFF"/>
          </w:tcPr>
          <w:p>
            <w:pPr>
              <w:keepNext w:val="0"/>
              <w:spacing w:after="0" w:before="0" w:line="252" w:lineRule="auto"/>
            </w:pPr>
            <w:r>
              <w:rPr>
                <w:sz w:val="20"/>
              </w:rPr>
              <w:t>57,986.97 troy ounces; 1.8 tonnes; dated 2026-09-23 — Issuer product-page quantity</w:t>
            </w:r>
          </w:p>
        </w:tc>
      </w:tr>
    </w:tbl>
    <w:p>
      <w:pPr>
        <w:spacing w:after="60" w:before="0" w:line="40" w:lineRule="exact"/>
      </w:pPr>
      <w:r>
        <w:rPr>
          <w:sz w:val="4"/>
        </w:rPr>
      </w:r>
    </w:p>
    <w:p>
      <w:r>
        <w:rPr>
          <w:b/>
        </w:rPr>
        <w:t xml:space="preserve">Fee definition. </w:t>
      </w:r>
      <w:r>
        <w:t>Total expense ratio reported by issuer.</w:t>
      </w:r>
    </w:p>
    <w:p>
      <w:r>
        <w:rPr>
          <w:b/>
        </w:rPr>
        <w:t xml:space="preserve">Allocation. </w:t>
      </w:r>
      <w:r>
        <w:t>The series is backed by allocated metal. Metal must be allocated before securities are issued. Transfers can pass through unallocated accounts, with custodian credit exposure during those periods.</w:t>
      </w:r>
    </w:p>
    <w:p>
      <w:r>
        <w:rPr>
          <w:b/>
        </w:rPr>
        <w:t xml:space="preserve">Bullion storage. </w:t>
      </w:r>
      <w:r>
        <w:t>Prospectus location: London vaults of the custodian or subcustodian. Limited circumstances also permit platinum and palladium in a subcustodian vault in Zurich. This is the contractual location policy, not a reconciliation of today’s bar inventory by vault.</w:t>
      </w:r>
    </w:p>
    <w:p>
      <w:r>
        <w:rPr>
          <w:b/>
        </w:rPr>
        <w:t xml:space="preserve">Location holding limits. </w:t>
      </w:r>
      <w:r>
        <w:t>The Irish base prospectus places allocated metal in London and permits platinum/palladium in a Zurich subcustodian vault only in limited circumstances. The reviewed location clause does not quantify those circumstances or specify a percentage, ounce or dollar cap for Zurich or a split between cities. The custody-agreement summary on PDF pages 145–146 specifies London for gold/silver subcustody and London or a Swiss fiscal warehouse in Zurich for platinum/palladium. No US location is permitted in these reviewed provisions. The executed series agreements and complete later-document chain remain to be confirmed.</w:t>
      </w:r>
    </w:p>
    <w:p>
      <w:r>
        <w:rPr>
          <w:b/>
        </w:rPr>
        <w:t xml:space="preserve">Limit scope. </w:t>
      </w:r>
      <w:r>
        <w:t>Allocated bullion backing the Irish ETC series</w:t>
      </w:r>
    </w:p>
    <w:p>
      <w:r>
        <w:rPr>
          <w:b/>
        </w:rPr>
        <w:t xml:space="preserve">Custody verification. </w:t>
      </w:r>
      <w:r>
        <w:t>Published base prospectus dated 11 May 2026, including custody summary, reviewed. US storage permission is not established. Executed series custody agreements and a complete post-base supplement/final-terms chain have not been obtained.</w:t>
      </w:r>
    </w:p>
    <w:p>
      <w:r>
        <w:rPr>
          <w:b/>
        </w:rPr>
        <w:t xml:space="preserve">Location clause source. </w:t>
      </w:r>
      <w:hyperlink r:id="rId12">
        <w:r>
          <w:rPr>
            <w:color w:val="235779"/>
            <w:u w:val="single"/>
          </w:rPr>
          <w:t>2026 base prospectus: custody, insurance and unallocated accounts</w:t>
        </w:r>
      </w:hyperlink>
      <w:r>
        <w:t xml:space="preserve"> — Custody and Insurance, PDF page 56; Custody Agreement summary, PDF pages 145–148 (especially 146(iii))</w:t>
      </w:r>
    </w:p>
    <w:p>
      <w:pPr>
        <w:pStyle w:val="Heading2"/>
        <w:pageBreakBefore w:val="0"/>
      </w:pPr>
      <w:r>
        <w:t>Recorded listings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86"/>
        <w:gridCol w:w="1754"/>
        <w:gridCol w:w="1169"/>
        <w:gridCol w:w="2436"/>
      </w:tblGrid>
      <w:tr>
        <w:trPr>
          <w:tblHeader/>
          <w:cantSplit/>
        </w:trPr>
        <w:tc>
          <w:tcPr>
            <w:tcW w:type="dxa" w:w="4386"/>
            <w:vAlign w:val="center"/>
            <w:tcMar>
              <w:top w:w="80" w:type="dxa"/>
              <w:bottom w:w="80" w:type="dxa"/>
              <w:left w:w="100" w:type="dxa"/>
              <w:right w:w="100" w:type="dxa"/>
            </w:tcMar>
            <w:shd w:fill="DCE6EB"/>
          </w:tcPr>
          <w:p>
            <w:pPr>
              <w:keepNext/>
              <w:spacing w:after="0" w:before="0" w:line="252" w:lineRule="auto"/>
            </w:pPr>
            <w:r>
              <w:rPr>
                <w:b/>
                <w:sz w:val="20"/>
              </w:rPr>
              <w:t>Exchange</w:t>
            </w:r>
          </w:p>
        </w:tc>
        <w:tc>
          <w:tcPr>
            <w:tcW w:type="dxa" w:w="1754"/>
            <w:vAlign w:val="center"/>
            <w:tcMar>
              <w:top w:w="80" w:type="dxa"/>
              <w:bottom w:w="80" w:type="dxa"/>
              <w:left w:w="100" w:type="dxa"/>
              <w:right w:w="100" w:type="dxa"/>
            </w:tcMar>
            <w:shd w:fill="DCE6EB"/>
          </w:tcPr>
          <w:p>
            <w:pPr>
              <w:keepNext/>
              <w:spacing w:after="0" w:before="0" w:line="252" w:lineRule="auto"/>
              <w:jc w:val="center"/>
            </w:pPr>
            <w:r>
              <w:rPr>
                <w:b/>
                <w:sz w:val="20"/>
              </w:rPr>
              <w:t>Ticker</w:t>
            </w:r>
          </w:p>
        </w:tc>
        <w:tc>
          <w:tcPr>
            <w:tcW w:type="dxa" w:w="1169"/>
            <w:vAlign w:val="center"/>
            <w:tcMar>
              <w:top w:w="80" w:type="dxa"/>
              <w:bottom w:w="80" w:type="dxa"/>
              <w:left w:w="100" w:type="dxa"/>
              <w:right w:w="100" w:type="dxa"/>
            </w:tcMar>
            <w:shd w:fill="DCE6EB"/>
          </w:tcPr>
          <w:p>
            <w:pPr>
              <w:keepNext/>
              <w:spacing w:after="0" w:before="0" w:line="252" w:lineRule="auto"/>
              <w:jc w:val="center"/>
            </w:pPr>
            <w:r>
              <w:rPr>
                <w:b/>
                <w:sz w:val="20"/>
              </w:rPr>
              <w:t>Currency</w:t>
            </w:r>
          </w:p>
        </w:tc>
        <w:tc>
          <w:tcPr>
            <w:tcW w:type="dxa" w:w="2436"/>
            <w:vAlign w:val="center"/>
            <w:tcMar>
              <w:top w:w="80" w:type="dxa"/>
              <w:bottom w:w="80" w:type="dxa"/>
              <w:left w:w="100" w:type="dxa"/>
              <w:right w:w="100" w:type="dxa"/>
            </w:tcMar>
            <w:shd w:fill="DCE6EB"/>
          </w:tcPr>
          <w:p>
            <w:pPr>
              <w:keepNext/>
              <w:spacing w:after="0" w:before="0" w:line="252" w:lineRule="auto"/>
              <w:jc w:val="center"/>
            </w:pPr>
            <w:r>
              <w:rPr>
                <w:b/>
                <w:sz w:val="20"/>
              </w:rPr>
              <w:t>Listing date</w:t>
            </w:r>
          </w:p>
        </w:tc>
      </w:tr>
      <w:tr>
        <w:trPr>
          <w:cantSplit/>
        </w:trPr>
        <w:tc>
          <w:tcPr>
            <w:tcW w:type="dxa" w:w="4386"/>
            <w:vAlign w:val="center"/>
            <w:tcMar>
              <w:top w:w="80" w:type="dxa"/>
              <w:bottom w:w="80" w:type="dxa"/>
              <w:left w:w="100" w:type="dxa"/>
              <w:right w:w="100" w:type="dxa"/>
            </w:tcMar>
            <w:shd w:fill="FFFFFF"/>
          </w:tcPr>
          <w:p>
            <w:pPr>
              <w:keepNext w:val="0"/>
              <w:spacing w:after="0" w:before="0" w:line="252" w:lineRule="auto"/>
            </w:pPr>
            <w:r>
              <w:rPr>
                <w:sz w:val="20"/>
              </w:rPr>
              <w:t>Berne Stock Exchange</w:t>
            </w:r>
          </w:p>
        </w:tc>
        <w:tc>
          <w:tcPr>
            <w:tcW w:type="dxa" w:w="1754"/>
            <w:vAlign w:val="center"/>
            <w:tcMar>
              <w:top w:w="80" w:type="dxa"/>
              <w:bottom w:w="80" w:type="dxa"/>
              <w:left w:w="100" w:type="dxa"/>
              <w:right w:w="100" w:type="dxa"/>
            </w:tcMar>
            <w:shd w:fill="FFFFFF"/>
          </w:tcPr>
          <w:p>
            <w:pPr>
              <w:keepNext w:val="0"/>
              <w:spacing w:after="0" w:before="0" w:line="252" w:lineRule="auto"/>
              <w:jc w:val="center"/>
            </w:pPr>
            <w:r>
              <w:rPr>
                <w:sz w:val="20"/>
              </w:rPr>
              <w:t>SPDM</w:t>
            </w:r>
          </w:p>
        </w:tc>
        <w:tc>
          <w:tcPr>
            <w:tcW w:type="dxa" w:w="1169"/>
            <w:vAlign w:val="center"/>
            <w:tcMar>
              <w:top w:w="80" w:type="dxa"/>
              <w:bottom w:w="80" w:type="dxa"/>
              <w:left w:w="100" w:type="dxa"/>
              <w:right w:w="100" w:type="dxa"/>
            </w:tcMar>
            <w:shd w:fill="FFFFFF"/>
          </w:tcPr>
          <w:p>
            <w:pPr>
              <w:keepNext w:val="0"/>
              <w:spacing w:after="0" w:before="0" w:line="252" w:lineRule="auto"/>
              <w:jc w:val="center"/>
            </w:pPr>
            <w:r>
              <w:rPr>
                <w:sz w:val="20"/>
              </w:rPr>
              <w:t>EUR</w:t>
            </w:r>
          </w:p>
        </w:tc>
        <w:tc>
          <w:tcPr>
            <w:tcW w:type="dxa" w:w="2436"/>
            <w:vAlign w:val="center"/>
            <w:tcMar>
              <w:top w:w="80" w:type="dxa"/>
              <w:bottom w:w="80" w:type="dxa"/>
              <w:left w:w="100" w:type="dxa"/>
              <w:right w:w="100" w:type="dxa"/>
            </w:tcMar>
            <w:shd w:fill="FFFFFF"/>
          </w:tcPr>
          <w:p>
            <w:pPr>
              <w:keepNext w:val="0"/>
              <w:spacing w:after="0" w:before="0" w:line="252" w:lineRule="auto"/>
              <w:jc w:val="center"/>
            </w:pPr>
            <w:r>
              <w:rPr>
                <w:sz w:val="20"/>
              </w:rPr>
              <w:t>24/Mar/2026</w:t>
            </w:r>
          </w:p>
        </w:tc>
      </w:tr>
      <w:tr>
        <w:trPr>
          <w:cantSplit/>
        </w:trPr>
        <w:tc>
          <w:tcPr>
            <w:tcW w:type="dxa" w:w="4386"/>
            <w:vAlign w:val="center"/>
            <w:tcMar>
              <w:top w:w="80" w:type="dxa"/>
              <w:bottom w:w="80" w:type="dxa"/>
              <w:left w:w="100" w:type="dxa"/>
              <w:right w:w="100" w:type="dxa"/>
            </w:tcMar>
            <w:shd w:fill="F4F7F8"/>
          </w:tcPr>
          <w:p>
            <w:pPr>
              <w:keepNext w:val="0"/>
              <w:spacing w:after="0" w:before="0" w:line="252" w:lineRule="auto"/>
            </w:pPr>
            <w:r>
              <w:rPr>
                <w:sz w:val="20"/>
              </w:rPr>
              <w:t>London Stock Exchange</w:t>
            </w:r>
          </w:p>
        </w:tc>
        <w:tc>
          <w:tcPr>
            <w:tcW w:type="dxa" w:w="1754"/>
            <w:vAlign w:val="center"/>
            <w:tcMar>
              <w:top w:w="80" w:type="dxa"/>
              <w:bottom w:w="80" w:type="dxa"/>
              <w:left w:w="100" w:type="dxa"/>
              <w:right w:w="100" w:type="dxa"/>
            </w:tcMar>
            <w:shd w:fill="F4F7F8"/>
          </w:tcPr>
          <w:p>
            <w:pPr>
              <w:keepNext w:val="0"/>
              <w:spacing w:after="0" w:before="0" w:line="252" w:lineRule="auto"/>
              <w:jc w:val="center"/>
            </w:pPr>
            <w:r>
              <w:rPr>
                <w:sz w:val="20"/>
              </w:rPr>
              <w:t>SPDM</w:t>
            </w:r>
          </w:p>
        </w:tc>
        <w:tc>
          <w:tcPr>
            <w:tcW w:type="dxa" w:w="1169"/>
            <w:vAlign w:val="center"/>
            <w:tcMar>
              <w:top w:w="80" w:type="dxa"/>
              <w:bottom w:w="80" w:type="dxa"/>
              <w:left w:w="100" w:type="dxa"/>
              <w:right w:w="100" w:type="dxa"/>
            </w:tcMar>
            <w:shd w:fill="F4F7F8"/>
          </w:tcPr>
          <w:p>
            <w:pPr>
              <w:keepNext w:val="0"/>
              <w:spacing w:after="0" w:before="0" w:line="252" w:lineRule="auto"/>
              <w:jc w:val="center"/>
            </w:pPr>
            <w:r>
              <w:rPr>
                <w:sz w:val="20"/>
              </w:rPr>
              <w:t>GBP</w:t>
            </w:r>
          </w:p>
        </w:tc>
        <w:tc>
          <w:tcPr>
            <w:tcW w:type="dxa" w:w="2436"/>
            <w:vAlign w:val="center"/>
            <w:tcMar>
              <w:top w:w="80" w:type="dxa"/>
              <w:bottom w:w="80" w:type="dxa"/>
              <w:left w:w="100" w:type="dxa"/>
              <w:right w:w="100" w:type="dxa"/>
            </w:tcMar>
            <w:shd w:fill="F4F7F8"/>
          </w:tcPr>
          <w:p>
            <w:pPr>
              <w:keepNext w:val="0"/>
              <w:spacing w:after="0" w:before="0" w:line="252" w:lineRule="auto"/>
              <w:jc w:val="center"/>
            </w:pPr>
            <w:r>
              <w:rPr>
                <w:sz w:val="20"/>
              </w:rPr>
              <w:t>11/Apr/2011</w:t>
            </w:r>
          </w:p>
        </w:tc>
      </w:tr>
      <w:tr>
        <w:trPr>
          <w:cantSplit/>
        </w:trPr>
        <w:tc>
          <w:tcPr>
            <w:tcW w:type="dxa" w:w="4386"/>
            <w:vAlign w:val="center"/>
            <w:tcMar>
              <w:top w:w="80" w:type="dxa"/>
              <w:bottom w:w="80" w:type="dxa"/>
              <w:left w:w="100" w:type="dxa"/>
              <w:right w:w="100" w:type="dxa"/>
            </w:tcMar>
            <w:shd w:fill="FFFFFF"/>
          </w:tcPr>
          <w:p>
            <w:pPr>
              <w:keepNext w:val="0"/>
              <w:spacing w:after="0" w:before="0" w:line="252" w:lineRule="auto"/>
            </w:pPr>
            <w:r>
              <w:rPr>
                <w:sz w:val="20"/>
              </w:rPr>
              <w:t>London Stock Exchange</w:t>
            </w:r>
          </w:p>
        </w:tc>
        <w:tc>
          <w:tcPr>
            <w:tcW w:type="dxa" w:w="1754"/>
            <w:vAlign w:val="center"/>
            <w:tcMar>
              <w:top w:w="80" w:type="dxa"/>
              <w:bottom w:w="80" w:type="dxa"/>
              <w:left w:w="100" w:type="dxa"/>
              <w:right w:w="100" w:type="dxa"/>
            </w:tcMar>
            <w:shd w:fill="FFFFFF"/>
          </w:tcPr>
          <w:p>
            <w:pPr>
              <w:keepNext w:val="0"/>
              <w:spacing w:after="0" w:before="0" w:line="252" w:lineRule="auto"/>
              <w:jc w:val="center"/>
            </w:pPr>
            <w:r>
              <w:rPr>
                <w:sz w:val="20"/>
              </w:rPr>
              <w:t>IPDM</w:t>
            </w:r>
          </w:p>
        </w:tc>
        <w:tc>
          <w:tcPr>
            <w:tcW w:type="dxa" w:w="1169"/>
            <w:vAlign w:val="center"/>
            <w:tcMar>
              <w:top w:w="80" w:type="dxa"/>
              <w:bottom w:w="80" w:type="dxa"/>
              <w:left w:w="100" w:type="dxa"/>
              <w:right w:w="100" w:type="dxa"/>
            </w:tcMar>
            <w:shd w:fill="FFFFFF"/>
          </w:tcPr>
          <w:p>
            <w:pPr>
              <w:keepNext w:val="0"/>
              <w:spacing w:after="0" w:before="0" w:line="252" w:lineRule="auto"/>
              <w:jc w:val="center"/>
            </w:pPr>
            <w:r>
              <w:rPr>
                <w:sz w:val="20"/>
              </w:rPr>
              <w:t>USD</w:t>
            </w:r>
          </w:p>
        </w:tc>
        <w:tc>
          <w:tcPr>
            <w:tcW w:type="dxa" w:w="2436"/>
            <w:vAlign w:val="center"/>
            <w:tcMar>
              <w:top w:w="80" w:type="dxa"/>
              <w:bottom w:w="80" w:type="dxa"/>
              <w:left w:w="100" w:type="dxa"/>
              <w:right w:w="100" w:type="dxa"/>
            </w:tcMar>
            <w:shd w:fill="FFFFFF"/>
          </w:tcPr>
          <w:p>
            <w:pPr>
              <w:keepNext w:val="0"/>
              <w:spacing w:after="0" w:before="0" w:line="252" w:lineRule="auto"/>
              <w:jc w:val="center"/>
            </w:pPr>
            <w:r>
              <w:rPr>
                <w:sz w:val="20"/>
              </w:rPr>
              <w:t>11/Apr/2011</w:t>
            </w:r>
          </w:p>
        </w:tc>
      </w:tr>
    </w:tbl>
    <w:p>
      <w:pPr>
        <w:spacing w:after="60" w:before="0" w:line="40" w:lineRule="exact"/>
      </w:pPr>
      <w:r>
        <w:rPr>
          <w:sz w:val="4"/>
        </w:rPr>
      </w:r>
    </w:p>
    <w:p>
      <w:pPr>
        <w:pStyle w:val="Heading2"/>
        <w:pageBreakBefore w:val="0"/>
      </w:pPr>
      <w:r>
        <w:t>Sources</w:t>
      </w:r>
    </w:p>
    <w:p>
      <w:pPr>
        <w:spacing w:after="80"/>
      </w:pPr>
      <w:hyperlink r:id="rId21">
        <w:r>
          <w:rPr>
            <w:color w:val="235779"/>
            <w:u w:val="single"/>
          </w:rPr>
          <w:t>Issuer product page</w:t>
        </w:r>
      </w:hyperlink>
      <w:r>
        <w:t xml:space="preserve">  ·  </w:t>
      </w:r>
      <w:hyperlink r:id="rId22">
        <w:r>
          <w:rPr>
            <w:color w:val="235779"/>
            <w:u w:val="single"/>
          </w:rPr>
          <w:t>Saved source</w:t>
        </w:r>
      </w:hyperlink>
    </w:p>
    <w:p>
      <w:pPr>
        <w:spacing w:after="80"/>
      </w:pPr>
      <w:hyperlink r:id="rId15">
        <w:r>
          <w:rPr>
            <w:color w:val="235779"/>
            <w:u w:val="single"/>
          </w:rPr>
          <w:t>2026 base prospectus: custody, insurance and unallocated accounts</w:t>
        </w:r>
      </w:hyperlink>
      <w:r>
        <w:t xml:space="preserve">  ·  </w:t>
      </w:r>
      <w:hyperlink r:id="rId16">
        <w:r>
          <w:rPr>
            <w:color w:val="235779"/>
            <w:u w:val="single"/>
          </w:rPr>
          <w:t>Saved source</w:t>
        </w:r>
      </w:hyperlink>
    </w:p>
    <w:p>
      <w:bookmarkStart w:id="7" w:name="product_5"/>
      <w:pPr>
        <w:pStyle w:val="Heading1"/>
        <w:pageBreakBefore w:val="0"/>
        <w:spacing w:before="360"/>
      </w:pPr>
      <w:r>
        <w:t>05  iShares Physical Gold EUR Hedged ETC</w:t>
      </w:r>
      <w:bookmarkEnd w:id="7"/>
    </w:p>
    <w:p>
      <w:pPr>
        <w:keepNext/>
      </w:pPr>
      <w:r>
        <w:rPr>
          <w:b/>
        </w:rPr>
        <w:t>IGLD  |  Ireland  |  Gold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24"/>
        <w:gridCol w:w="6822"/>
      </w:tblGrid>
      <w:tr>
        <w:trPr>
          <w:tblHeader/>
          <w:cantSplit/>
        </w:trPr>
        <w:tc>
          <w:tcPr>
            <w:tcW w:type="dxa" w:w="2924"/>
            <w:vAlign w:val="center"/>
            <w:tcMar>
              <w:top w:w="80" w:type="dxa"/>
              <w:bottom w:w="80" w:type="dxa"/>
              <w:left w:w="100" w:type="dxa"/>
              <w:right w:w="100" w:type="dxa"/>
            </w:tcMar>
            <w:shd w:fill="DCE6EB"/>
          </w:tcPr>
          <w:p>
            <w:pPr>
              <w:keepNext/>
              <w:spacing w:after="0" w:before="0" w:line="252" w:lineRule="auto"/>
            </w:pPr>
            <w:r>
              <w:rPr>
                <w:b/>
                <w:sz w:val="20"/>
              </w:rPr>
              <w:t>Field</w:t>
            </w:r>
          </w:p>
        </w:tc>
        <w:tc>
          <w:tcPr>
            <w:tcW w:type="dxa" w:w="6822"/>
            <w:vAlign w:val="center"/>
            <w:tcMar>
              <w:top w:w="80" w:type="dxa"/>
              <w:bottom w:w="80" w:type="dxa"/>
              <w:left w:w="100" w:type="dxa"/>
              <w:right w:w="100" w:type="dxa"/>
            </w:tcMar>
            <w:shd w:fill="DCE6EB"/>
          </w:tcPr>
          <w:p>
            <w:pPr>
              <w:keepNext/>
              <w:spacing w:after="0" w:before="0" w:line="252" w:lineRule="auto"/>
              <w:jc w:val="center"/>
            </w:pPr>
            <w:r>
              <w:rPr>
                <w:b/>
                <w:sz w:val="20"/>
              </w:rPr>
              <w:t>Detail</w:t>
            </w:r>
          </w:p>
        </w:tc>
      </w:tr>
      <w:tr>
        <w:trPr>
          <w:cantSplit/>
        </w:trPr>
        <w:tc>
          <w:tcPr>
            <w:tcW w:type="dxa" w:w="2924"/>
            <w:vAlign w:val="center"/>
            <w:tcMar>
              <w:top w:w="80" w:type="dxa"/>
              <w:bottom w:w="80" w:type="dxa"/>
              <w:left w:w="100" w:type="dxa"/>
              <w:right w:w="100" w:type="dxa"/>
            </w:tcMar>
            <w:shd w:fill="FFFFFF"/>
          </w:tcPr>
          <w:p>
            <w:pPr>
              <w:keepNext w:val="0"/>
              <w:spacing w:after="0" w:before="0" w:line="252" w:lineRule="auto"/>
            </w:pPr>
            <w:r>
              <w:rPr>
                <w:sz w:val="20"/>
              </w:rPr>
              <w:t>Legal form</w:t>
            </w:r>
          </w:p>
        </w:tc>
        <w:tc>
          <w:tcPr>
            <w:tcW w:type="dxa" w:w="6822"/>
            <w:vAlign w:val="center"/>
            <w:tcMar>
              <w:top w:w="80" w:type="dxa"/>
              <w:bottom w:w="80" w:type="dxa"/>
              <w:left w:w="100" w:type="dxa"/>
              <w:right w:w="100" w:type="dxa"/>
            </w:tcMar>
            <w:shd w:fill="FFFFFF"/>
          </w:tcPr>
          <w:p>
            <w:pPr>
              <w:keepNext w:val="0"/>
              <w:spacing w:after="0" w:before="0" w:line="252" w:lineRule="auto"/>
            </w:pPr>
            <w:r>
              <w:rPr>
                <w:sz w:val="20"/>
              </w:rPr>
              <w:t>Secured debt ETC; not a UCITS fund</w:t>
            </w:r>
          </w:p>
        </w:tc>
      </w:tr>
      <w:tr>
        <w:trPr>
          <w:cantSplit/>
        </w:trPr>
        <w:tc>
          <w:tcPr>
            <w:tcW w:type="dxa" w:w="2924"/>
            <w:vAlign w:val="center"/>
            <w:tcMar>
              <w:top w:w="80" w:type="dxa"/>
              <w:bottom w:w="80" w:type="dxa"/>
              <w:left w:w="100" w:type="dxa"/>
              <w:right w:w="100" w:type="dxa"/>
            </w:tcMar>
            <w:shd w:fill="F4F7F8"/>
          </w:tcPr>
          <w:p>
            <w:pPr>
              <w:keepNext w:val="0"/>
              <w:spacing w:after="0" w:before="0" w:line="252" w:lineRule="auto"/>
            </w:pPr>
            <w:r>
              <w:rPr>
                <w:sz w:val="20"/>
              </w:rPr>
              <w:t>Issuer or sponsor</w:t>
            </w:r>
          </w:p>
        </w:tc>
        <w:tc>
          <w:tcPr>
            <w:tcW w:type="dxa" w:w="6822"/>
            <w:vAlign w:val="center"/>
            <w:tcMar>
              <w:top w:w="80" w:type="dxa"/>
              <w:bottom w:w="80" w:type="dxa"/>
              <w:left w:w="100" w:type="dxa"/>
              <w:right w:w="100" w:type="dxa"/>
            </w:tcMar>
            <w:shd w:fill="F4F7F8"/>
          </w:tcPr>
          <w:p>
            <w:pPr>
              <w:keepNext w:val="0"/>
              <w:spacing w:after="0" w:before="0" w:line="252" w:lineRule="auto"/>
            </w:pPr>
            <w:r>
              <w:rPr>
                <w:sz w:val="20"/>
              </w:rPr>
              <w:t>iShares Physical Metals plc</w:t>
            </w:r>
          </w:p>
        </w:tc>
      </w:tr>
      <w:tr>
        <w:trPr>
          <w:cantSplit/>
        </w:trPr>
        <w:tc>
          <w:tcPr>
            <w:tcW w:type="dxa" w:w="2924"/>
            <w:vAlign w:val="center"/>
            <w:tcMar>
              <w:top w:w="80" w:type="dxa"/>
              <w:bottom w:w="80" w:type="dxa"/>
              <w:left w:w="100" w:type="dxa"/>
              <w:right w:w="100" w:type="dxa"/>
            </w:tcMar>
            <w:shd w:fill="FFFFFF"/>
          </w:tcPr>
          <w:p>
            <w:pPr>
              <w:keepNext w:val="0"/>
              <w:spacing w:after="0" w:before="0" w:line="252" w:lineRule="auto"/>
            </w:pPr>
            <w:r>
              <w:rPr>
                <w:sz w:val="20"/>
              </w:rPr>
              <w:t>Launch or class inception</w:t>
            </w:r>
          </w:p>
        </w:tc>
        <w:tc>
          <w:tcPr>
            <w:tcW w:type="dxa" w:w="6822"/>
            <w:vAlign w:val="center"/>
            <w:tcMar>
              <w:top w:w="80" w:type="dxa"/>
              <w:bottom w:w="80" w:type="dxa"/>
              <w:left w:w="100" w:type="dxa"/>
              <w:right w:w="100" w:type="dxa"/>
            </w:tcMar>
            <w:shd w:fill="FFFFFF"/>
          </w:tcPr>
          <w:p>
            <w:pPr>
              <w:keepNext w:val="0"/>
              <w:spacing w:after="0" w:before="0" w:line="252" w:lineRule="auto"/>
              <w:jc w:val="center"/>
            </w:pPr>
            <w:r>
              <w:rPr>
                <w:sz w:val="20"/>
              </w:rPr>
              <w:t>05/Jul/2022</w:t>
            </w:r>
          </w:p>
        </w:tc>
      </w:tr>
      <w:tr>
        <w:trPr>
          <w:cantSplit/>
        </w:trPr>
        <w:tc>
          <w:tcPr>
            <w:tcW w:type="dxa" w:w="2924"/>
            <w:vAlign w:val="center"/>
            <w:tcMar>
              <w:top w:w="80" w:type="dxa"/>
              <w:bottom w:w="80" w:type="dxa"/>
              <w:left w:w="100" w:type="dxa"/>
              <w:right w:w="100" w:type="dxa"/>
            </w:tcMar>
            <w:shd w:fill="F4F7F8"/>
          </w:tcPr>
          <w:p>
            <w:pPr>
              <w:keepNext w:val="0"/>
              <w:spacing w:after="0" w:before="0" w:line="252" w:lineRule="auto"/>
            </w:pPr>
            <w:r>
              <w:rPr>
                <w:sz w:val="20"/>
              </w:rPr>
              <w:t>ISIN / CUSIP</w:t>
            </w:r>
          </w:p>
        </w:tc>
        <w:tc>
          <w:tcPr>
            <w:tcW w:type="dxa" w:w="6822"/>
            <w:vAlign w:val="center"/>
            <w:tcMar>
              <w:top w:w="80" w:type="dxa"/>
              <w:bottom w:w="80" w:type="dxa"/>
              <w:left w:w="100" w:type="dxa"/>
              <w:right w:w="100" w:type="dxa"/>
            </w:tcMar>
            <w:shd w:fill="F4F7F8"/>
          </w:tcPr>
          <w:p>
            <w:pPr>
              <w:keepNext w:val="0"/>
              <w:spacing w:after="0" w:before="0" w:line="252" w:lineRule="auto"/>
              <w:jc w:val="center"/>
            </w:pPr>
            <w:r>
              <w:rPr>
                <w:sz w:val="20"/>
              </w:rPr>
              <w:t>IE0009JOT9U1</w:t>
            </w:r>
          </w:p>
        </w:tc>
      </w:tr>
      <w:tr>
        <w:trPr>
          <w:cantSplit/>
        </w:trPr>
        <w:tc>
          <w:tcPr>
            <w:tcW w:type="dxa" w:w="2924"/>
            <w:vAlign w:val="center"/>
            <w:tcMar>
              <w:top w:w="80" w:type="dxa"/>
              <w:bottom w:w="80" w:type="dxa"/>
              <w:left w:w="100" w:type="dxa"/>
              <w:right w:w="100" w:type="dxa"/>
            </w:tcMar>
            <w:shd w:fill="FFFFFF"/>
          </w:tcPr>
          <w:p>
            <w:pPr>
              <w:keepNext w:val="0"/>
              <w:spacing w:after="0" w:before="0" w:line="252" w:lineRule="auto"/>
            </w:pPr>
            <w:r>
              <w:rPr>
                <w:sz w:val="20"/>
              </w:rPr>
              <w:t>Reported net assets</w:t>
            </w:r>
          </w:p>
        </w:tc>
        <w:tc>
          <w:tcPr>
            <w:tcW w:type="dxa" w:w="6822"/>
            <w:vAlign w:val="center"/>
            <w:tcMar>
              <w:top w:w="80" w:type="dxa"/>
              <w:bottom w:w="80" w:type="dxa"/>
              <w:left w:w="100" w:type="dxa"/>
              <w:right w:w="100" w:type="dxa"/>
            </w:tcMar>
            <w:shd w:fill="FFFFFF"/>
          </w:tcPr>
          <w:p>
            <w:pPr>
              <w:keepNext w:val="0"/>
              <w:spacing w:after="0" w:before="0" w:line="252" w:lineRule="auto"/>
            </w:pPr>
            <w:r>
              <w:rPr>
                <w:sz w:val="20"/>
              </w:rPr>
              <w:t>EUR 666,824,017.00 as of 2026-09-22</w:t>
            </w:r>
          </w:p>
        </w:tc>
      </w:tr>
      <w:tr>
        <w:trPr>
          <w:cantSplit/>
        </w:trPr>
        <w:tc>
          <w:tcPr>
            <w:tcW w:type="dxa" w:w="2924"/>
            <w:vAlign w:val="center"/>
            <w:tcMar>
              <w:top w:w="80" w:type="dxa"/>
              <w:bottom w:w="80" w:type="dxa"/>
              <w:left w:w="100" w:type="dxa"/>
              <w:right w:w="100" w:type="dxa"/>
            </w:tcMar>
            <w:shd w:fill="F4F7F8"/>
          </w:tcPr>
          <w:p>
            <w:pPr>
              <w:keepNext w:val="0"/>
              <w:spacing w:after="0" w:before="0" w:line="252" w:lineRule="auto"/>
            </w:pPr>
            <w:r>
              <w:rPr>
                <w:sz w:val="20"/>
              </w:rPr>
              <w:t>Asset basis</w:t>
            </w:r>
          </w:p>
        </w:tc>
        <w:tc>
          <w:tcPr>
            <w:tcW w:type="dxa" w:w="6822"/>
            <w:vAlign w:val="center"/>
            <w:tcMar>
              <w:top w:w="80" w:type="dxa"/>
              <w:bottom w:w="80" w:type="dxa"/>
              <w:left w:w="100" w:type="dxa"/>
              <w:right w:w="100" w:type="dxa"/>
            </w:tcMar>
            <w:shd w:fill="F4F7F8"/>
          </w:tcPr>
          <w:p>
            <w:pPr>
              <w:keepNext w:val="0"/>
              <w:spacing w:after="0" w:before="0" w:line="252" w:lineRule="auto"/>
            </w:pPr>
            <w:r>
              <w:rPr>
                <w:sz w:val="20"/>
              </w:rPr>
              <w:t>Fund / trust / ETC series</w:t>
            </w:r>
          </w:p>
        </w:tc>
      </w:tr>
      <w:tr>
        <w:trPr>
          <w:cantSplit/>
        </w:trPr>
        <w:tc>
          <w:tcPr>
            <w:tcW w:type="dxa" w:w="2924"/>
            <w:vAlign w:val="center"/>
            <w:tcMar>
              <w:top w:w="80" w:type="dxa"/>
              <w:bottom w:w="80" w:type="dxa"/>
              <w:left w:w="100" w:type="dxa"/>
              <w:right w:w="100" w:type="dxa"/>
            </w:tcMar>
            <w:shd w:fill="FFFFFF"/>
          </w:tcPr>
          <w:p>
            <w:pPr>
              <w:keepNext w:val="0"/>
              <w:spacing w:after="0" w:before="0" w:line="252" w:lineRule="auto"/>
            </w:pPr>
            <w:r>
              <w:rPr>
                <w:sz w:val="20"/>
              </w:rPr>
              <w:t>Currency exposure</w:t>
            </w:r>
          </w:p>
        </w:tc>
        <w:tc>
          <w:tcPr>
            <w:tcW w:type="dxa" w:w="6822"/>
            <w:vAlign w:val="center"/>
            <w:tcMar>
              <w:top w:w="80" w:type="dxa"/>
              <w:bottom w:w="80" w:type="dxa"/>
              <w:left w:w="100" w:type="dxa"/>
              <w:right w:w="100" w:type="dxa"/>
            </w:tcMar>
            <w:shd w:fill="FFFFFF"/>
          </w:tcPr>
          <w:p>
            <w:pPr>
              <w:keepNext w:val="0"/>
              <w:spacing w:after="0" w:before="0" w:line="252" w:lineRule="auto"/>
              <w:jc w:val="center"/>
            </w:pPr>
            <w:r>
              <w:rPr>
                <w:sz w:val="20"/>
              </w:rPr>
              <w:t>EUR hedged</w:t>
            </w:r>
          </w:p>
        </w:tc>
      </w:tr>
      <w:tr>
        <w:trPr>
          <w:cantSplit/>
        </w:trPr>
        <w:tc>
          <w:tcPr>
            <w:tcW w:type="dxa" w:w="2924"/>
            <w:vAlign w:val="center"/>
            <w:tcMar>
              <w:top w:w="80" w:type="dxa"/>
              <w:bottom w:w="80" w:type="dxa"/>
              <w:left w:w="100" w:type="dxa"/>
              <w:right w:w="100" w:type="dxa"/>
            </w:tcMar>
            <w:shd w:fill="F4F7F8"/>
          </w:tcPr>
          <w:p>
            <w:pPr>
              <w:keepNext w:val="0"/>
              <w:spacing w:after="0" w:before="0" w:line="252" w:lineRule="auto"/>
            </w:pPr>
            <w:r>
              <w:rPr>
                <w:sz w:val="20"/>
              </w:rPr>
              <w:t>Annual fee</w:t>
            </w:r>
          </w:p>
        </w:tc>
        <w:tc>
          <w:tcPr>
            <w:tcW w:type="dxa" w:w="6822"/>
            <w:vAlign w:val="center"/>
            <w:tcMar>
              <w:top w:w="80" w:type="dxa"/>
              <w:bottom w:w="80" w:type="dxa"/>
              <w:left w:w="100" w:type="dxa"/>
              <w:right w:w="100" w:type="dxa"/>
            </w:tcMar>
            <w:shd w:fill="F4F7F8"/>
          </w:tcPr>
          <w:p>
            <w:pPr>
              <w:keepNext w:val="0"/>
              <w:spacing w:after="0" w:before="0" w:line="252" w:lineRule="auto"/>
              <w:jc w:val="center"/>
            </w:pPr>
            <w:r>
              <w:rPr>
                <w:sz w:val="20"/>
              </w:rPr>
              <w:t>0.25% — TER</w:t>
            </w:r>
          </w:p>
        </w:tc>
      </w:tr>
      <w:tr>
        <w:trPr>
          <w:cantSplit/>
        </w:trPr>
        <w:tc>
          <w:tcPr>
            <w:tcW w:type="dxa" w:w="2924"/>
            <w:vAlign w:val="center"/>
            <w:tcMar>
              <w:top w:w="80" w:type="dxa"/>
              <w:bottom w:w="80" w:type="dxa"/>
              <w:left w:w="100" w:type="dxa"/>
              <w:right w:w="100" w:type="dxa"/>
            </w:tcMar>
            <w:shd w:fill="FFFFFF"/>
          </w:tcPr>
          <w:p>
            <w:pPr>
              <w:keepNext w:val="0"/>
              <w:spacing w:after="0" w:before="0" w:line="252" w:lineRule="auto"/>
            </w:pPr>
            <w:r>
              <w:rPr>
                <w:sz w:val="20"/>
              </w:rPr>
              <w:t>Custodian</w:t>
            </w:r>
          </w:p>
        </w:tc>
        <w:tc>
          <w:tcPr>
            <w:tcW w:type="dxa" w:w="6822"/>
            <w:vAlign w:val="center"/>
            <w:tcMar>
              <w:top w:w="80" w:type="dxa"/>
              <w:bottom w:w="80" w:type="dxa"/>
              <w:left w:w="100" w:type="dxa"/>
              <w:right w:w="100" w:type="dxa"/>
            </w:tcMar>
            <w:shd w:fill="FFFFFF"/>
          </w:tcPr>
          <w:p>
            <w:pPr>
              <w:keepNext w:val="0"/>
              <w:spacing w:after="0" w:before="0" w:line="252" w:lineRule="auto"/>
            </w:pPr>
            <w:r>
              <w:rPr>
                <w:sz w:val="20"/>
              </w:rPr>
              <w:t>JPMorgan Chase Bank N.A., London Branch</w:t>
            </w:r>
          </w:p>
        </w:tc>
      </w:tr>
      <w:tr>
        <w:trPr>
          <w:cantSplit/>
        </w:trPr>
        <w:tc>
          <w:tcPr>
            <w:tcW w:type="dxa" w:w="2924"/>
            <w:vAlign w:val="center"/>
            <w:tcMar>
              <w:top w:w="80" w:type="dxa"/>
              <w:bottom w:w="80" w:type="dxa"/>
              <w:left w:w="100" w:type="dxa"/>
              <w:right w:w="100" w:type="dxa"/>
            </w:tcMar>
            <w:shd w:fill="F4F7F8"/>
          </w:tcPr>
          <w:p>
            <w:pPr>
              <w:keepNext w:val="0"/>
              <w:spacing w:after="0" w:before="0" w:line="252" w:lineRule="auto"/>
            </w:pPr>
            <w:r>
              <w:rPr>
                <w:sz w:val="20"/>
              </w:rPr>
              <w:t>Custody evidence date</w:t>
            </w:r>
          </w:p>
        </w:tc>
        <w:tc>
          <w:tcPr>
            <w:tcW w:type="dxa" w:w="6822"/>
            <w:vAlign w:val="center"/>
            <w:tcMar>
              <w:top w:w="80" w:type="dxa"/>
              <w:bottom w:w="80" w:type="dxa"/>
              <w:left w:w="100" w:type="dxa"/>
              <w:right w:w="100" w:type="dxa"/>
            </w:tcMar>
            <w:shd w:fill="F4F7F8"/>
          </w:tcPr>
          <w:p>
            <w:pPr>
              <w:keepNext w:val="0"/>
              <w:spacing w:after="0" w:before="0" w:line="252" w:lineRule="auto"/>
              <w:jc w:val="center"/>
            </w:pPr>
            <w:r>
              <w:rPr>
                <w:sz w:val="20"/>
              </w:rPr>
              <w:t>2026-09-23</w:t>
            </w:r>
          </w:p>
        </w:tc>
      </w:tr>
      <w:tr>
        <w:trPr>
          <w:cantSplit/>
        </w:trPr>
        <w:tc>
          <w:tcPr>
            <w:tcW w:type="dxa" w:w="2924"/>
            <w:vAlign w:val="center"/>
            <w:tcMar>
              <w:top w:w="80" w:type="dxa"/>
              <w:bottom w:w="80" w:type="dxa"/>
              <w:left w:w="100" w:type="dxa"/>
              <w:right w:w="100" w:type="dxa"/>
            </w:tcMar>
            <w:shd w:fill="FFFFFF"/>
          </w:tcPr>
          <w:p>
            <w:pPr>
              <w:keepNext w:val="0"/>
              <w:spacing w:after="0" w:before="0" w:line="252" w:lineRule="auto"/>
            </w:pPr>
            <w:r>
              <w:rPr>
                <w:sz w:val="20"/>
              </w:rPr>
              <w:t>Reported metal quantity</w:t>
            </w:r>
          </w:p>
        </w:tc>
        <w:tc>
          <w:tcPr>
            <w:tcW w:type="dxa" w:w="6822"/>
            <w:vAlign w:val="center"/>
            <w:tcMar>
              <w:top w:w="80" w:type="dxa"/>
              <w:bottom w:w="80" w:type="dxa"/>
              <w:left w:w="100" w:type="dxa"/>
              <w:right w:w="100" w:type="dxa"/>
            </w:tcMar>
            <w:shd w:fill="FFFFFF"/>
          </w:tcPr>
          <w:p>
            <w:pPr>
              <w:keepNext w:val="0"/>
              <w:spacing w:after="0" w:before="0" w:line="252" w:lineRule="auto"/>
            </w:pPr>
            <w:r>
              <w:rPr>
                <w:sz w:val="20"/>
              </w:rPr>
              <w:t>176,534.23 troy ounces; 5.49 tonnes; dated 2026-09-22 — Issuer product-page quantity</w:t>
            </w:r>
          </w:p>
        </w:tc>
      </w:tr>
    </w:tbl>
    <w:p>
      <w:pPr>
        <w:spacing w:after="60" w:before="0" w:line="40" w:lineRule="exact"/>
      </w:pPr>
      <w:r>
        <w:rPr>
          <w:sz w:val="4"/>
        </w:rPr>
      </w:r>
    </w:p>
    <w:p>
      <w:r>
        <w:rPr>
          <w:b/>
        </w:rPr>
        <w:t xml:space="preserve">Fee definition. </w:t>
      </w:r>
      <w:r>
        <w:t>Total expense ratio reported by issuer.</w:t>
      </w:r>
    </w:p>
    <w:p>
      <w:r>
        <w:rPr>
          <w:b/>
        </w:rPr>
        <w:t xml:space="preserve">Allocation. </w:t>
      </w:r>
      <w:r>
        <w:t>The series is backed by allocated metal. Metal must be allocated before securities are issued. Transfers can pass through unallocated accounts, with custodian credit exposure during those periods.</w:t>
      </w:r>
    </w:p>
    <w:p>
      <w:r>
        <w:rPr>
          <w:b/>
        </w:rPr>
        <w:t xml:space="preserve">Bullion storage. </w:t>
      </w:r>
      <w:r>
        <w:t>Prospectus location: London vaults of the custodian or subcustodian. This is the contractual location policy, not a reconciliation of today’s bar inventory by vault.</w:t>
      </w:r>
    </w:p>
    <w:p>
      <w:r>
        <w:rPr>
          <w:b/>
        </w:rPr>
        <w:t xml:space="preserve">Location holding limits. </w:t>
      </w:r>
      <w:r>
        <w:t>The Irish base prospectus places all underlying allocated gold and silver in London custodian/subcustodian vaults. It does not specify a numerical limit per individual London vault in the reviewed location clause. This is a location requirement for allocated bullion, not a requirement that every fund asset or hedge be physically in London. The custody-agreement summary on PDF pages 145–146 specifies London for gold/silver subcustody and London or a Swiss fiscal warehouse in Zurich for platinum/palladium. No US location is permitted in these reviewed provisions. The executed series agreements and complete later-document chain remain to be confirmed.</w:t>
      </w:r>
    </w:p>
    <w:p>
      <w:r>
        <w:rPr>
          <w:b/>
        </w:rPr>
        <w:t xml:space="preserve">Limit scope. </w:t>
      </w:r>
      <w:r>
        <w:t>Allocated bullion backing the Irish ETC series</w:t>
      </w:r>
    </w:p>
    <w:p>
      <w:r>
        <w:rPr>
          <w:b/>
        </w:rPr>
        <w:t xml:space="preserve">Custody verification. </w:t>
      </w:r>
      <w:r>
        <w:t>Published base prospectus dated 11 May 2026, including custody summary, reviewed. US storage permission is not established. Executed series custody agreements and a complete post-base supplement/final-terms chain have not been obtained.</w:t>
      </w:r>
    </w:p>
    <w:p>
      <w:r>
        <w:rPr>
          <w:b/>
        </w:rPr>
        <w:t xml:space="preserve">Location clause source. </w:t>
      </w:r>
      <w:hyperlink r:id="rId12">
        <w:r>
          <w:rPr>
            <w:color w:val="235779"/>
            <w:u w:val="single"/>
          </w:rPr>
          <w:t>2026 base prospectus: custody, insurance and unallocated accounts</w:t>
        </w:r>
      </w:hyperlink>
      <w:r>
        <w:t xml:space="preserve"> — Custody and Insurance, PDF page 56; Custody Agreement summary, PDF pages 145–148 (especially 146(iii))</w:t>
      </w:r>
    </w:p>
    <w:p>
      <w:pPr>
        <w:pStyle w:val="Heading2"/>
        <w:pageBreakBefore w:val="0"/>
      </w:pPr>
      <w:r>
        <w:t>Recorded listings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86"/>
        <w:gridCol w:w="1754"/>
        <w:gridCol w:w="1169"/>
        <w:gridCol w:w="2436"/>
      </w:tblGrid>
      <w:tr>
        <w:trPr>
          <w:tblHeader/>
          <w:cantSplit/>
        </w:trPr>
        <w:tc>
          <w:tcPr>
            <w:tcW w:type="dxa" w:w="4386"/>
            <w:vAlign w:val="center"/>
            <w:tcMar>
              <w:top w:w="80" w:type="dxa"/>
              <w:bottom w:w="80" w:type="dxa"/>
              <w:left w:w="100" w:type="dxa"/>
              <w:right w:w="100" w:type="dxa"/>
            </w:tcMar>
            <w:shd w:fill="DCE6EB"/>
          </w:tcPr>
          <w:p>
            <w:pPr>
              <w:keepNext/>
              <w:spacing w:after="0" w:before="0" w:line="252" w:lineRule="auto"/>
            </w:pPr>
            <w:r>
              <w:rPr>
                <w:b/>
                <w:sz w:val="20"/>
              </w:rPr>
              <w:t>Exchange</w:t>
            </w:r>
          </w:p>
        </w:tc>
        <w:tc>
          <w:tcPr>
            <w:tcW w:type="dxa" w:w="1754"/>
            <w:vAlign w:val="center"/>
            <w:tcMar>
              <w:top w:w="80" w:type="dxa"/>
              <w:bottom w:w="80" w:type="dxa"/>
              <w:left w:w="100" w:type="dxa"/>
              <w:right w:w="100" w:type="dxa"/>
            </w:tcMar>
            <w:shd w:fill="DCE6EB"/>
          </w:tcPr>
          <w:p>
            <w:pPr>
              <w:keepNext/>
              <w:spacing w:after="0" w:before="0" w:line="252" w:lineRule="auto"/>
              <w:jc w:val="center"/>
            </w:pPr>
            <w:r>
              <w:rPr>
                <w:b/>
                <w:sz w:val="20"/>
              </w:rPr>
              <w:t>Ticker</w:t>
            </w:r>
          </w:p>
        </w:tc>
        <w:tc>
          <w:tcPr>
            <w:tcW w:type="dxa" w:w="1169"/>
            <w:vAlign w:val="center"/>
            <w:tcMar>
              <w:top w:w="80" w:type="dxa"/>
              <w:bottom w:w="80" w:type="dxa"/>
              <w:left w:w="100" w:type="dxa"/>
              <w:right w:w="100" w:type="dxa"/>
            </w:tcMar>
            <w:shd w:fill="DCE6EB"/>
          </w:tcPr>
          <w:p>
            <w:pPr>
              <w:keepNext/>
              <w:spacing w:after="0" w:before="0" w:line="252" w:lineRule="auto"/>
              <w:jc w:val="center"/>
            </w:pPr>
            <w:r>
              <w:rPr>
                <w:b/>
                <w:sz w:val="20"/>
              </w:rPr>
              <w:t>Currency</w:t>
            </w:r>
          </w:p>
        </w:tc>
        <w:tc>
          <w:tcPr>
            <w:tcW w:type="dxa" w:w="2436"/>
            <w:vAlign w:val="center"/>
            <w:tcMar>
              <w:top w:w="80" w:type="dxa"/>
              <w:bottom w:w="80" w:type="dxa"/>
              <w:left w:w="100" w:type="dxa"/>
              <w:right w:w="100" w:type="dxa"/>
            </w:tcMar>
            <w:shd w:fill="DCE6EB"/>
          </w:tcPr>
          <w:p>
            <w:pPr>
              <w:keepNext/>
              <w:spacing w:after="0" w:before="0" w:line="252" w:lineRule="auto"/>
              <w:jc w:val="center"/>
            </w:pPr>
            <w:r>
              <w:rPr>
                <w:b/>
                <w:sz w:val="20"/>
              </w:rPr>
              <w:t>Listing date</w:t>
            </w:r>
          </w:p>
        </w:tc>
      </w:tr>
      <w:tr>
        <w:trPr>
          <w:cantSplit/>
        </w:trPr>
        <w:tc>
          <w:tcPr>
            <w:tcW w:type="dxa" w:w="4386"/>
            <w:vAlign w:val="center"/>
            <w:tcMar>
              <w:top w:w="80" w:type="dxa"/>
              <w:bottom w:w="80" w:type="dxa"/>
              <w:left w:w="100" w:type="dxa"/>
              <w:right w:w="100" w:type="dxa"/>
            </w:tcMar>
            <w:shd w:fill="FFFFFF"/>
          </w:tcPr>
          <w:p>
            <w:pPr>
              <w:keepNext w:val="0"/>
              <w:spacing w:after="0" w:before="0" w:line="252" w:lineRule="auto"/>
            </w:pPr>
            <w:r>
              <w:rPr>
                <w:sz w:val="20"/>
              </w:rPr>
              <w:t>Nyse Euronext - Euronext Paris</w:t>
            </w:r>
          </w:p>
        </w:tc>
        <w:tc>
          <w:tcPr>
            <w:tcW w:type="dxa" w:w="1754"/>
            <w:vAlign w:val="center"/>
            <w:tcMar>
              <w:top w:w="80" w:type="dxa"/>
              <w:bottom w:w="80" w:type="dxa"/>
              <w:left w:w="100" w:type="dxa"/>
              <w:right w:w="100" w:type="dxa"/>
            </w:tcMar>
            <w:shd w:fill="FFFFFF"/>
          </w:tcPr>
          <w:p>
            <w:pPr>
              <w:keepNext w:val="0"/>
              <w:spacing w:after="0" w:before="0" w:line="252" w:lineRule="auto"/>
              <w:jc w:val="center"/>
            </w:pPr>
            <w:r>
              <w:rPr>
                <w:sz w:val="20"/>
              </w:rPr>
              <w:t>IGLD</w:t>
            </w:r>
          </w:p>
        </w:tc>
        <w:tc>
          <w:tcPr>
            <w:tcW w:type="dxa" w:w="1169"/>
            <w:vAlign w:val="center"/>
            <w:tcMar>
              <w:top w:w="80" w:type="dxa"/>
              <w:bottom w:w="80" w:type="dxa"/>
              <w:left w:w="100" w:type="dxa"/>
              <w:right w:w="100" w:type="dxa"/>
            </w:tcMar>
            <w:shd w:fill="FFFFFF"/>
          </w:tcPr>
          <w:p>
            <w:pPr>
              <w:keepNext w:val="0"/>
              <w:spacing w:after="0" w:before="0" w:line="252" w:lineRule="auto"/>
              <w:jc w:val="center"/>
            </w:pPr>
            <w:r>
              <w:rPr>
                <w:sz w:val="20"/>
              </w:rPr>
              <w:t>EUR</w:t>
            </w:r>
          </w:p>
        </w:tc>
        <w:tc>
          <w:tcPr>
            <w:tcW w:type="dxa" w:w="2436"/>
            <w:vAlign w:val="center"/>
            <w:tcMar>
              <w:top w:w="80" w:type="dxa"/>
              <w:bottom w:w="80" w:type="dxa"/>
              <w:left w:w="100" w:type="dxa"/>
              <w:right w:w="100" w:type="dxa"/>
            </w:tcMar>
            <w:shd w:fill="FFFFFF"/>
          </w:tcPr>
          <w:p>
            <w:pPr>
              <w:keepNext w:val="0"/>
              <w:spacing w:after="0" w:before="0" w:line="252" w:lineRule="auto"/>
              <w:jc w:val="center"/>
            </w:pPr>
            <w:r>
              <w:rPr>
                <w:sz w:val="20"/>
              </w:rPr>
              <w:t>10/Sept/2026</w:t>
            </w:r>
          </w:p>
        </w:tc>
      </w:tr>
      <w:tr>
        <w:trPr>
          <w:cantSplit/>
        </w:trPr>
        <w:tc>
          <w:tcPr>
            <w:tcW w:type="dxa" w:w="4386"/>
            <w:vAlign w:val="center"/>
            <w:tcMar>
              <w:top w:w="80" w:type="dxa"/>
              <w:bottom w:w="80" w:type="dxa"/>
              <w:left w:w="100" w:type="dxa"/>
              <w:right w:w="100" w:type="dxa"/>
            </w:tcMar>
            <w:shd w:fill="F4F7F8"/>
          </w:tcPr>
          <w:p>
            <w:pPr>
              <w:keepNext w:val="0"/>
              <w:spacing w:after="0" w:before="0" w:line="252" w:lineRule="auto"/>
            </w:pPr>
            <w:r>
              <w:rPr>
                <w:sz w:val="20"/>
              </w:rPr>
              <w:t>Xetra</w:t>
            </w:r>
          </w:p>
        </w:tc>
        <w:tc>
          <w:tcPr>
            <w:tcW w:type="dxa" w:w="1754"/>
            <w:vAlign w:val="center"/>
            <w:tcMar>
              <w:top w:w="80" w:type="dxa"/>
              <w:bottom w:w="80" w:type="dxa"/>
              <w:left w:w="100" w:type="dxa"/>
              <w:right w:w="100" w:type="dxa"/>
            </w:tcMar>
            <w:shd w:fill="F4F7F8"/>
          </w:tcPr>
          <w:p>
            <w:pPr>
              <w:keepNext w:val="0"/>
              <w:spacing w:after="0" w:before="0" w:line="252" w:lineRule="auto"/>
              <w:jc w:val="center"/>
            </w:pPr>
            <w:r>
              <w:rPr>
                <w:sz w:val="20"/>
              </w:rPr>
              <w:t>IGLD</w:t>
            </w:r>
          </w:p>
        </w:tc>
        <w:tc>
          <w:tcPr>
            <w:tcW w:type="dxa" w:w="1169"/>
            <w:vAlign w:val="center"/>
            <w:tcMar>
              <w:top w:w="80" w:type="dxa"/>
              <w:bottom w:w="80" w:type="dxa"/>
              <w:left w:w="100" w:type="dxa"/>
              <w:right w:w="100" w:type="dxa"/>
            </w:tcMar>
            <w:shd w:fill="F4F7F8"/>
          </w:tcPr>
          <w:p>
            <w:pPr>
              <w:keepNext w:val="0"/>
              <w:spacing w:after="0" w:before="0" w:line="252" w:lineRule="auto"/>
              <w:jc w:val="center"/>
            </w:pPr>
            <w:r>
              <w:rPr>
                <w:sz w:val="20"/>
              </w:rPr>
              <w:t>EUR</w:t>
            </w:r>
          </w:p>
        </w:tc>
        <w:tc>
          <w:tcPr>
            <w:tcW w:type="dxa" w:w="2436"/>
            <w:vAlign w:val="center"/>
            <w:tcMar>
              <w:top w:w="80" w:type="dxa"/>
              <w:bottom w:w="80" w:type="dxa"/>
              <w:left w:w="100" w:type="dxa"/>
              <w:right w:w="100" w:type="dxa"/>
            </w:tcMar>
            <w:shd w:fill="F4F7F8"/>
          </w:tcPr>
          <w:p>
            <w:pPr>
              <w:keepNext w:val="0"/>
              <w:spacing w:after="0" w:before="0" w:line="252" w:lineRule="auto"/>
              <w:jc w:val="center"/>
            </w:pPr>
            <w:r>
              <w:rPr>
                <w:sz w:val="20"/>
              </w:rPr>
              <w:t>07/Jul/2022</w:t>
            </w:r>
          </w:p>
        </w:tc>
      </w:tr>
    </w:tbl>
    <w:p>
      <w:pPr>
        <w:spacing w:after="60" w:before="0" w:line="40" w:lineRule="exact"/>
      </w:pPr>
      <w:r>
        <w:rPr>
          <w:sz w:val="4"/>
        </w:rPr>
      </w:r>
    </w:p>
    <w:p>
      <w:pPr>
        <w:pStyle w:val="Heading2"/>
        <w:pageBreakBefore w:val="0"/>
      </w:pPr>
      <w:r>
        <w:t>Sources</w:t>
      </w:r>
    </w:p>
    <w:p>
      <w:pPr>
        <w:spacing w:after="80"/>
      </w:pPr>
      <w:hyperlink r:id="rId23">
        <w:r>
          <w:rPr>
            <w:color w:val="235779"/>
            <w:u w:val="single"/>
          </w:rPr>
          <w:t>Issuer product page</w:t>
        </w:r>
      </w:hyperlink>
      <w:r>
        <w:t xml:space="preserve">  ·  </w:t>
      </w:r>
      <w:hyperlink r:id="rId24">
        <w:r>
          <w:rPr>
            <w:color w:val="235779"/>
            <w:u w:val="single"/>
          </w:rPr>
          <w:t>Saved source</w:t>
        </w:r>
      </w:hyperlink>
    </w:p>
    <w:p>
      <w:pPr>
        <w:spacing w:after="80"/>
      </w:pPr>
      <w:hyperlink r:id="rId15">
        <w:r>
          <w:rPr>
            <w:color w:val="235779"/>
            <w:u w:val="single"/>
          </w:rPr>
          <w:t>2026 base prospectus: custody, insurance and unallocated accounts</w:t>
        </w:r>
      </w:hyperlink>
      <w:r>
        <w:t xml:space="preserve">  ·  </w:t>
      </w:r>
      <w:hyperlink r:id="rId16">
        <w:r>
          <w:rPr>
            <w:color w:val="235779"/>
            <w:u w:val="single"/>
          </w:rPr>
          <w:t>Saved source</w:t>
        </w:r>
      </w:hyperlink>
    </w:p>
    <w:p>
      <w:bookmarkStart w:id="8" w:name="product_6"/>
      <w:pPr>
        <w:pStyle w:val="Heading1"/>
        <w:pageBreakBefore w:val="0"/>
        <w:spacing w:before="360"/>
      </w:pPr>
      <w:r>
        <w:t>06  iShares Physical Gold GBP Hedged ETC</w:t>
      </w:r>
      <w:bookmarkEnd w:id="8"/>
    </w:p>
    <w:p>
      <w:pPr>
        <w:keepNext/>
      </w:pPr>
      <w:r>
        <w:rPr>
          <w:b/>
        </w:rPr>
        <w:t>IGLG  |  Ireland  |  Gold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24"/>
        <w:gridCol w:w="6822"/>
      </w:tblGrid>
      <w:tr>
        <w:trPr>
          <w:tblHeader/>
          <w:cantSplit/>
        </w:trPr>
        <w:tc>
          <w:tcPr>
            <w:tcW w:type="dxa" w:w="2924"/>
            <w:vAlign w:val="center"/>
            <w:tcMar>
              <w:top w:w="80" w:type="dxa"/>
              <w:bottom w:w="80" w:type="dxa"/>
              <w:left w:w="100" w:type="dxa"/>
              <w:right w:w="100" w:type="dxa"/>
            </w:tcMar>
            <w:shd w:fill="DCE6EB"/>
          </w:tcPr>
          <w:p>
            <w:pPr>
              <w:keepNext/>
              <w:spacing w:after="0" w:before="0" w:line="252" w:lineRule="auto"/>
            </w:pPr>
            <w:r>
              <w:rPr>
                <w:b/>
                <w:sz w:val="20"/>
              </w:rPr>
              <w:t>Field</w:t>
            </w:r>
          </w:p>
        </w:tc>
        <w:tc>
          <w:tcPr>
            <w:tcW w:type="dxa" w:w="6822"/>
            <w:vAlign w:val="center"/>
            <w:tcMar>
              <w:top w:w="80" w:type="dxa"/>
              <w:bottom w:w="80" w:type="dxa"/>
              <w:left w:w="100" w:type="dxa"/>
              <w:right w:w="100" w:type="dxa"/>
            </w:tcMar>
            <w:shd w:fill="DCE6EB"/>
          </w:tcPr>
          <w:p>
            <w:pPr>
              <w:keepNext/>
              <w:spacing w:after="0" w:before="0" w:line="252" w:lineRule="auto"/>
              <w:jc w:val="center"/>
            </w:pPr>
            <w:r>
              <w:rPr>
                <w:b/>
                <w:sz w:val="20"/>
              </w:rPr>
              <w:t>Detail</w:t>
            </w:r>
          </w:p>
        </w:tc>
      </w:tr>
      <w:tr>
        <w:trPr>
          <w:cantSplit/>
        </w:trPr>
        <w:tc>
          <w:tcPr>
            <w:tcW w:type="dxa" w:w="2924"/>
            <w:vAlign w:val="center"/>
            <w:tcMar>
              <w:top w:w="80" w:type="dxa"/>
              <w:bottom w:w="80" w:type="dxa"/>
              <w:left w:w="100" w:type="dxa"/>
              <w:right w:w="100" w:type="dxa"/>
            </w:tcMar>
            <w:shd w:fill="FFFFFF"/>
          </w:tcPr>
          <w:p>
            <w:pPr>
              <w:keepNext w:val="0"/>
              <w:spacing w:after="0" w:before="0" w:line="252" w:lineRule="auto"/>
            </w:pPr>
            <w:r>
              <w:rPr>
                <w:sz w:val="20"/>
              </w:rPr>
              <w:t>Legal form</w:t>
            </w:r>
          </w:p>
        </w:tc>
        <w:tc>
          <w:tcPr>
            <w:tcW w:type="dxa" w:w="6822"/>
            <w:vAlign w:val="center"/>
            <w:tcMar>
              <w:top w:w="80" w:type="dxa"/>
              <w:bottom w:w="80" w:type="dxa"/>
              <w:left w:w="100" w:type="dxa"/>
              <w:right w:w="100" w:type="dxa"/>
            </w:tcMar>
            <w:shd w:fill="FFFFFF"/>
          </w:tcPr>
          <w:p>
            <w:pPr>
              <w:keepNext w:val="0"/>
              <w:spacing w:after="0" w:before="0" w:line="252" w:lineRule="auto"/>
            </w:pPr>
            <w:r>
              <w:rPr>
                <w:sz w:val="20"/>
              </w:rPr>
              <w:t>Secured debt ETC; not a UCITS fund</w:t>
            </w:r>
          </w:p>
        </w:tc>
      </w:tr>
      <w:tr>
        <w:trPr>
          <w:cantSplit/>
        </w:trPr>
        <w:tc>
          <w:tcPr>
            <w:tcW w:type="dxa" w:w="2924"/>
            <w:vAlign w:val="center"/>
            <w:tcMar>
              <w:top w:w="80" w:type="dxa"/>
              <w:bottom w:w="80" w:type="dxa"/>
              <w:left w:w="100" w:type="dxa"/>
              <w:right w:w="100" w:type="dxa"/>
            </w:tcMar>
            <w:shd w:fill="F4F7F8"/>
          </w:tcPr>
          <w:p>
            <w:pPr>
              <w:keepNext w:val="0"/>
              <w:spacing w:after="0" w:before="0" w:line="252" w:lineRule="auto"/>
            </w:pPr>
            <w:r>
              <w:rPr>
                <w:sz w:val="20"/>
              </w:rPr>
              <w:t>Issuer or sponsor</w:t>
            </w:r>
          </w:p>
        </w:tc>
        <w:tc>
          <w:tcPr>
            <w:tcW w:type="dxa" w:w="6822"/>
            <w:vAlign w:val="center"/>
            <w:tcMar>
              <w:top w:w="80" w:type="dxa"/>
              <w:bottom w:w="80" w:type="dxa"/>
              <w:left w:w="100" w:type="dxa"/>
              <w:right w:w="100" w:type="dxa"/>
            </w:tcMar>
            <w:shd w:fill="F4F7F8"/>
          </w:tcPr>
          <w:p>
            <w:pPr>
              <w:keepNext w:val="0"/>
              <w:spacing w:after="0" w:before="0" w:line="252" w:lineRule="auto"/>
            </w:pPr>
            <w:r>
              <w:rPr>
                <w:sz w:val="20"/>
              </w:rPr>
              <w:t>iShares Physical Metals plc</w:t>
            </w:r>
          </w:p>
        </w:tc>
      </w:tr>
      <w:tr>
        <w:trPr>
          <w:cantSplit/>
        </w:trPr>
        <w:tc>
          <w:tcPr>
            <w:tcW w:type="dxa" w:w="2924"/>
            <w:vAlign w:val="center"/>
            <w:tcMar>
              <w:top w:w="80" w:type="dxa"/>
              <w:bottom w:w="80" w:type="dxa"/>
              <w:left w:w="100" w:type="dxa"/>
              <w:right w:w="100" w:type="dxa"/>
            </w:tcMar>
            <w:shd w:fill="FFFFFF"/>
          </w:tcPr>
          <w:p>
            <w:pPr>
              <w:keepNext w:val="0"/>
              <w:spacing w:after="0" w:before="0" w:line="252" w:lineRule="auto"/>
            </w:pPr>
            <w:r>
              <w:rPr>
                <w:sz w:val="20"/>
              </w:rPr>
              <w:t>Launch or class inception</w:t>
            </w:r>
          </w:p>
        </w:tc>
        <w:tc>
          <w:tcPr>
            <w:tcW w:type="dxa" w:w="6822"/>
            <w:vAlign w:val="center"/>
            <w:tcMar>
              <w:top w:w="80" w:type="dxa"/>
              <w:bottom w:w="80" w:type="dxa"/>
              <w:left w:w="100" w:type="dxa"/>
              <w:right w:w="100" w:type="dxa"/>
            </w:tcMar>
            <w:shd w:fill="FFFFFF"/>
          </w:tcPr>
          <w:p>
            <w:pPr>
              <w:keepNext w:val="0"/>
              <w:spacing w:after="0" w:before="0" w:line="252" w:lineRule="auto"/>
              <w:jc w:val="center"/>
            </w:pPr>
            <w:r>
              <w:rPr>
                <w:sz w:val="20"/>
              </w:rPr>
              <w:t>05/Jul/2022</w:t>
            </w:r>
          </w:p>
        </w:tc>
      </w:tr>
      <w:tr>
        <w:trPr>
          <w:cantSplit/>
        </w:trPr>
        <w:tc>
          <w:tcPr>
            <w:tcW w:type="dxa" w:w="2924"/>
            <w:vAlign w:val="center"/>
            <w:tcMar>
              <w:top w:w="80" w:type="dxa"/>
              <w:bottom w:w="80" w:type="dxa"/>
              <w:left w:w="100" w:type="dxa"/>
              <w:right w:w="100" w:type="dxa"/>
            </w:tcMar>
            <w:shd w:fill="F4F7F8"/>
          </w:tcPr>
          <w:p>
            <w:pPr>
              <w:keepNext w:val="0"/>
              <w:spacing w:after="0" w:before="0" w:line="252" w:lineRule="auto"/>
            </w:pPr>
            <w:r>
              <w:rPr>
                <w:sz w:val="20"/>
              </w:rPr>
              <w:t>ISIN / CUSIP</w:t>
            </w:r>
          </w:p>
        </w:tc>
        <w:tc>
          <w:tcPr>
            <w:tcW w:type="dxa" w:w="6822"/>
            <w:vAlign w:val="center"/>
            <w:tcMar>
              <w:top w:w="80" w:type="dxa"/>
              <w:bottom w:w="80" w:type="dxa"/>
              <w:left w:w="100" w:type="dxa"/>
              <w:right w:w="100" w:type="dxa"/>
            </w:tcMar>
            <w:shd w:fill="F4F7F8"/>
          </w:tcPr>
          <w:p>
            <w:pPr>
              <w:keepNext w:val="0"/>
              <w:spacing w:after="0" w:before="0" w:line="252" w:lineRule="auto"/>
              <w:jc w:val="center"/>
            </w:pPr>
            <w:r>
              <w:rPr>
                <w:sz w:val="20"/>
              </w:rPr>
              <w:t>IE000Q2P3ZQ3</w:t>
            </w:r>
          </w:p>
        </w:tc>
      </w:tr>
      <w:tr>
        <w:trPr>
          <w:cantSplit/>
        </w:trPr>
        <w:tc>
          <w:tcPr>
            <w:tcW w:type="dxa" w:w="2924"/>
            <w:vAlign w:val="center"/>
            <w:tcMar>
              <w:top w:w="80" w:type="dxa"/>
              <w:bottom w:w="80" w:type="dxa"/>
              <w:left w:w="100" w:type="dxa"/>
              <w:right w:w="100" w:type="dxa"/>
            </w:tcMar>
            <w:shd w:fill="FFFFFF"/>
          </w:tcPr>
          <w:p>
            <w:pPr>
              <w:keepNext w:val="0"/>
              <w:spacing w:after="0" w:before="0" w:line="252" w:lineRule="auto"/>
            </w:pPr>
            <w:r>
              <w:rPr>
                <w:sz w:val="20"/>
              </w:rPr>
              <w:t>Reported net assets</w:t>
            </w:r>
          </w:p>
        </w:tc>
        <w:tc>
          <w:tcPr>
            <w:tcW w:type="dxa" w:w="6822"/>
            <w:vAlign w:val="center"/>
            <w:tcMar>
              <w:top w:w="80" w:type="dxa"/>
              <w:bottom w:w="80" w:type="dxa"/>
              <w:left w:w="100" w:type="dxa"/>
              <w:right w:w="100" w:type="dxa"/>
            </w:tcMar>
            <w:shd w:fill="FFFFFF"/>
          </w:tcPr>
          <w:p>
            <w:pPr>
              <w:keepNext w:val="0"/>
              <w:spacing w:after="0" w:before="0" w:line="252" w:lineRule="auto"/>
            </w:pPr>
            <w:r>
              <w:rPr>
                <w:sz w:val="20"/>
              </w:rPr>
              <w:t>GBP 986,288,861.00 as of 2026-09-22</w:t>
            </w:r>
          </w:p>
        </w:tc>
      </w:tr>
      <w:tr>
        <w:trPr>
          <w:cantSplit/>
        </w:trPr>
        <w:tc>
          <w:tcPr>
            <w:tcW w:type="dxa" w:w="2924"/>
            <w:vAlign w:val="center"/>
            <w:tcMar>
              <w:top w:w="80" w:type="dxa"/>
              <w:bottom w:w="80" w:type="dxa"/>
              <w:left w:w="100" w:type="dxa"/>
              <w:right w:w="100" w:type="dxa"/>
            </w:tcMar>
            <w:shd w:fill="F4F7F8"/>
          </w:tcPr>
          <w:p>
            <w:pPr>
              <w:keepNext w:val="0"/>
              <w:spacing w:after="0" w:before="0" w:line="252" w:lineRule="auto"/>
            </w:pPr>
            <w:r>
              <w:rPr>
                <w:sz w:val="20"/>
              </w:rPr>
              <w:t>Asset basis</w:t>
            </w:r>
          </w:p>
        </w:tc>
        <w:tc>
          <w:tcPr>
            <w:tcW w:type="dxa" w:w="6822"/>
            <w:vAlign w:val="center"/>
            <w:tcMar>
              <w:top w:w="80" w:type="dxa"/>
              <w:bottom w:w="80" w:type="dxa"/>
              <w:left w:w="100" w:type="dxa"/>
              <w:right w:w="100" w:type="dxa"/>
            </w:tcMar>
            <w:shd w:fill="F4F7F8"/>
          </w:tcPr>
          <w:p>
            <w:pPr>
              <w:keepNext w:val="0"/>
              <w:spacing w:after="0" w:before="0" w:line="252" w:lineRule="auto"/>
            </w:pPr>
            <w:r>
              <w:rPr>
                <w:sz w:val="20"/>
              </w:rPr>
              <w:t>Fund / trust / ETC series</w:t>
            </w:r>
          </w:p>
        </w:tc>
      </w:tr>
      <w:tr>
        <w:trPr>
          <w:cantSplit/>
        </w:trPr>
        <w:tc>
          <w:tcPr>
            <w:tcW w:type="dxa" w:w="2924"/>
            <w:vAlign w:val="center"/>
            <w:tcMar>
              <w:top w:w="80" w:type="dxa"/>
              <w:bottom w:w="80" w:type="dxa"/>
              <w:left w:w="100" w:type="dxa"/>
              <w:right w:w="100" w:type="dxa"/>
            </w:tcMar>
            <w:shd w:fill="FFFFFF"/>
          </w:tcPr>
          <w:p>
            <w:pPr>
              <w:keepNext w:val="0"/>
              <w:spacing w:after="0" w:before="0" w:line="252" w:lineRule="auto"/>
            </w:pPr>
            <w:r>
              <w:rPr>
                <w:sz w:val="20"/>
              </w:rPr>
              <w:t>Currency exposure</w:t>
            </w:r>
          </w:p>
        </w:tc>
        <w:tc>
          <w:tcPr>
            <w:tcW w:type="dxa" w:w="6822"/>
            <w:vAlign w:val="center"/>
            <w:tcMar>
              <w:top w:w="80" w:type="dxa"/>
              <w:bottom w:w="80" w:type="dxa"/>
              <w:left w:w="100" w:type="dxa"/>
              <w:right w:w="100" w:type="dxa"/>
            </w:tcMar>
            <w:shd w:fill="FFFFFF"/>
          </w:tcPr>
          <w:p>
            <w:pPr>
              <w:keepNext w:val="0"/>
              <w:spacing w:after="0" w:before="0" w:line="252" w:lineRule="auto"/>
              <w:jc w:val="center"/>
            </w:pPr>
            <w:r>
              <w:rPr>
                <w:sz w:val="20"/>
              </w:rPr>
              <w:t>GBP hedged</w:t>
            </w:r>
          </w:p>
        </w:tc>
      </w:tr>
      <w:tr>
        <w:trPr>
          <w:cantSplit/>
        </w:trPr>
        <w:tc>
          <w:tcPr>
            <w:tcW w:type="dxa" w:w="2924"/>
            <w:vAlign w:val="center"/>
            <w:tcMar>
              <w:top w:w="80" w:type="dxa"/>
              <w:bottom w:w="80" w:type="dxa"/>
              <w:left w:w="100" w:type="dxa"/>
              <w:right w:w="100" w:type="dxa"/>
            </w:tcMar>
            <w:shd w:fill="F4F7F8"/>
          </w:tcPr>
          <w:p>
            <w:pPr>
              <w:keepNext w:val="0"/>
              <w:spacing w:after="0" w:before="0" w:line="252" w:lineRule="auto"/>
            </w:pPr>
            <w:r>
              <w:rPr>
                <w:sz w:val="20"/>
              </w:rPr>
              <w:t>Annual fee</w:t>
            </w:r>
          </w:p>
        </w:tc>
        <w:tc>
          <w:tcPr>
            <w:tcW w:type="dxa" w:w="6822"/>
            <w:vAlign w:val="center"/>
            <w:tcMar>
              <w:top w:w="80" w:type="dxa"/>
              <w:bottom w:w="80" w:type="dxa"/>
              <w:left w:w="100" w:type="dxa"/>
              <w:right w:w="100" w:type="dxa"/>
            </w:tcMar>
            <w:shd w:fill="F4F7F8"/>
          </w:tcPr>
          <w:p>
            <w:pPr>
              <w:keepNext w:val="0"/>
              <w:spacing w:after="0" w:before="0" w:line="252" w:lineRule="auto"/>
              <w:jc w:val="center"/>
            </w:pPr>
            <w:r>
              <w:rPr>
                <w:sz w:val="20"/>
              </w:rPr>
              <w:t>0.25% — TER</w:t>
            </w:r>
          </w:p>
        </w:tc>
      </w:tr>
      <w:tr>
        <w:trPr>
          <w:cantSplit/>
        </w:trPr>
        <w:tc>
          <w:tcPr>
            <w:tcW w:type="dxa" w:w="2924"/>
            <w:vAlign w:val="center"/>
            <w:tcMar>
              <w:top w:w="80" w:type="dxa"/>
              <w:bottom w:w="80" w:type="dxa"/>
              <w:left w:w="100" w:type="dxa"/>
              <w:right w:w="100" w:type="dxa"/>
            </w:tcMar>
            <w:shd w:fill="FFFFFF"/>
          </w:tcPr>
          <w:p>
            <w:pPr>
              <w:keepNext w:val="0"/>
              <w:spacing w:after="0" w:before="0" w:line="252" w:lineRule="auto"/>
            </w:pPr>
            <w:r>
              <w:rPr>
                <w:sz w:val="20"/>
              </w:rPr>
              <w:t>Custodian</w:t>
            </w:r>
          </w:p>
        </w:tc>
        <w:tc>
          <w:tcPr>
            <w:tcW w:type="dxa" w:w="6822"/>
            <w:vAlign w:val="center"/>
            <w:tcMar>
              <w:top w:w="80" w:type="dxa"/>
              <w:bottom w:w="80" w:type="dxa"/>
              <w:left w:w="100" w:type="dxa"/>
              <w:right w:w="100" w:type="dxa"/>
            </w:tcMar>
            <w:shd w:fill="FFFFFF"/>
          </w:tcPr>
          <w:p>
            <w:pPr>
              <w:keepNext w:val="0"/>
              <w:spacing w:after="0" w:before="0" w:line="252" w:lineRule="auto"/>
            </w:pPr>
            <w:r>
              <w:rPr>
                <w:sz w:val="20"/>
              </w:rPr>
              <w:t>JPMorgan Chase Bank N.A., London Branch</w:t>
            </w:r>
          </w:p>
        </w:tc>
      </w:tr>
      <w:tr>
        <w:trPr>
          <w:cantSplit/>
        </w:trPr>
        <w:tc>
          <w:tcPr>
            <w:tcW w:type="dxa" w:w="2924"/>
            <w:vAlign w:val="center"/>
            <w:tcMar>
              <w:top w:w="80" w:type="dxa"/>
              <w:bottom w:w="80" w:type="dxa"/>
              <w:left w:w="100" w:type="dxa"/>
              <w:right w:w="100" w:type="dxa"/>
            </w:tcMar>
            <w:shd w:fill="F4F7F8"/>
          </w:tcPr>
          <w:p>
            <w:pPr>
              <w:keepNext w:val="0"/>
              <w:spacing w:after="0" w:before="0" w:line="252" w:lineRule="auto"/>
            </w:pPr>
            <w:r>
              <w:rPr>
                <w:sz w:val="20"/>
              </w:rPr>
              <w:t>Custody evidence date</w:t>
            </w:r>
          </w:p>
        </w:tc>
        <w:tc>
          <w:tcPr>
            <w:tcW w:type="dxa" w:w="6822"/>
            <w:vAlign w:val="center"/>
            <w:tcMar>
              <w:top w:w="80" w:type="dxa"/>
              <w:bottom w:w="80" w:type="dxa"/>
              <w:left w:w="100" w:type="dxa"/>
              <w:right w:w="100" w:type="dxa"/>
            </w:tcMar>
            <w:shd w:fill="F4F7F8"/>
          </w:tcPr>
          <w:p>
            <w:pPr>
              <w:keepNext w:val="0"/>
              <w:spacing w:after="0" w:before="0" w:line="252" w:lineRule="auto"/>
              <w:jc w:val="center"/>
            </w:pPr>
            <w:r>
              <w:rPr>
                <w:sz w:val="20"/>
              </w:rPr>
              <w:t>2026-09-23</w:t>
            </w:r>
          </w:p>
        </w:tc>
      </w:tr>
      <w:tr>
        <w:trPr>
          <w:cantSplit/>
        </w:trPr>
        <w:tc>
          <w:tcPr>
            <w:tcW w:type="dxa" w:w="2924"/>
            <w:vAlign w:val="center"/>
            <w:tcMar>
              <w:top w:w="80" w:type="dxa"/>
              <w:bottom w:w="80" w:type="dxa"/>
              <w:left w:w="100" w:type="dxa"/>
              <w:right w:w="100" w:type="dxa"/>
            </w:tcMar>
            <w:shd w:fill="FFFFFF"/>
          </w:tcPr>
          <w:p>
            <w:pPr>
              <w:keepNext w:val="0"/>
              <w:spacing w:after="0" w:before="0" w:line="252" w:lineRule="auto"/>
            </w:pPr>
            <w:r>
              <w:rPr>
                <w:sz w:val="20"/>
              </w:rPr>
              <w:t>Reported metal quantity</w:t>
            </w:r>
          </w:p>
        </w:tc>
        <w:tc>
          <w:tcPr>
            <w:tcW w:type="dxa" w:w="6822"/>
            <w:vAlign w:val="center"/>
            <w:tcMar>
              <w:top w:w="80" w:type="dxa"/>
              <w:bottom w:w="80" w:type="dxa"/>
              <w:left w:w="100" w:type="dxa"/>
              <w:right w:w="100" w:type="dxa"/>
            </w:tcMar>
            <w:shd w:fill="FFFFFF"/>
          </w:tcPr>
          <w:p>
            <w:pPr>
              <w:keepNext w:val="0"/>
              <w:spacing w:after="0" w:before="0" w:line="252" w:lineRule="auto"/>
            </w:pPr>
            <w:r>
              <w:rPr>
                <w:sz w:val="20"/>
              </w:rPr>
              <w:t>304,425.87 troy ounces; 9.47 tonnes; dated 2026-09-22 — Issuer product-page quantity</w:t>
            </w:r>
          </w:p>
        </w:tc>
      </w:tr>
    </w:tbl>
    <w:p>
      <w:pPr>
        <w:spacing w:after="60" w:before="0" w:line="40" w:lineRule="exact"/>
      </w:pPr>
      <w:r>
        <w:rPr>
          <w:sz w:val="4"/>
        </w:rPr>
      </w:r>
    </w:p>
    <w:p>
      <w:r>
        <w:rPr>
          <w:b/>
        </w:rPr>
        <w:t xml:space="preserve">Fee definition. </w:t>
      </w:r>
      <w:r>
        <w:t>Total expense ratio reported by issuer.</w:t>
      </w:r>
    </w:p>
    <w:p>
      <w:r>
        <w:rPr>
          <w:b/>
        </w:rPr>
        <w:t xml:space="preserve">Allocation. </w:t>
      </w:r>
      <w:r>
        <w:t>The series is backed by allocated metal. Metal must be allocated before securities are issued. Transfers can pass through unallocated accounts, with custodian credit exposure during those periods.</w:t>
      </w:r>
    </w:p>
    <w:p>
      <w:r>
        <w:rPr>
          <w:b/>
        </w:rPr>
        <w:t xml:space="preserve">Bullion storage. </w:t>
      </w:r>
      <w:r>
        <w:t>Prospectus location: London vaults of the custodian or subcustodian. This is the contractual location policy, not a reconciliation of today’s bar inventory by vault.</w:t>
      </w:r>
    </w:p>
    <w:p>
      <w:r>
        <w:rPr>
          <w:b/>
        </w:rPr>
        <w:t xml:space="preserve">Location holding limits. </w:t>
      </w:r>
      <w:r>
        <w:t>The Irish base prospectus places all underlying allocated gold and silver in London custodian/subcustodian vaults. It does not specify a numerical limit per individual London vault in the reviewed location clause. This is a location requirement for allocated bullion, not a requirement that every fund asset or hedge be physically in London. The custody-agreement summary on PDF pages 145–146 specifies London for gold/silver subcustody and London or a Swiss fiscal warehouse in Zurich for platinum/palladium. No US location is permitted in these reviewed provisions. The executed series agreements and complete later-document chain remain to be confirmed.</w:t>
      </w:r>
    </w:p>
    <w:p>
      <w:r>
        <w:rPr>
          <w:b/>
        </w:rPr>
        <w:t xml:space="preserve">Limit scope. </w:t>
      </w:r>
      <w:r>
        <w:t>Allocated bullion backing the Irish ETC series</w:t>
      </w:r>
    </w:p>
    <w:p>
      <w:r>
        <w:rPr>
          <w:b/>
        </w:rPr>
        <w:t xml:space="preserve">Custody verification. </w:t>
      </w:r>
      <w:r>
        <w:t>Published base prospectus dated 11 May 2026, including custody summary, reviewed. US storage permission is not established. Executed series custody agreements and a complete post-base supplement/final-terms chain have not been obtained.</w:t>
      </w:r>
    </w:p>
    <w:p>
      <w:r>
        <w:rPr>
          <w:b/>
        </w:rPr>
        <w:t xml:space="preserve">Location clause source. </w:t>
      </w:r>
      <w:hyperlink r:id="rId12">
        <w:r>
          <w:rPr>
            <w:color w:val="235779"/>
            <w:u w:val="single"/>
          </w:rPr>
          <w:t>2026 base prospectus: custody, insurance and unallocated accounts</w:t>
        </w:r>
      </w:hyperlink>
      <w:r>
        <w:t xml:space="preserve"> — Custody and Insurance, PDF page 56; Custody Agreement summary, PDF pages 145–148 (especially 146(iii))</w:t>
      </w:r>
    </w:p>
    <w:p>
      <w:pPr>
        <w:pStyle w:val="Heading2"/>
        <w:pageBreakBefore w:val="0"/>
      </w:pPr>
      <w:r>
        <w:t>Recorded listings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86"/>
        <w:gridCol w:w="1754"/>
        <w:gridCol w:w="1169"/>
        <w:gridCol w:w="2436"/>
      </w:tblGrid>
      <w:tr>
        <w:trPr>
          <w:tblHeader/>
          <w:cantSplit/>
        </w:trPr>
        <w:tc>
          <w:tcPr>
            <w:tcW w:type="dxa" w:w="4386"/>
            <w:vAlign w:val="center"/>
            <w:tcMar>
              <w:top w:w="80" w:type="dxa"/>
              <w:bottom w:w="80" w:type="dxa"/>
              <w:left w:w="100" w:type="dxa"/>
              <w:right w:w="100" w:type="dxa"/>
            </w:tcMar>
            <w:shd w:fill="DCE6EB"/>
          </w:tcPr>
          <w:p>
            <w:pPr>
              <w:keepNext/>
              <w:spacing w:after="0" w:before="0" w:line="252" w:lineRule="auto"/>
            </w:pPr>
            <w:r>
              <w:rPr>
                <w:b/>
                <w:sz w:val="20"/>
              </w:rPr>
              <w:t>Exchange</w:t>
            </w:r>
          </w:p>
        </w:tc>
        <w:tc>
          <w:tcPr>
            <w:tcW w:type="dxa" w:w="1754"/>
            <w:vAlign w:val="center"/>
            <w:tcMar>
              <w:top w:w="80" w:type="dxa"/>
              <w:bottom w:w="80" w:type="dxa"/>
              <w:left w:w="100" w:type="dxa"/>
              <w:right w:w="100" w:type="dxa"/>
            </w:tcMar>
            <w:shd w:fill="DCE6EB"/>
          </w:tcPr>
          <w:p>
            <w:pPr>
              <w:keepNext/>
              <w:spacing w:after="0" w:before="0" w:line="252" w:lineRule="auto"/>
              <w:jc w:val="center"/>
            </w:pPr>
            <w:r>
              <w:rPr>
                <w:b/>
                <w:sz w:val="20"/>
              </w:rPr>
              <w:t>Ticker</w:t>
            </w:r>
          </w:p>
        </w:tc>
        <w:tc>
          <w:tcPr>
            <w:tcW w:type="dxa" w:w="1169"/>
            <w:vAlign w:val="center"/>
            <w:tcMar>
              <w:top w:w="80" w:type="dxa"/>
              <w:bottom w:w="80" w:type="dxa"/>
              <w:left w:w="100" w:type="dxa"/>
              <w:right w:w="100" w:type="dxa"/>
            </w:tcMar>
            <w:shd w:fill="DCE6EB"/>
          </w:tcPr>
          <w:p>
            <w:pPr>
              <w:keepNext/>
              <w:spacing w:after="0" w:before="0" w:line="252" w:lineRule="auto"/>
              <w:jc w:val="center"/>
            </w:pPr>
            <w:r>
              <w:rPr>
                <w:b/>
                <w:sz w:val="20"/>
              </w:rPr>
              <w:t>Currency</w:t>
            </w:r>
          </w:p>
        </w:tc>
        <w:tc>
          <w:tcPr>
            <w:tcW w:type="dxa" w:w="2436"/>
            <w:vAlign w:val="center"/>
            <w:tcMar>
              <w:top w:w="80" w:type="dxa"/>
              <w:bottom w:w="80" w:type="dxa"/>
              <w:left w:w="100" w:type="dxa"/>
              <w:right w:w="100" w:type="dxa"/>
            </w:tcMar>
            <w:shd w:fill="DCE6EB"/>
          </w:tcPr>
          <w:p>
            <w:pPr>
              <w:keepNext/>
              <w:spacing w:after="0" w:before="0" w:line="252" w:lineRule="auto"/>
              <w:jc w:val="center"/>
            </w:pPr>
            <w:r>
              <w:rPr>
                <w:b/>
                <w:sz w:val="20"/>
              </w:rPr>
              <w:t>Listing date</w:t>
            </w:r>
          </w:p>
        </w:tc>
      </w:tr>
      <w:tr>
        <w:trPr>
          <w:cantSplit/>
        </w:trPr>
        <w:tc>
          <w:tcPr>
            <w:tcW w:type="dxa" w:w="4386"/>
            <w:vAlign w:val="center"/>
            <w:tcMar>
              <w:top w:w="80" w:type="dxa"/>
              <w:bottom w:w="80" w:type="dxa"/>
              <w:left w:w="100" w:type="dxa"/>
              <w:right w:w="100" w:type="dxa"/>
            </w:tcMar>
            <w:shd w:fill="FFFFFF"/>
          </w:tcPr>
          <w:p>
            <w:pPr>
              <w:keepNext w:val="0"/>
              <w:spacing w:after="0" w:before="0" w:line="252" w:lineRule="auto"/>
            </w:pPr>
            <w:r>
              <w:rPr>
                <w:sz w:val="20"/>
              </w:rPr>
              <w:t>London Stock Exchange</w:t>
            </w:r>
          </w:p>
        </w:tc>
        <w:tc>
          <w:tcPr>
            <w:tcW w:type="dxa" w:w="1754"/>
            <w:vAlign w:val="center"/>
            <w:tcMar>
              <w:top w:w="80" w:type="dxa"/>
              <w:bottom w:w="80" w:type="dxa"/>
              <w:left w:w="100" w:type="dxa"/>
              <w:right w:w="100" w:type="dxa"/>
            </w:tcMar>
            <w:shd w:fill="FFFFFF"/>
          </w:tcPr>
          <w:p>
            <w:pPr>
              <w:keepNext w:val="0"/>
              <w:spacing w:after="0" w:before="0" w:line="252" w:lineRule="auto"/>
              <w:jc w:val="center"/>
            </w:pPr>
            <w:r>
              <w:rPr>
                <w:sz w:val="20"/>
              </w:rPr>
              <w:t>IGLG</w:t>
            </w:r>
          </w:p>
        </w:tc>
        <w:tc>
          <w:tcPr>
            <w:tcW w:type="dxa" w:w="1169"/>
            <w:vAlign w:val="center"/>
            <w:tcMar>
              <w:top w:w="80" w:type="dxa"/>
              <w:bottom w:w="80" w:type="dxa"/>
              <w:left w:w="100" w:type="dxa"/>
              <w:right w:w="100" w:type="dxa"/>
            </w:tcMar>
            <w:shd w:fill="FFFFFF"/>
          </w:tcPr>
          <w:p>
            <w:pPr>
              <w:keepNext w:val="0"/>
              <w:spacing w:after="0" w:before="0" w:line="252" w:lineRule="auto"/>
              <w:jc w:val="center"/>
            </w:pPr>
            <w:r>
              <w:rPr>
                <w:sz w:val="20"/>
              </w:rPr>
              <w:t>GBP</w:t>
            </w:r>
          </w:p>
        </w:tc>
        <w:tc>
          <w:tcPr>
            <w:tcW w:type="dxa" w:w="2436"/>
            <w:vAlign w:val="center"/>
            <w:tcMar>
              <w:top w:w="80" w:type="dxa"/>
              <w:bottom w:w="80" w:type="dxa"/>
              <w:left w:w="100" w:type="dxa"/>
              <w:right w:w="100" w:type="dxa"/>
            </w:tcMar>
            <w:shd w:fill="FFFFFF"/>
          </w:tcPr>
          <w:p>
            <w:pPr>
              <w:keepNext w:val="0"/>
              <w:spacing w:after="0" w:before="0" w:line="252" w:lineRule="auto"/>
              <w:jc w:val="center"/>
            </w:pPr>
            <w:r>
              <w:rPr>
                <w:sz w:val="20"/>
              </w:rPr>
              <w:t>07/Jul/2022</w:t>
            </w:r>
          </w:p>
        </w:tc>
      </w:tr>
    </w:tbl>
    <w:p>
      <w:pPr>
        <w:spacing w:after="60" w:before="0" w:line="40" w:lineRule="exact"/>
      </w:pPr>
      <w:r>
        <w:rPr>
          <w:sz w:val="4"/>
        </w:rPr>
      </w:r>
    </w:p>
    <w:p>
      <w:pPr>
        <w:pStyle w:val="Heading2"/>
        <w:pageBreakBefore w:val="0"/>
      </w:pPr>
      <w:r>
        <w:t>Sources</w:t>
      </w:r>
    </w:p>
    <w:p>
      <w:pPr>
        <w:spacing w:after="80"/>
      </w:pPr>
      <w:hyperlink r:id="rId25">
        <w:r>
          <w:rPr>
            <w:color w:val="235779"/>
            <w:u w:val="single"/>
          </w:rPr>
          <w:t>Issuer product page</w:t>
        </w:r>
      </w:hyperlink>
      <w:r>
        <w:t xml:space="preserve">  ·  </w:t>
      </w:r>
      <w:hyperlink r:id="rId26">
        <w:r>
          <w:rPr>
            <w:color w:val="235779"/>
            <w:u w:val="single"/>
          </w:rPr>
          <w:t>Saved source</w:t>
        </w:r>
      </w:hyperlink>
    </w:p>
    <w:p>
      <w:pPr>
        <w:spacing w:after="80"/>
      </w:pPr>
      <w:hyperlink r:id="rId15">
        <w:r>
          <w:rPr>
            <w:color w:val="235779"/>
            <w:u w:val="single"/>
          </w:rPr>
          <w:t>2026 base prospectus: custody, insurance and unallocated accounts</w:t>
        </w:r>
      </w:hyperlink>
      <w:r>
        <w:t xml:space="preserve">  ·  </w:t>
      </w:r>
      <w:hyperlink r:id="rId16">
        <w:r>
          <w:rPr>
            <w:color w:val="235779"/>
            <w:u w:val="single"/>
          </w:rPr>
          <w:t>Saved source</w:t>
        </w:r>
      </w:hyperlink>
    </w:p>
    <w:p>
      <w:bookmarkStart w:id="9" w:name="product_7"/>
      <w:pPr>
        <w:pStyle w:val="Heading1"/>
        <w:pageBreakBefore w:val="0"/>
        <w:spacing w:before="360"/>
      </w:pPr>
      <w:r>
        <w:t>07  iShares Gold ETF (CH)</w:t>
      </w:r>
      <w:bookmarkEnd w:id="9"/>
    </w:p>
    <w:p>
      <w:pPr>
        <w:keepNext/>
      </w:pPr>
      <w:r>
        <w:rPr>
          <w:b/>
        </w:rPr>
        <w:t>CSGOLD  |  Switzerland  |  Gold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24"/>
        <w:gridCol w:w="6822"/>
      </w:tblGrid>
      <w:tr>
        <w:trPr>
          <w:tblHeader/>
          <w:cantSplit/>
        </w:trPr>
        <w:tc>
          <w:tcPr>
            <w:tcW w:type="dxa" w:w="2924"/>
            <w:vAlign w:val="center"/>
            <w:tcMar>
              <w:top w:w="80" w:type="dxa"/>
              <w:bottom w:w="80" w:type="dxa"/>
              <w:left w:w="100" w:type="dxa"/>
              <w:right w:w="100" w:type="dxa"/>
            </w:tcMar>
            <w:shd w:fill="DCE6EB"/>
          </w:tcPr>
          <w:p>
            <w:pPr>
              <w:keepNext/>
              <w:spacing w:after="0" w:before="0" w:line="252" w:lineRule="auto"/>
            </w:pPr>
            <w:r>
              <w:rPr>
                <w:b/>
                <w:sz w:val="20"/>
              </w:rPr>
              <w:t>Field</w:t>
            </w:r>
          </w:p>
        </w:tc>
        <w:tc>
          <w:tcPr>
            <w:tcW w:type="dxa" w:w="6822"/>
            <w:vAlign w:val="center"/>
            <w:tcMar>
              <w:top w:w="80" w:type="dxa"/>
              <w:bottom w:w="80" w:type="dxa"/>
              <w:left w:w="100" w:type="dxa"/>
              <w:right w:w="100" w:type="dxa"/>
            </w:tcMar>
            <w:shd w:fill="DCE6EB"/>
          </w:tcPr>
          <w:p>
            <w:pPr>
              <w:keepNext/>
              <w:spacing w:after="0" w:before="0" w:line="252" w:lineRule="auto"/>
              <w:jc w:val="center"/>
            </w:pPr>
            <w:r>
              <w:rPr>
                <w:b/>
                <w:sz w:val="20"/>
              </w:rPr>
              <w:t>Detail</w:t>
            </w:r>
          </w:p>
        </w:tc>
      </w:tr>
      <w:tr>
        <w:trPr>
          <w:cantSplit/>
        </w:trPr>
        <w:tc>
          <w:tcPr>
            <w:tcW w:type="dxa" w:w="2924"/>
            <w:vAlign w:val="center"/>
            <w:tcMar>
              <w:top w:w="80" w:type="dxa"/>
              <w:bottom w:w="80" w:type="dxa"/>
              <w:left w:w="100" w:type="dxa"/>
              <w:right w:w="100" w:type="dxa"/>
            </w:tcMar>
            <w:shd w:fill="FFFFFF"/>
          </w:tcPr>
          <w:p>
            <w:pPr>
              <w:keepNext w:val="0"/>
              <w:spacing w:after="0" w:before="0" w:line="252" w:lineRule="auto"/>
            </w:pPr>
            <w:r>
              <w:rPr>
                <w:sz w:val="20"/>
              </w:rPr>
              <w:t>Legal form</w:t>
            </w:r>
          </w:p>
        </w:tc>
        <w:tc>
          <w:tcPr>
            <w:tcW w:type="dxa" w:w="6822"/>
            <w:vAlign w:val="center"/>
            <w:tcMar>
              <w:top w:w="80" w:type="dxa"/>
              <w:bottom w:w="80" w:type="dxa"/>
              <w:left w:w="100" w:type="dxa"/>
              <w:right w:w="100" w:type="dxa"/>
            </w:tcMar>
            <w:shd w:fill="FFFFFF"/>
          </w:tcPr>
          <w:p>
            <w:pPr>
              <w:keepNext w:val="0"/>
              <w:spacing w:after="0" w:before="0" w:line="252" w:lineRule="auto"/>
            </w:pPr>
            <w:r>
              <w:rPr>
                <w:sz w:val="20"/>
              </w:rPr>
              <w:t>Swiss domiciled contractual investment fund</w:t>
            </w:r>
          </w:p>
        </w:tc>
      </w:tr>
      <w:tr>
        <w:trPr>
          <w:cantSplit/>
        </w:trPr>
        <w:tc>
          <w:tcPr>
            <w:tcW w:type="dxa" w:w="2924"/>
            <w:vAlign w:val="center"/>
            <w:tcMar>
              <w:top w:w="80" w:type="dxa"/>
              <w:bottom w:w="80" w:type="dxa"/>
              <w:left w:w="100" w:type="dxa"/>
              <w:right w:w="100" w:type="dxa"/>
            </w:tcMar>
            <w:shd w:fill="F4F7F8"/>
          </w:tcPr>
          <w:p>
            <w:pPr>
              <w:keepNext w:val="0"/>
              <w:spacing w:after="0" w:before="0" w:line="252" w:lineRule="auto"/>
            </w:pPr>
            <w:r>
              <w:rPr>
                <w:sz w:val="20"/>
              </w:rPr>
              <w:t>Issuer or sponsor</w:t>
            </w:r>
          </w:p>
        </w:tc>
        <w:tc>
          <w:tcPr>
            <w:tcW w:type="dxa" w:w="6822"/>
            <w:vAlign w:val="center"/>
            <w:tcMar>
              <w:top w:w="80" w:type="dxa"/>
              <w:bottom w:w="80" w:type="dxa"/>
              <w:left w:w="100" w:type="dxa"/>
              <w:right w:w="100" w:type="dxa"/>
            </w:tcMar>
            <w:shd w:fill="F4F7F8"/>
          </w:tcPr>
          <w:p>
            <w:pPr>
              <w:keepNext w:val="0"/>
              <w:spacing w:after="0" w:before="0" w:line="252" w:lineRule="auto"/>
              <w:jc w:val="center"/>
            </w:pPr>
            <w:r>
              <w:rPr>
                <w:sz w:val="20"/>
              </w:rPr>
              <w:t>iShares ETF II (CH)</w:t>
            </w:r>
          </w:p>
        </w:tc>
      </w:tr>
      <w:tr>
        <w:trPr>
          <w:cantSplit/>
        </w:trPr>
        <w:tc>
          <w:tcPr>
            <w:tcW w:type="dxa" w:w="2924"/>
            <w:vAlign w:val="center"/>
            <w:tcMar>
              <w:top w:w="80" w:type="dxa"/>
              <w:bottom w:w="80" w:type="dxa"/>
              <w:left w:w="100" w:type="dxa"/>
              <w:right w:w="100" w:type="dxa"/>
            </w:tcMar>
            <w:shd w:fill="FFFFFF"/>
          </w:tcPr>
          <w:p>
            <w:pPr>
              <w:keepNext w:val="0"/>
              <w:spacing w:after="0" w:before="0" w:line="252" w:lineRule="auto"/>
            </w:pPr>
            <w:r>
              <w:rPr>
                <w:sz w:val="20"/>
              </w:rPr>
              <w:t>Launch or class inception</w:t>
            </w:r>
          </w:p>
        </w:tc>
        <w:tc>
          <w:tcPr>
            <w:tcW w:type="dxa" w:w="6822"/>
            <w:vAlign w:val="center"/>
            <w:tcMar>
              <w:top w:w="80" w:type="dxa"/>
              <w:bottom w:w="80" w:type="dxa"/>
              <w:left w:w="100" w:type="dxa"/>
              <w:right w:w="100" w:type="dxa"/>
            </w:tcMar>
            <w:shd w:fill="FFFFFF"/>
          </w:tcPr>
          <w:p>
            <w:pPr>
              <w:keepNext w:val="0"/>
              <w:spacing w:after="0" w:before="0" w:line="252" w:lineRule="auto"/>
              <w:jc w:val="center"/>
            </w:pPr>
            <w:r>
              <w:rPr>
                <w:sz w:val="20"/>
              </w:rPr>
              <w:t>05-Oct-2009</w:t>
            </w:r>
          </w:p>
        </w:tc>
      </w:tr>
      <w:tr>
        <w:trPr>
          <w:cantSplit/>
        </w:trPr>
        <w:tc>
          <w:tcPr>
            <w:tcW w:type="dxa" w:w="2924"/>
            <w:vAlign w:val="center"/>
            <w:tcMar>
              <w:top w:w="80" w:type="dxa"/>
              <w:bottom w:w="80" w:type="dxa"/>
              <w:left w:w="100" w:type="dxa"/>
              <w:right w:w="100" w:type="dxa"/>
            </w:tcMar>
            <w:shd w:fill="F4F7F8"/>
          </w:tcPr>
          <w:p>
            <w:pPr>
              <w:keepNext w:val="0"/>
              <w:spacing w:after="0" w:before="0" w:line="252" w:lineRule="auto"/>
            </w:pPr>
            <w:r>
              <w:rPr>
                <w:sz w:val="20"/>
              </w:rPr>
              <w:t>ISIN / CUSIP</w:t>
            </w:r>
          </w:p>
        </w:tc>
        <w:tc>
          <w:tcPr>
            <w:tcW w:type="dxa" w:w="6822"/>
            <w:vAlign w:val="center"/>
            <w:tcMar>
              <w:top w:w="80" w:type="dxa"/>
              <w:bottom w:w="80" w:type="dxa"/>
              <w:left w:w="100" w:type="dxa"/>
              <w:right w:w="100" w:type="dxa"/>
            </w:tcMar>
            <w:shd w:fill="F4F7F8"/>
          </w:tcPr>
          <w:p>
            <w:pPr>
              <w:keepNext w:val="0"/>
              <w:spacing w:after="0" w:before="0" w:line="252" w:lineRule="auto"/>
              <w:jc w:val="center"/>
            </w:pPr>
            <w:r>
              <w:rPr>
                <w:sz w:val="20"/>
              </w:rPr>
              <w:t>CH0104136236</w:t>
            </w:r>
          </w:p>
        </w:tc>
      </w:tr>
      <w:tr>
        <w:trPr>
          <w:cantSplit/>
        </w:trPr>
        <w:tc>
          <w:tcPr>
            <w:tcW w:type="dxa" w:w="2924"/>
            <w:vAlign w:val="center"/>
            <w:tcMar>
              <w:top w:w="80" w:type="dxa"/>
              <w:bottom w:w="80" w:type="dxa"/>
              <w:left w:w="100" w:type="dxa"/>
              <w:right w:w="100" w:type="dxa"/>
            </w:tcMar>
            <w:shd w:fill="FFFFFF"/>
          </w:tcPr>
          <w:p>
            <w:pPr>
              <w:keepNext w:val="0"/>
              <w:spacing w:after="0" w:before="0" w:line="252" w:lineRule="auto"/>
            </w:pPr>
            <w:r>
              <w:rPr>
                <w:sz w:val="20"/>
              </w:rPr>
              <w:t>Reported net assets</w:t>
            </w:r>
          </w:p>
        </w:tc>
        <w:tc>
          <w:tcPr>
            <w:tcW w:type="dxa" w:w="6822"/>
            <w:vAlign w:val="center"/>
            <w:tcMar>
              <w:top w:w="80" w:type="dxa"/>
              <w:bottom w:w="80" w:type="dxa"/>
              <w:left w:w="100" w:type="dxa"/>
              <w:right w:w="100" w:type="dxa"/>
            </w:tcMar>
            <w:shd w:fill="FFFFFF"/>
          </w:tcPr>
          <w:p>
            <w:pPr>
              <w:keepNext w:val="0"/>
              <w:spacing w:after="0" w:before="0" w:line="252" w:lineRule="auto"/>
            </w:pPr>
            <w:r>
              <w:rPr>
                <w:sz w:val="20"/>
              </w:rPr>
              <w:t>USD 1,630,844,071.53 as of 2026-09-22</w:t>
            </w:r>
          </w:p>
        </w:tc>
      </w:tr>
      <w:tr>
        <w:trPr>
          <w:cantSplit/>
        </w:trPr>
        <w:tc>
          <w:tcPr>
            <w:tcW w:type="dxa" w:w="2924"/>
            <w:vAlign w:val="center"/>
            <w:tcMar>
              <w:top w:w="80" w:type="dxa"/>
              <w:bottom w:w="80" w:type="dxa"/>
              <w:left w:w="100" w:type="dxa"/>
              <w:right w:w="100" w:type="dxa"/>
            </w:tcMar>
            <w:shd w:fill="F4F7F8"/>
          </w:tcPr>
          <w:p>
            <w:pPr>
              <w:keepNext w:val="0"/>
              <w:spacing w:after="0" w:before="0" w:line="252" w:lineRule="auto"/>
            </w:pPr>
            <w:r>
              <w:rPr>
                <w:sz w:val="20"/>
              </w:rPr>
              <w:t>Asset basis</w:t>
            </w:r>
          </w:p>
        </w:tc>
        <w:tc>
          <w:tcPr>
            <w:tcW w:type="dxa" w:w="6822"/>
            <w:vAlign w:val="center"/>
            <w:tcMar>
              <w:top w:w="80" w:type="dxa"/>
              <w:bottom w:w="80" w:type="dxa"/>
              <w:left w:w="100" w:type="dxa"/>
              <w:right w:w="100" w:type="dxa"/>
            </w:tcMar>
            <w:shd w:fill="F4F7F8"/>
          </w:tcPr>
          <w:p>
            <w:pPr>
              <w:keepNext w:val="0"/>
              <w:spacing w:after="0" w:before="0" w:line="252" w:lineRule="auto"/>
            </w:pPr>
            <w:r>
              <w:rPr>
                <w:sz w:val="20"/>
              </w:rPr>
              <w:t>Fund / trust / ETC series</w:t>
            </w:r>
          </w:p>
        </w:tc>
      </w:tr>
      <w:tr>
        <w:trPr>
          <w:cantSplit/>
        </w:trPr>
        <w:tc>
          <w:tcPr>
            <w:tcW w:type="dxa" w:w="2924"/>
            <w:vAlign w:val="center"/>
            <w:tcMar>
              <w:top w:w="80" w:type="dxa"/>
              <w:bottom w:w="80" w:type="dxa"/>
              <w:left w:w="100" w:type="dxa"/>
              <w:right w:w="100" w:type="dxa"/>
            </w:tcMar>
            <w:shd w:fill="FFFFFF"/>
          </w:tcPr>
          <w:p>
            <w:pPr>
              <w:keepNext w:val="0"/>
              <w:spacing w:after="0" w:before="0" w:line="252" w:lineRule="auto"/>
            </w:pPr>
            <w:r>
              <w:rPr>
                <w:sz w:val="20"/>
              </w:rPr>
              <w:t>Currency exposure</w:t>
            </w:r>
          </w:p>
        </w:tc>
        <w:tc>
          <w:tcPr>
            <w:tcW w:type="dxa" w:w="6822"/>
            <w:vAlign w:val="center"/>
            <w:tcMar>
              <w:top w:w="80" w:type="dxa"/>
              <w:bottom w:w="80" w:type="dxa"/>
              <w:left w:w="100" w:type="dxa"/>
              <w:right w:w="100" w:type="dxa"/>
            </w:tcMar>
            <w:shd w:fill="FFFFFF"/>
          </w:tcPr>
          <w:p>
            <w:pPr>
              <w:keepNext w:val="0"/>
              <w:spacing w:after="0" w:before="0" w:line="252" w:lineRule="auto"/>
              <w:jc w:val="center"/>
            </w:pPr>
            <w:r>
              <w:rPr>
                <w:sz w:val="20"/>
              </w:rPr>
              <w:t>Unhedged</w:t>
            </w:r>
          </w:p>
        </w:tc>
      </w:tr>
      <w:tr>
        <w:trPr>
          <w:cantSplit/>
        </w:trPr>
        <w:tc>
          <w:tcPr>
            <w:tcW w:type="dxa" w:w="2924"/>
            <w:vAlign w:val="center"/>
            <w:tcMar>
              <w:top w:w="80" w:type="dxa"/>
              <w:bottom w:w="80" w:type="dxa"/>
              <w:left w:w="100" w:type="dxa"/>
              <w:right w:w="100" w:type="dxa"/>
            </w:tcMar>
            <w:shd w:fill="F4F7F8"/>
          </w:tcPr>
          <w:p>
            <w:pPr>
              <w:keepNext w:val="0"/>
              <w:spacing w:after="0" w:before="0" w:line="252" w:lineRule="auto"/>
            </w:pPr>
            <w:r>
              <w:rPr>
                <w:sz w:val="20"/>
              </w:rPr>
              <w:t>Annual fee</w:t>
            </w:r>
          </w:p>
        </w:tc>
        <w:tc>
          <w:tcPr>
            <w:tcW w:type="dxa" w:w="6822"/>
            <w:vAlign w:val="center"/>
            <w:tcMar>
              <w:top w:w="80" w:type="dxa"/>
              <w:bottom w:w="80" w:type="dxa"/>
              <w:left w:w="100" w:type="dxa"/>
              <w:right w:w="100" w:type="dxa"/>
            </w:tcMar>
            <w:shd w:fill="F4F7F8"/>
          </w:tcPr>
          <w:p>
            <w:pPr>
              <w:keepNext w:val="0"/>
              <w:spacing w:after="0" w:before="0" w:line="252" w:lineRule="auto"/>
              <w:jc w:val="center"/>
            </w:pPr>
            <w:r>
              <w:rPr>
                <w:sz w:val="20"/>
              </w:rPr>
              <w:t>0.19% — TER</w:t>
            </w:r>
          </w:p>
        </w:tc>
      </w:tr>
      <w:tr>
        <w:trPr>
          <w:cantSplit/>
        </w:trPr>
        <w:tc>
          <w:tcPr>
            <w:tcW w:type="dxa" w:w="2924"/>
            <w:vAlign w:val="center"/>
            <w:tcMar>
              <w:top w:w="80" w:type="dxa"/>
              <w:bottom w:w="80" w:type="dxa"/>
              <w:left w:w="100" w:type="dxa"/>
              <w:right w:w="100" w:type="dxa"/>
            </w:tcMar>
            <w:shd w:fill="FFFFFF"/>
          </w:tcPr>
          <w:p>
            <w:pPr>
              <w:keepNext w:val="0"/>
              <w:spacing w:after="0" w:before="0" w:line="252" w:lineRule="auto"/>
            </w:pPr>
            <w:r>
              <w:rPr>
                <w:sz w:val="20"/>
              </w:rPr>
              <w:t>Custodian</w:t>
            </w:r>
          </w:p>
        </w:tc>
        <w:tc>
          <w:tcPr>
            <w:tcW w:type="dxa" w:w="6822"/>
            <w:vAlign w:val="center"/>
            <w:tcMar>
              <w:top w:w="80" w:type="dxa"/>
              <w:bottom w:w="80" w:type="dxa"/>
              <w:left w:w="100" w:type="dxa"/>
              <w:right w:w="100" w:type="dxa"/>
            </w:tcMar>
            <w:shd w:fill="FFFFFF"/>
          </w:tcPr>
          <w:p>
            <w:pPr>
              <w:keepNext w:val="0"/>
              <w:spacing w:after="0" w:before="0" w:line="252" w:lineRule="auto"/>
            </w:pPr>
            <w:r>
              <w:rPr>
                <w:sz w:val="20"/>
              </w:rPr>
              <w:t>State Street Bank International GmbH, Munich, Zurich Branch; UBS Switzerland AG is the vaulting agent</w:t>
            </w:r>
          </w:p>
        </w:tc>
      </w:tr>
      <w:tr>
        <w:trPr>
          <w:cantSplit/>
        </w:trPr>
        <w:tc>
          <w:tcPr>
            <w:tcW w:type="dxa" w:w="2924"/>
            <w:vAlign w:val="center"/>
            <w:tcMar>
              <w:top w:w="80" w:type="dxa"/>
              <w:bottom w:w="80" w:type="dxa"/>
              <w:left w:w="100" w:type="dxa"/>
              <w:right w:w="100" w:type="dxa"/>
            </w:tcMar>
            <w:shd w:fill="F4F7F8"/>
          </w:tcPr>
          <w:p>
            <w:pPr>
              <w:keepNext w:val="0"/>
              <w:spacing w:after="0" w:before="0" w:line="252" w:lineRule="auto"/>
            </w:pPr>
            <w:r>
              <w:rPr>
                <w:sz w:val="20"/>
              </w:rPr>
              <w:t>Custody evidence date</w:t>
            </w:r>
          </w:p>
        </w:tc>
        <w:tc>
          <w:tcPr>
            <w:tcW w:type="dxa" w:w="6822"/>
            <w:vAlign w:val="center"/>
            <w:tcMar>
              <w:top w:w="80" w:type="dxa"/>
              <w:bottom w:w="80" w:type="dxa"/>
              <w:left w:w="100" w:type="dxa"/>
              <w:right w:w="100" w:type="dxa"/>
            </w:tcMar>
            <w:shd w:fill="F4F7F8"/>
          </w:tcPr>
          <w:p>
            <w:pPr>
              <w:keepNext w:val="0"/>
              <w:spacing w:after="0" w:before="0" w:line="252" w:lineRule="auto"/>
              <w:jc w:val="center"/>
            </w:pPr>
            <w:r>
              <w:rPr>
                <w:sz w:val="20"/>
              </w:rPr>
              <w:t>2026-09-23</w:t>
            </w:r>
          </w:p>
        </w:tc>
      </w:tr>
    </w:tbl>
    <w:p>
      <w:pPr>
        <w:spacing w:after="60" w:before="0" w:line="40" w:lineRule="exact"/>
      </w:pPr>
      <w:r>
        <w:rPr>
          <w:sz w:val="4"/>
        </w:rPr>
      </w:r>
    </w:p>
    <w:p>
      <w:r>
        <w:rPr>
          <w:b/>
        </w:rPr>
        <w:t xml:space="preserve">Fee definition. </w:t>
      </w:r>
      <w:r>
        <w:t>Total expense ratio reported by issuer.</w:t>
      </w:r>
    </w:p>
    <w:p>
      <w:r>
        <w:rPr>
          <w:b/>
        </w:rPr>
        <w:t xml:space="preserve">Allocation. </w:t>
      </w:r>
      <w:r>
        <w:t>March 2026 prospectus describes underlying gold held in allocated form. Detailed dealing-account limits have not been fully classified in this first table.</w:t>
      </w:r>
    </w:p>
    <w:p>
      <w:r>
        <w:rPr>
          <w:b/>
        </w:rPr>
        <w:t xml:space="preserve">Bullion storage. </w:t>
      </w:r>
      <w:r>
        <w:t>Prospectus identifies Zurich vaults and UBS Switzerland AG as the appointed vaulting agent. The custodian may appoint other Swiss banks.</w:t>
      </w:r>
    </w:p>
    <w:p>
      <w:r>
        <w:rPr>
          <w:b/>
        </w:rPr>
        <w:t xml:space="preserve">Location holding limits. </w:t>
      </w:r>
      <w:r>
        <w:t>The prospectus states that all underlying gold held in allocated form will be held by the vaulting agent in Zurich. This constrains the location of allocated gold rather than setting a percentage of the fund’s entire NAV. No per-vault percentage, ounce or dollar limit is stated in the reviewed clause. UBS Switzerland is the named vaulting agent; the custodian may appoint other Swiss banks.</w:t>
      </w:r>
    </w:p>
    <w:p>
      <w:r>
        <w:rPr>
          <w:b/>
        </w:rPr>
        <w:t xml:space="preserve">Limit scope. </w:t>
      </w:r>
      <w:r>
        <w:t>Allocated bullion of the Swiss subfund, not cash or hedge positions.</w:t>
      </w:r>
    </w:p>
    <w:p>
      <w:r>
        <w:rPr>
          <w:b w:val="0"/>
        </w:rPr>
        <w:t>Current ounces and tonnes are not populated on the saved product page. Historical reports are retained separately.</w:t>
      </w:r>
    </w:p>
    <w:p>
      <w:r>
        <w:rPr>
          <w:b/>
        </w:rPr>
        <w:t xml:space="preserve">Location clause source. </w:t>
      </w:r>
      <w:hyperlink r:id="rId27">
        <w:r>
          <w:rPr>
            <w:color w:val="235779"/>
            <w:u w:val="single"/>
          </w:rPr>
          <w:t>March 2026 prospectus: custody and vaulting agent</w:t>
        </w:r>
      </w:hyperlink>
      <w:r>
        <w:t xml:space="preserve"> — Custody, PDF page 12; Custodian Bank, PDF page 14</w:t>
      </w:r>
    </w:p>
    <w:p>
      <w:pPr>
        <w:pStyle w:val="Heading2"/>
        <w:pageBreakBefore w:val="0"/>
      </w:pPr>
      <w:r>
        <w:t>Recorded listings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86"/>
        <w:gridCol w:w="1754"/>
        <w:gridCol w:w="1169"/>
        <w:gridCol w:w="2436"/>
      </w:tblGrid>
      <w:tr>
        <w:trPr>
          <w:tblHeader/>
          <w:cantSplit/>
        </w:trPr>
        <w:tc>
          <w:tcPr>
            <w:tcW w:type="dxa" w:w="4386"/>
            <w:vAlign w:val="center"/>
            <w:tcMar>
              <w:top w:w="80" w:type="dxa"/>
              <w:bottom w:w="80" w:type="dxa"/>
              <w:left w:w="100" w:type="dxa"/>
              <w:right w:w="100" w:type="dxa"/>
            </w:tcMar>
            <w:shd w:fill="DCE6EB"/>
          </w:tcPr>
          <w:p>
            <w:pPr>
              <w:keepNext/>
              <w:spacing w:after="0" w:before="0" w:line="252" w:lineRule="auto"/>
            </w:pPr>
            <w:r>
              <w:rPr>
                <w:b/>
                <w:sz w:val="20"/>
              </w:rPr>
              <w:t>Exchange</w:t>
            </w:r>
          </w:p>
        </w:tc>
        <w:tc>
          <w:tcPr>
            <w:tcW w:type="dxa" w:w="1754"/>
            <w:vAlign w:val="center"/>
            <w:tcMar>
              <w:top w:w="80" w:type="dxa"/>
              <w:bottom w:w="80" w:type="dxa"/>
              <w:left w:w="100" w:type="dxa"/>
              <w:right w:w="100" w:type="dxa"/>
            </w:tcMar>
            <w:shd w:fill="DCE6EB"/>
          </w:tcPr>
          <w:p>
            <w:pPr>
              <w:keepNext/>
              <w:spacing w:after="0" w:before="0" w:line="252" w:lineRule="auto"/>
              <w:jc w:val="center"/>
            </w:pPr>
            <w:r>
              <w:rPr>
                <w:b/>
                <w:sz w:val="20"/>
              </w:rPr>
              <w:t>Ticker</w:t>
            </w:r>
          </w:p>
        </w:tc>
        <w:tc>
          <w:tcPr>
            <w:tcW w:type="dxa" w:w="1169"/>
            <w:vAlign w:val="center"/>
            <w:tcMar>
              <w:top w:w="80" w:type="dxa"/>
              <w:bottom w:w="80" w:type="dxa"/>
              <w:left w:w="100" w:type="dxa"/>
              <w:right w:w="100" w:type="dxa"/>
            </w:tcMar>
            <w:shd w:fill="DCE6EB"/>
          </w:tcPr>
          <w:p>
            <w:pPr>
              <w:keepNext/>
              <w:spacing w:after="0" w:before="0" w:line="252" w:lineRule="auto"/>
              <w:jc w:val="center"/>
            </w:pPr>
            <w:r>
              <w:rPr>
                <w:b/>
                <w:sz w:val="20"/>
              </w:rPr>
              <w:t>Currency</w:t>
            </w:r>
          </w:p>
        </w:tc>
        <w:tc>
          <w:tcPr>
            <w:tcW w:type="dxa" w:w="2436"/>
            <w:vAlign w:val="center"/>
            <w:tcMar>
              <w:top w:w="80" w:type="dxa"/>
              <w:bottom w:w="80" w:type="dxa"/>
              <w:left w:w="100" w:type="dxa"/>
              <w:right w:w="100" w:type="dxa"/>
            </w:tcMar>
            <w:shd w:fill="DCE6EB"/>
          </w:tcPr>
          <w:p>
            <w:pPr>
              <w:keepNext/>
              <w:spacing w:after="0" w:before="0" w:line="252" w:lineRule="auto"/>
              <w:jc w:val="center"/>
            </w:pPr>
            <w:r>
              <w:rPr>
                <w:b/>
                <w:sz w:val="20"/>
              </w:rPr>
              <w:t>Listing date</w:t>
            </w:r>
          </w:p>
        </w:tc>
      </w:tr>
      <w:tr>
        <w:trPr>
          <w:cantSplit/>
        </w:trPr>
        <w:tc>
          <w:tcPr>
            <w:tcW w:type="dxa" w:w="4386"/>
            <w:vAlign w:val="center"/>
            <w:tcMar>
              <w:top w:w="80" w:type="dxa"/>
              <w:bottom w:w="80" w:type="dxa"/>
              <w:left w:w="100" w:type="dxa"/>
              <w:right w:w="100" w:type="dxa"/>
            </w:tcMar>
            <w:shd w:fill="FFFFFF"/>
          </w:tcPr>
          <w:p>
            <w:pPr>
              <w:keepNext w:val="0"/>
              <w:spacing w:after="0" w:before="0" w:line="252" w:lineRule="auto"/>
            </w:pPr>
            <w:r>
              <w:rPr>
                <w:sz w:val="20"/>
              </w:rPr>
              <w:t>SIX Swiss Exchange</w:t>
            </w:r>
          </w:p>
        </w:tc>
        <w:tc>
          <w:tcPr>
            <w:tcW w:type="dxa" w:w="1754"/>
            <w:vAlign w:val="center"/>
            <w:tcMar>
              <w:top w:w="80" w:type="dxa"/>
              <w:bottom w:w="80" w:type="dxa"/>
              <w:left w:w="100" w:type="dxa"/>
              <w:right w:w="100" w:type="dxa"/>
            </w:tcMar>
            <w:shd w:fill="FFFFFF"/>
          </w:tcPr>
          <w:p>
            <w:pPr>
              <w:keepNext w:val="0"/>
              <w:spacing w:after="0" w:before="0" w:line="252" w:lineRule="auto"/>
              <w:jc w:val="center"/>
            </w:pPr>
            <w:r>
              <w:rPr>
                <w:sz w:val="20"/>
              </w:rPr>
              <w:t>CSGOLD</w:t>
            </w:r>
          </w:p>
        </w:tc>
        <w:tc>
          <w:tcPr>
            <w:tcW w:type="dxa" w:w="1169"/>
            <w:vAlign w:val="center"/>
            <w:tcMar>
              <w:top w:w="80" w:type="dxa"/>
              <w:bottom w:w="80" w:type="dxa"/>
              <w:left w:w="100" w:type="dxa"/>
              <w:right w:w="100" w:type="dxa"/>
            </w:tcMar>
            <w:shd w:fill="FFFFFF"/>
          </w:tcPr>
          <w:p>
            <w:pPr>
              <w:keepNext w:val="0"/>
              <w:spacing w:after="0" w:before="0" w:line="252" w:lineRule="auto"/>
              <w:jc w:val="center"/>
            </w:pPr>
            <w:r>
              <w:rPr>
                <w:sz w:val="20"/>
              </w:rPr>
              <w:t>USD</w:t>
            </w:r>
          </w:p>
        </w:tc>
        <w:tc>
          <w:tcPr>
            <w:tcW w:type="dxa" w:w="2436"/>
            <w:vAlign w:val="center"/>
            <w:tcMar>
              <w:top w:w="80" w:type="dxa"/>
              <w:bottom w:w="80" w:type="dxa"/>
              <w:left w:w="100" w:type="dxa"/>
              <w:right w:w="100" w:type="dxa"/>
            </w:tcMar>
            <w:shd w:fill="FFFFFF"/>
          </w:tcPr>
          <w:p>
            <w:pPr>
              <w:keepNext w:val="0"/>
              <w:spacing w:after="0" w:before="0" w:line="252" w:lineRule="auto"/>
              <w:jc w:val="center"/>
            </w:pPr>
            <w:r>
              <w:rPr>
                <w:sz w:val="20"/>
              </w:rPr>
              <w:t>06-Oct-2009</w:t>
            </w:r>
          </w:p>
        </w:tc>
      </w:tr>
    </w:tbl>
    <w:p>
      <w:pPr>
        <w:spacing w:after="60" w:before="0" w:line="40" w:lineRule="exact"/>
      </w:pPr>
      <w:r>
        <w:rPr>
          <w:sz w:val="4"/>
        </w:rPr>
      </w:r>
    </w:p>
    <w:p>
      <w:pPr>
        <w:pStyle w:val="Heading2"/>
        <w:pageBreakBefore w:val="0"/>
      </w:pPr>
      <w:r>
        <w:t>Sources</w:t>
      </w:r>
    </w:p>
    <w:p>
      <w:pPr>
        <w:spacing w:after="80"/>
      </w:pPr>
      <w:hyperlink r:id="rId28">
        <w:r>
          <w:rPr>
            <w:color w:val="235779"/>
            <w:u w:val="single"/>
          </w:rPr>
          <w:t>Issuer product page</w:t>
        </w:r>
      </w:hyperlink>
      <w:r>
        <w:t xml:space="preserve">  ·  </w:t>
      </w:r>
      <w:hyperlink r:id="rId29">
        <w:r>
          <w:rPr>
            <w:color w:val="235779"/>
            <w:u w:val="single"/>
          </w:rPr>
          <w:t>Saved source</w:t>
        </w:r>
      </w:hyperlink>
    </w:p>
    <w:p>
      <w:pPr>
        <w:spacing w:after="80"/>
      </w:pPr>
      <w:hyperlink r:id="rId30">
        <w:r>
          <w:rPr>
            <w:color w:val="235779"/>
            <w:u w:val="single"/>
          </w:rPr>
          <w:t>March 2026 prospectus: custody and vaulting agent</w:t>
        </w:r>
      </w:hyperlink>
      <w:r>
        <w:t xml:space="preserve">  ·  </w:t>
      </w:r>
      <w:hyperlink r:id="rId31">
        <w:r>
          <w:rPr>
            <w:color w:val="235779"/>
            <w:u w:val="single"/>
          </w:rPr>
          <w:t>Saved source</w:t>
        </w:r>
      </w:hyperlink>
    </w:p>
    <w:p>
      <w:bookmarkStart w:id="10" w:name="product_8"/>
      <w:pPr>
        <w:pStyle w:val="Heading1"/>
        <w:pageBreakBefore w:val="0"/>
        <w:spacing w:before="360"/>
      </w:pPr>
      <w:r>
        <w:t>08  iShares Gold CHF Hedged ETF (CH)</w:t>
      </w:r>
      <w:bookmarkEnd w:id="10"/>
    </w:p>
    <w:p>
      <w:pPr>
        <w:keepNext/>
      </w:pPr>
      <w:r>
        <w:rPr>
          <w:b/>
        </w:rPr>
        <w:t>CSGLDC  |  Switzerland  |  Gold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24"/>
        <w:gridCol w:w="6822"/>
      </w:tblGrid>
      <w:tr>
        <w:trPr>
          <w:tblHeader/>
          <w:cantSplit/>
        </w:trPr>
        <w:tc>
          <w:tcPr>
            <w:tcW w:type="dxa" w:w="2924"/>
            <w:vAlign w:val="center"/>
            <w:tcMar>
              <w:top w:w="80" w:type="dxa"/>
              <w:bottom w:w="80" w:type="dxa"/>
              <w:left w:w="100" w:type="dxa"/>
              <w:right w:w="100" w:type="dxa"/>
            </w:tcMar>
            <w:shd w:fill="DCE6EB"/>
          </w:tcPr>
          <w:p>
            <w:pPr>
              <w:keepNext/>
              <w:spacing w:after="0" w:before="0" w:line="252" w:lineRule="auto"/>
            </w:pPr>
            <w:r>
              <w:rPr>
                <w:b/>
                <w:sz w:val="20"/>
              </w:rPr>
              <w:t>Field</w:t>
            </w:r>
          </w:p>
        </w:tc>
        <w:tc>
          <w:tcPr>
            <w:tcW w:type="dxa" w:w="6822"/>
            <w:vAlign w:val="center"/>
            <w:tcMar>
              <w:top w:w="80" w:type="dxa"/>
              <w:bottom w:w="80" w:type="dxa"/>
              <w:left w:w="100" w:type="dxa"/>
              <w:right w:w="100" w:type="dxa"/>
            </w:tcMar>
            <w:shd w:fill="DCE6EB"/>
          </w:tcPr>
          <w:p>
            <w:pPr>
              <w:keepNext/>
              <w:spacing w:after="0" w:before="0" w:line="252" w:lineRule="auto"/>
              <w:jc w:val="center"/>
            </w:pPr>
            <w:r>
              <w:rPr>
                <w:b/>
                <w:sz w:val="20"/>
              </w:rPr>
              <w:t>Detail</w:t>
            </w:r>
          </w:p>
        </w:tc>
      </w:tr>
      <w:tr>
        <w:trPr>
          <w:cantSplit/>
        </w:trPr>
        <w:tc>
          <w:tcPr>
            <w:tcW w:type="dxa" w:w="2924"/>
            <w:vAlign w:val="center"/>
            <w:tcMar>
              <w:top w:w="80" w:type="dxa"/>
              <w:bottom w:w="80" w:type="dxa"/>
              <w:left w:w="100" w:type="dxa"/>
              <w:right w:w="100" w:type="dxa"/>
            </w:tcMar>
            <w:shd w:fill="FFFFFF"/>
          </w:tcPr>
          <w:p>
            <w:pPr>
              <w:keepNext w:val="0"/>
              <w:spacing w:after="0" w:before="0" w:line="252" w:lineRule="auto"/>
            </w:pPr>
            <w:r>
              <w:rPr>
                <w:sz w:val="20"/>
              </w:rPr>
              <w:t>Legal form</w:t>
            </w:r>
          </w:p>
        </w:tc>
        <w:tc>
          <w:tcPr>
            <w:tcW w:type="dxa" w:w="6822"/>
            <w:vAlign w:val="center"/>
            <w:tcMar>
              <w:top w:w="80" w:type="dxa"/>
              <w:bottom w:w="80" w:type="dxa"/>
              <w:left w:w="100" w:type="dxa"/>
              <w:right w:w="100" w:type="dxa"/>
            </w:tcMar>
            <w:shd w:fill="FFFFFF"/>
          </w:tcPr>
          <w:p>
            <w:pPr>
              <w:keepNext w:val="0"/>
              <w:spacing w:after="0" w:before="0" w:line="252" w:lineRule="auto"/>
            </w:pPr>
            <w:r>
              <w:rPr>
                <w:sz w:val="20"/>
              </w:rPr>
              <w:t>Swiss domiciled contractual investment fund</w:t>
            </w:r>
          </w:p>
        </w:tc>
      </w:tr>
      <w:tr>
        <w:trPr>
          <w:cantSplit/>
        </w:trPr>
        <w:tc>
          <w:tcPr>
            <w:tcW w:type="dxa" w:w="2924"/>
            <w:vAlign w:val="center"/>
            <w:tcMar>
              <w:top w:w="80" w:type="dxa"/>
              <w:bottom w:w="80" w:type="dxa"/>
              <w:left w:w="100" w:type="dxa"/>
              <w:right w:w="100" w:type="dxa"/>
            </w:tcMar>
            <w:shd w:fill="F4F7F8"/>
          </w:tcPr>
          <w:p>
            <w:pPr>
              <w:keepNext w:val="0"/>
              <w:spacing w:after="0" w:before="0" w:line="252" w:lineRule="auto"/>
            </w:pPr>
            <w:r>
              <w:rPr>
                <w:sz w:val="20"/>
              </w:rPr>
              <w:t>Issuer or sponsor</w:t>
            </w:r>
          </w:p>
        </w:tc>
        <w:tc>
          <w:tcPr>
            <w:tcW w:type="dxa" w:w="6822"/>
            <w:vAlign w:val="center"/>
            <w:tcMar>
              <w:top w:w="80" w:type="dxa"/>
              <w:bottom w:w="80" w:type="dxa"/>
              <w:left w:w="100" w:type="dxa"/>
              <w:right w:w="100" w:type="dxa"/>
            </w:tcMar>
            <w:shd w:fill="F4F7F8"/>
          </w:tcPr>
          <w:p>
            <w:pPr>
              <w:keepNext w:val="0"/>
              <w:spacing w:after="0" w:before="0" w:line="252" w:lineRule="auto"/>
              <w:jc w:val="center"/>
            </w:pPr>
            <w:r>
              <w:rPr>
                <w:sz w:val="20"/>
              </w:rPr>
              <w:t>iShares ETF II (CH)</w:t>
            </w:r>
          </w:p>
        </w:tc>
      </w:tr>
      <w:tr>
        <w:trPr>
          <w:cantSplit/>
        </w:trPr>
        <w:tc>
          <w:tcPr>
            <w:tcW w:type="dxa" w:w="2924"/>
            <w:vAlign w:val="center"/>
            <w:tcMar>
              <w:top w:w="80" w:type="dxa"/>
              <w:bottom w:w="80" w:type="dxa"/>
              <w:left w:w="100" w:type="dxa"/>
              <w:right w:w="100" w:type="dxa"/>
            </w:tcMar>
            <w:shd w:fill="FFFFFF"/>
          </w:tcPr>
          <w:p>
            <w:pPr>
              <w:keepNext w:val="0"/>
              <w:spacing w:after="0" w:before="0" w:line="252" w:lineRule="auto"/>
            </w:pPr>
            <w:r>
              <w:rPr>
                <w:sz w:val="20"/>
              </w:rPr>
              <w:t>Launch or class inception</w:t>
            </w:r>
          </w:p>
        </w:tc>
        <w:tc>
          <w:tcPr>
            <w:tcW w:type="dxa" w:w="6822"/>
            <w:vAlign w:val="center"/>
            <w:tcMar>
              <w:top w:w="80" w:type="dxa"/>
              <w:bottom w:w="80" w:type="dxa"/>
              <w:left w:w="100" w:type="dxa"/>
              <w:right w:w="100" w:type="dxa"/>
            </w:tcMar>
            <w:shd w:fill="FFFFFF"/>
          </w:tcPr>
          <w:p>
            <w:pPr>
              <w:keepNext w:val="0"/>
              <w:spacing w:after="0" w:before="0" w:line="252" w:lineRule="auto"/>
              <w:jc w:val="center"/>
            </w:pPr>
            <w:r>
              <w:rPr>
                <w:sz w:val="20"/>
              </w:rPr>
              <w:t>05-Oct-2009</w:t>
            </w:r>
          </w:p>
        </w:tc>
      </w:tr>
      <w:tr>
        <w:trPr>
          <w:cantSplit/>
        </w:trPr>
        <w:tc>
          <w:tcPr>
            <w:tcW w:type="dxa" w:w="2924"/>
            <w:vAlign w:val="center"/>
            <w:tcMar>
              <w:top w:w="80" w:type="dxa"/>
              <w:bottom w:w="80" w:type="dxa"/>
              <w:left w:w="100" w:type="dxa"/>
              <w:right w:w="100" w:type="dxa"/>
            </w:tcMar>
            <w:shd w:fill="F4F7F8"/>
          </w:tcPr>
          <w:p>
            <w:pPr>
              <w:keepNext w:val="0"/>
              <w:spacing w:after="0" w:before="0" w:line="252" w:lineRule="auto"/>
            </w:pPr>
            <w:r>
              <w:rPr>
                <w:sz w:val="20"/>
              </w:rPr>
              <w:t>ISIN / CUSIP</w:t>
            </w:r>
          </w:p>
        </w:tc>
        <w:tc>
          <w:tcPr>
            <w:tcW w:type="dxa" w:w="6822"/>
            <w:vAlign w:val="center"/>
            <w:tcMar>
              <w:top w:w="80" w:type="dxa"/>
              <w:bottom w:w="80" w:type="dxa"/>
              <w:left w:w="100" w:type="dxa"/>
              <w:right w:w="100" w:type="dxa"/>
            </w:tcMar>
            <w:shd w:fill="F4F7F8"/>
          </w:tcPr>
          <w:p>
            <w:pPr>
              <w:keepNext w:val="0"/>
              <w:spacing w:after="0" w:before="0" w:line="252" w:lineRule="auto"/>
              <w:jc w:val="center"/>
            </w:pPr>
            <w:r>
              <w:rPr>
                <w:sz w:val="20"/>
              </w:rPr>
              <w:t>CH0104136285</w:t>
            </w:r>
          </w:p>
        </w:tc>
      </w:tr>
      <w:tr>
        <w:trPr>
          <w:cantSplit/>
        </w:trPr>
        <w:tc>
          <w:tcPr>
            <w:tcW w:type="dxa" w:w="2924"/>
            <w:vAlign w:val="center"/>
            <w:tcMar>
              <w:top w:w="80" w:type="dxa"/>
              <w:bottom w:w="80" w:type="dxa"/>
              <w:left w:w="100" w:type="dxa"/>
              <w:right w:w="100" w:type="dxa"/>
            </w:tcMar>
            <w:shd w:fill="FFFFFF"/>
          </w:tcPr>
          <w:p>
            <w:pPr>
              <w:keepNext w:val="0"/>
              <w:spacing w:after="0" w:before="0" w:line="252" w:lineRule="auto"/>
            </w:pPr>
            <w:r>
              <w:rPr>
                <w:sz w:val="20"/>
              </w:rPr>
              <w:t>Reported net assets</w:t>
            </w:r>
          </w:p>
        </w:tc>
        <w:tc>
          <w:tcPr>
            <w:tcW w:type="dxa" w:w="6822"/>
            <w:vAlign w:val="center"/>
            <w:tcMar>
              <w:top w:w="80" w:type="dxa"/>
              <w:bottom w:w="80" w:type="dxa"/>
              <w:left w:w="100" w:type="dxa"/>
              <w:right w:w="100" w:type="dxa"/>
            </w:tcMar>
            <w:shd w:fill="FFFFFF"/>
          </w:tcPr>
          <w:p>
            <w:pPr>
              <w:keepNext w:val="0"/>
              <w:spacing w:after="0" w:before="0" w:line="252" w:lineRule="auto"/>
            </w:pPr>
            <w:r>
              <w:rPr>
                <w:sz w:val="20"/>
              </w:rPr>
              <w:t>CHF 622,040,961.18 as of 2026-09-22</w:t>
            </w:r>
          </w:p>
        </w:tc>
      </w:tr>
      <w:tr>
        <w:trPr>
          <w:cantSplit/>
        </w:trPr>
        <w:tc>
          <w:tcPr>
            <w:tcW w:type="dxa" w:w="2924"/>
            <w:vAlign w:val="center"/>
            <w:tcMar>
              <w:top w:w="80" w:type="dxa"/>
              <w:bottom w:w="80" w:type="dxa"/>
              <w:left w:w="100" w:type="dxa"/>
              <w:right w:w="100" w:type="dxa"/>
            </w:tcMar>
            <w:shd w:fill="F4F7F8"/>
          </w:tcPr>
          <w:p>
            <w:pPr>
              <w:keepNext w:val="0"/>
              <w:spacing w:after="0" w:before="0" w:line="252" w:lineRule="auto"/>
            </w:pPr>
            <w:r>
              <w:rPr>
                <w:sz w:val="20"/>
              </w:rPr>
              <w:t>Asset basis</w:t>
            </w:r>
          </w:p>
        </w:tc>
        <w:tc>
          <w:tcPr>
            <w:tcW w:type="dxa" w:w="6822"/>
            <w:vAlign w:val="center"/>
            <w:tcMar>
              <w:top w:w="80" w:type="dxa"/>
              <w:bottom w:w="80" w:type="dxa"/>
              <w:left w:w="100" w:type="dxa"/>
              <w:right w:w="100" w:type="dxa"/>
            </w:tcMar>
            <w:shd w:fill="F4F7F8"/>
          </w:tcPr>
          <w:p>
            <w:pPr>
              <w:keepNext w:val="0"/>
              <w:spacing w:after="0" w:before="0" w:line="252" w:lineRule="auto"/>
            </w:pPr>
            <w:r>
              <w:rPr>
                <w:sz w:val="20"/>
              </w:rPr>
              <w:t>Fund / trust / ETC series</w:t>
            </w:r>
          </w:p>
        </w:tc>
      </w:tr>
      <w:tr>
        <w:trPr>
          <w:cantSplit/>
        </w:trPr>
        <w:tc>
          <w:tcPr>
            <w:tcW w:type="dxa" w:w="2924"/>
            <w:vAlign w:val="center"/>
            <w:tcMar>
              <w:top w:w="80" w:type="dxa"/>
              <w:bottom w:w="80" w:type="dxa"/>
              <w:left w:w="100" w:type="dxa"/>
              <w:right w:w="100" w:type="dxa"/>
            </w:tcMar>
            <w:shd w:fill="FFFFFF"/>
          </w:tcPr>
          <w:p>
            <w:pPr>
              <w:keepNext w:val="0"/>
              <w:spacing w:after="0" w:before="0" w:line="252" w:lineRule="auto"/>
            </w:pPr>
            <w:r>
              <w:rPr>
                <w:sz w:val="20"/>
              </w:rPr>
              <w:t>Currency exposure</w:t>
            </w:r>
          </w:p>
        </w:tc>
        <w:tc>
          <w:tcPr>
            <w:tcW w:type="dxa" w:w="6822"/>
            <w:vAlign w:val="center"/>
            <w:tcMar>
              <w:top w:w="80" w:type="dxa"/>
              <w:bottom w:w="80" w:type="dxa"/>
              <w:left w:w="100" w:type="dxa"/>
              <w:right w:w="100" w:type="dxa"/>
            </w:tcMar>
            <w:shd w:fill="FFFFFF"/>
          </w:tcPr>
          <w:p>
            <w:pPr>
              <w:keepNext w:val="0"/>
              <w:spacing w:after="0" w:before="0" w:line="252" w:lineRule="auto"/>
              <w:jc w:val="center"/>
            </w:pPr>
            <w:r>
              <w:rPr>
                <w:sz w:val="20"/>
              </w:rPr>
              <w:t>CHF hedged</w:t>
            </w:r>
          </w:p>
        </w:tc>
      </w:tr>
      <w:tr>
        <w:trPr>
          <w:cantSplit/>
        </w:trPr>
        <w:tc>
          <w:tcPr>
            <w:tcW w:type="dxa" w:w="2924"/>
            <w:vAlign w:val="center"/>
            <w:tcMar>
              <w:top w:w="80" w:type="dxa"/>
              <w:bottom w:w="80" w:type="dxa"/>
              <w:left w:w="100" w:type="dxa"/>
              <w:right w:w="100" w:type="dxa"/>
            </w:tcMar>
            <w:shd w:fill="F4F7F8"/>
          </w:tcPr>
          <w:p>
            <w:pPr>
              <w:keepNext w:val="0"/>
              <w:spacing w:after="0" w:before="0" w:line="252" w:lineRule="auto"/>
            </w:pPr>
            <w:r>
              <w:rPr>
                <w:sz w:val="20"/>
              </w:rPr>
              <w:t>Annual fee</w:t>
            </w:r>
          </w:p>
        </w:tc>
        <w:tc>
          <w:tcPr>
            <w:tcW w:type="dxa" w:w="6822"/>
            <w:vAlign w:val="center"/>
            <w:tcMar>
              <w:top w:w="80" w:type="dxa"/>
              <w:bottom w:w="80" w:type="dxa"/>
              <w:left w:w="100" w:type="dxa"/>
              <w:right w:w="100" w:type="dxa"/>
            </w:tcMar>
            <w:shd w:fill="F4F7F8"/>
          </w:tcPr>
          <w:p>
            <w:pPr>
              <w:keepNext w:val="0"/>
              <w:spacing w:after="0" w:before="0" w:line="252" w:lineRule="auto"/>
              <w:jc w:val="center"/>
            </w:pPr>
            <w:r>
              <w:rPr>
                <w:sz w:val="20"/>
              </w:rPr>
              <w:t>0.22% — TER</w:t>
            </w:r>
          </w:p>
        </w:tc>
      </w:tr>
      <w:tr>
        <w:trPr>
          <w:cantSplit/>
        </w:trPr>
        <w:tc>
          <w:tcPr>
            <w:tcW w:type="dxa" w:w="2924"/>
            <w:vAlign w:val="center"/>
            <w:tcMar>
              <w:top w:w="80" w:type="dxa"/>
              <w:bottom w:w="80" w:type="dxa"/>
              <w:left w:w="100" w:type="dxa"/>
              <w:right w:w="100" w:type="dxa"/>
            </w:tcMar>
            <w:shd w:fill="FFFFFF"/>
          </w:tcPr>
          <w:p>
            <w:pPr>
              <w:keepNext w:val="0"/>
              <w:spacing w:after="0" w:before="0" w:line="252" w:lineRule="auto"/>
            </w:pPr>
            <w:r>
              <w:rPr>
                <w:sz w:val="20"/>
              </w:rPr>
              <w:t>Custodian</w:t>
            </w:r>
          </w:p>
        </w:tc>
        <w:tc>
          <w:tcPr>
            <w:tcW w:type="dxa" w:w="6822"/>
            <w:vAlign w:val="center"/>
            <w:tcMar>
              <w:top w:w="80" w:type="dxa"/>
              <w:bottom w:w="80" w:type="dxa"/>
              <w:left w:w="100" w:type="dxa"/>
              <w:right w:w="100" w:type="dxa"/>
            </w:tcMar>
            <w:shd w:fill="FFFFFF"/>
          </w:tcPr>
          <w:p>
            <w:pPr>
              <w:keepNext w:val="0"/>
              <w:spacing w:after="0" w:before="0" w:line="252" w:lineRule="auto"/>
            </w:pPr>
            <w:r>
              <w:rPr>
                <w:sz w:val="20"/>
              </w:rPr>
              <w:t>State Street Bank International GmbH, Munich, Zurich Branch; UBS Switzerland AG is the vaulting agent</w:t>
            </w:r>
          </w:p>
        </w:tc>
      </w:tr>
      <w:tr>
        <w:trPr>
          <w:cantSplit/>
        </w:trPr>
        <w:tc>
          <w:tcPr>
            <w:tcW w:type="dxa" w:w="2924"/>
            <w:vAlign w:val="center"/>
            <w:tcMar>
              <w:top w:w="80" w:type="dxa"/>
              <w:bottom w:w="80" w:type="dxa"/>
              <w:left w:w="100" w:type="dxa"/>
              <w:right w:w="100" w:type="dxa"/>
            </w:tcMar>
            <w:shd w:fill="F4F7F8"/>
          </w:tcPr>
          <w:p>
            <w:pPr>
              <w:keepNext w:val="0"/>
              <w:spacing w:after="0" w:before="0" w:line="252" w:lineRule="auto"/>
            </w:pPr>
            <w:r>
              <w:rPr>
                <w:sz w:val="20"/>
              </w:rPr>
              <w:t>Custody evidence date</w:t>
            </w:r>
          </w:p>
        </w:tc>
        <w:tc>
          <w:tcPr>
            <w:tcW w:type="dxa" w:w="6822"/>
            <w:vAlign w:val="center"/>
            <w:tcMar>
              <w:top w:w="80" w:type="dxa"/>
              <w:bottom w:w="80" w:type="dxa"/>
              <w:left w:w="100" w:type="dxa"/>
              <w:right w:w="100" w:type="dxa"/>
            </w:tcMar>
            <w:shd w:fill="F4F7F8"/>
          </w:tcPr>
          <w:p>
            <w:pPr>
              <w:keepNext w:val="0"/>
              <w:spacing w:after="0" w:before="0" w:line="252" w:lineRule="auto"/>
              <w:jc w:val="center"/>
            </w:pPr>
            <w:r>
              <w:rPr>
                <w:sz w:val="20"/>
              </w:rPr>
              <w:t>2026-09-23</w:t>
            </w:r>
          </w:p>
        </w:tc>
      </w:tr>
    </w:tbl>
    <w:p>
      <w:pPr>
        <w:spacing w:after="60" w:before="0" w:line="40" w:lineRule="exact"/>
      </w:pPr>
      <w:r>
        <w:rPr>
          <w:sz w:val="4"/>
        </w:rPr>
      </w:r>
    </w:p>
    <w:p>
      <w:r>
        <w:rPr>
          <w:b/>
        </w:rPr>
        <w:t xml:space="preserve">Fee definition. </w:t>
      </w:r>
      <w:r>
        <w:t>Total expense ratio reported by issuer.</w:t>
      </w:r>
    </w:p>
    <w:p>
      <w:r>
        <w:rPr>
          <w:b/>
        </w:rPr>
        <w:t xml:space="preserve">Allocation. </w:t>
      </w:r>
      <w:r>
        <w:t>March 2026 prospectus describes underlying gold held in allocated form. Detailed dealing-account limits have not been fully classified in this first table.</w:t>
      </w:r>
    </w:p>
    <w:p>
      <w:r>
        <w:rPr>
          <w:b/>
        </w:rPr>
        <w:t xml:space="preserve">Bullion storage. </w:t>
      </w:r>
      <w:r>
        <w:t>Prospectus identifies Zurich vaults and UBS Switzerland AG as the appointed vaulting agent. The custodian may appoint other Swiss banks.</w:t>
      </w:r>
    </w:p>
    <w:p>
      <w:r>
        <w:rPr>
          <w:b/>
        </w:rPr>
        <w:t xml:space="preserve">Location holding limits. </w:t>
      </w:r>
      <w:r>
        <w:t>The prospectus states that all underlying gold held in allocated form will be held by the vaulting agent in Zurich. This constrains the location of allocated gold rather than setting a percentage of the fund’s entire NAV. No per-vault percentage, ounce or dollar limit is stated in the reviewed clause. UBS Switzerland is the named vaulting agent; the custodian may appoint other Swiss banks.</w:t>
      </w:r>
    </w:p>
    <w:p>
      <w:r>
        <w:rPr>
          <w:b/>
        </w:rPr>
        <w:t xml:space="preserve">Limit scope. </w:t>
      </w:r>
      <w:r>
        <w:t>Allocated bullion of the Swiss subfund, not cash or hedge positions.</w:t>
      </w:r>
    </w:p>
    <w:p>
      <w:r>
        <w:rPr>
          <w:b w:val="0"/>
        </w:rPr>
        <w:t>Current ounces and tonnes are not populated on the saved product page. Historical reports are retained separately.</w:t>
      </w:r>
    </w:p>
    <w:p>
      <w:r>
        <w:rPr>
          <w:b/>
        </w:rPr>
        <w:t xml:space="preserve">Location clause source. </w:t>
      </w:r>
      <w:hyperlink r:id="rId27">
        <w:r>
          <w:rPr>
            <w:color w:val="235779"/>
            <w:u w:val="single"/>
          </w:rPr>
          <w:t>March 2026 prospectus: custody and vaulting agent</w:t>
        </w:r>
      </w:hyperlink>
      <w:r>
        <w:t xml:space="preserve"> — Custody, PDF page 12; Custodian Bank, PDF page 14</w:t>
      </w:r>
    </w:p>
    <w:p>
      <w:pPr>
        <w:pStyle w:val="Heading2"/>
        <w:pageBreakBefore w:val="0"/>
      </w:pPr>
      <w:r>
        <w:t>Recorded listings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86"/>
        <w:gridCol w:w="1754"/>
        <w:gridCol w:w="1169"/>
        <w:gridCol w:w="2436"/>
      </w:tblGrid>
      <w:tr>
        <w:trPr>
          <w:tblHeader/>
          <w:cantSplit/>
        </w:trPr>
        <w:tc>
          <w:tcPr>
            <w:tcW w:type="dxa" w:w="4386"/>
            <w:vAlign w:val="center"/>
            <w:tcMar>
              <w:top w:w="80" w:type="dxa"/>
              <w:bottom w:w="80" w:type="dxa"/>
              <w:left w:w="100" w:type="dxa"/>
              <w:right w:w="100" w:type="dxa"/>
            </w:tcMar>
            <w:shd w:fill="DCE6EB"/>
          </w:tcPr>
          <w:p>
            <w:pPr>
              <w:keepNext/>
              <w:spacing w:after="0" w:before="0" w:line="252" w:lineRule="auto"/>
            </w:pPr>
            <w:r>
              <w:rPr>
                <w:b/>
                <w:sz w:val="20"/>
              </w:rPr>
              <w:t>Exchange</w:t>
            </w:r>
          </w:p>
        </w:tc>
        <w:tc>
          <w:tcPr>
            <w:tcW w:type="dxa" w:w="1754"/>
            <w:vAlign w:val="center"/>
            <w:tcMar>
              <w:top w:w="80" w:type="dxa"/>
              <w:bottom w:w="80" w:type="dxa"/>
              <w:left w:w="100" w:type="dxa"/>
              <w:right w:w="100" w:type="dxa"/>
            </w:tcMar>
            <w:shd w:fill="DCE6EB"/>
          </w:tcPr>
          <w:p>
            <w:pPr>
              <w:keepNext/>
              <w:spacing w:after="0" w:before="0" w:line="252" w:lineRule="auto"/>
              <w:jc w:val="center"/>
            </w:pPr>
            <w:r>
              <w:rPr>
                <w:b/>
                <w:sz w:val="20"/>
              </w:rPr>
              <w:t>Ticker</w:t>
            </w:r>
          </w:p>
        </w:tc>
        <w:tc>
          <w:tcPr>
            <w:tcW w:type="dxa" w:w="1169"/>
            <w:vAlign w:val="center"/>
            <w:tcMar>
              <w:top w:w="80" w:type="dxa"/>
              <w:bottom w:w="80" w:type="dxa"/>
              <w:left w:w="100" w:type="dxa"/>
              <w:right w:w="100" w:type="dxa"/>
            </w:tcMar>
            <w:shd w:fill="DCE6EB"/>
          </w:tcPr>
          <w:p>
            <w:pPr>
              <w:keepNext/>
              <w:spacing w:after="0" w:before="0" w:line="252" w:lineRule="auto"/>
              <w:jc w:val="center"/>
            </w:pPr>
            <w:r>
              <w:rPr>
                <w:b/>
                <w:sz w:val="20"/>
              </w:rPr>
              <w:t>Currency</w:t>
            </w:r>
          </w:p>
        </w:tc>
        <w:tc>
          <w:tcPr>
            <w:tcW w:type="dxa" w:w="2436"/>
            <w:vAlign w:val="center"/>
            <w:tcMar>
              <w:top w:w="80" w:type="dxa"/>
              <w:bottom w:w="80" w:type="dxa"/>
              <w:left w:w="100" w:type="dxa"/>
              <w:right w:w="100" w:type="dxa"/>
            </w:tcMar>
            <w:shd w:fill="DCE6EB"/>
          </w:tcPr>
          <w:p>
            <w:pPr>
              <w:keepNext/>
              <w:spacing w:after="0" w:before="0" w:line="252" w:lineRule="auto"/>
              <w:jc w:val="center"/>
            </w:pPr>
            <w:r>
              <w:rPr>
                <w:b/>
                <w:sz w:val="20"/>
              </w:rPr>
              <w:t>Listing date</w:t>
            </w:r>
          </w:p>
        </w:tc>
      </w:tr>
      <w:tr>
        <w:trPr>
          <w:cantSplit/>
        </w:trPr>
        <w:tc>
          <w:tcPr>
            <w:tcW w:type="dxa" w:w="4386"/>
            <w:vAlign w:val="center"/>
            <w:tcMar>
              <w:top w:w="80" w:type="dxa"/>
              <w:bottom w:w="80" w:type="dxa"/>
              <w:left w:w="100" w:type="dxa"/>
              <w:right w:w="100" w:type="dxa"/>
            </w:tcMar>
            <w:shd w:fill="FFFFFF"/>
          </w:tcPr>
          <w:p>
            <w:pPr>
              <w:keepNext w:val="0"/>
              <w:spacing w:after="0" w:before="0" w:line="252" w:lineRule="auto"/>
            </w:pPr>
            <w:r>
              <w:rPr>
                <w:sz w:val="20"/>
              </w:rPr>
              <w:t>SIX Swiss Exchange</w:t>
            </w:r>
          </w:p>
        </w:tc>
        <w:tc>
          <w:tcPr>
            <w:tcW w:type="dxa" w:w="1754"/>
            <w:vAlign w:val="center"/>
            <w:tcMar>
              <w:top w:w="80" w:type="dxa"/>
              <w:bottom w:w="80" w:type="dxa"/>
              <w:left w:w="100" w:type="dxa"/>
              <w:right w:w="100" w:type="dxa"/>
            </w:tcMar>
            <w:shd w:fill="FFFFFF"/>
          </w:tcPr>
          <w:p>
            <w:pPr>
              <w:keepNext w:val="0"/>
              <w:spacing w:after="0" w:before="0" w:line="252" w:lineRule="auto"/>
              <w:jc w:val="center"/>
            </w:pPr>
            <w:r>
              <w:rPr>
                <w:sz w:val="20"/>
              </w:rPr>
              <w:t>CSGLDC</w:t>
            </w:r>
          </w:p>
        </w:tc>
        <w:tc>
          <w:tcPr>
            <w:tcW w:type="dxa" w:w="1169"/>
            <w:vAlign w:val="center"/>
            <w:tcMar>
              <w:top w:w="80" w:type="dxa"/>
              <w:bottom w:w="80" w:type="dxa"/>
              <w:left w:w="100" w:type="dxa"/>
              <w:right w:w="100" w:type="dxa"/>
            </w:tcMar>
            <w:shd w:fill="FFFFFF"/>
          </w:tcPr>
          <w:p>
            <w:pPr>
              <w:keepNext w:val="0"/>
              <w:spacing w:after="0" w:before="0" w:line="252" w:lineRule="auto"/>
              <w:jc w:val="center"/>
            </w:pPr>
            <w:r>
              <w:rPr>
                <w:sz w:val="20"/>
              </w:rPr>
              <w:t>CHF</w:t>
            </w:r>
          </w:p>
        </w:tc>
        <w:tc>
          <w:tcPr>
            <w:tcW w:type="dxa" w:w="2436"/>
            <w:vAlign w:val="center"/>
            <w:tcMar>
              <w:top w:w="80" w:type="dxa"/>
              <w:bottom w:w="80" w:type="dxa"/>
              <w:left w:w="100" w:type="dxa"/>
              <w:right w:w="100" w:type="dxa"/>
            </w:tcMar>
            <w:shd w:fill="FFFFFF"/>
          </w:tcPr>
          <w:p>
            <w:pPr>
              <w:keepNext w:val="0"/>
              <w:spacing w:after="0" w:before="0" w:line="252" w:lineRule="auto"/>
              <w:jc w:val="center"/>
            </w:pPr>
            <w:r>
              <w:rPr>
                <w:sz w:val="20"/>
              </w:rPr>
              <w:t>06-Oct-2009</w:t>
            </w:r>
          </w:p>
        </w:tc>
      </w:tr>
    </w:tbl>
    <w:p>
      <w:pPr>
        <w:spacing w:after="60" w:before="0" w:line="40" w:lineRule="exact"/>
      </w:pPr>
      <w:r>
        <w:rPr>
          <w:sz w:val="4"/>
        </w:rPr>
      </w:r>
    </w:p>
    <w:p>
      <w:pPr>
        <w:pStyle w:val="Heading2"/>
        <w:pageBreakBefore w:val="0"/>
      </w:pPr>
      <w:r>
        <w:t>Sources</w:t>
      </w:r>
    </w:p>
    <w:p>
      <w:pPr>
        <w:spacing w:after="80"/>
      </w:pPr>
      <w:hyperlink r:id="rId32">
        <w:r>
          <w:rPr>
            <w:color w:val="235779"/>
            <w:u w:val="single"/>
          </w:rPr>
          <w:t>Issuer product page</w:t>
        </w:r>
      </w:hyperlink>
      <w:r>
        <w:t xml:space="preserve">  ·  </w:t>
      </w:r>
      <w:hyperlink r:id="rId33">
        <w:r>
          <w:rPr>
            <w:color w:val="235779"/>
            <w:u w:val="single"/>
          </w:rPr>
          <w:t>Saved source</w:t>
        </w:r>
      </w:hyperlink>
    </w:p>
    <w:p>
      <w:pPr>
        <w:spacing w:after="80"/>
      </w:pPr>
      <w:hyperlink r:id="rId30">
        <w:r>
          <w:rPr>
            <w:color w:val="235779"/>
            <w:u w:val="single"/>
          </w:rPr>
          <w:t>March 2026 prospectus: custody and vaulting agent</w:t>
        </w:r>
      </w:hyperlink>
      <w:r>
        <w:t xml:space="preserve">  ·  </w:t>
      </w:r>
      <w:hyperlink r:id="rId31">
        <w:r>
          <w:rPr>
            <w:color w:val="235779"/>
            <w:u w:val="single"/>
          </w:rPr>
          <w:t>Saved source</w:t>
        </w:r>
      </w:hyperlink>
    </w:p>
    <w:p>
      <w:bookmarkStart w:id="11" w:name="product_9"/>
      <w:pPr>
        <w:pStyle w:val="Heading1"/>
        <w:pageBreakBefore w:val="0"/>
        <w:spacing w:before="360"/>
      </w:pPr>
      <w:r>
        <w:t>09  iShares Gold EUR Hedged ETF (CH)</w:t>
      </w:r>
      <w:bookmarkEnd w:id="11"/>
    </w:p>
    <w:p>
      <w:pPr>
        <w:keepNext/>
      </w:pPr>
      <w:r>
        <w:rPr>
          <w:b/>
        </w:rPr>
        <w:t>CSGLDE  |  Switzerland  |  Gold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24"/>
        <w:gridCol w:w="6822"/>
      </w:tblGrid>
      <w:tr>
        <w:trPr>
          <w:tblHeader/>
          <w:cantSplit/>
        </w:trPr>
        <w:tc>
          <w:tcPr>
            <w:tcW w:type="dxa" w:w="2924"/>
            <w:vAlign w:val="center"/>
            <w:tcMar>
              <w:top w:w="80" w:type="dxa"/>
              <w:bottom w:w="80" w:type="dxa"/>
              <w:left w:w="100" w:type="dxa"/>
              <w:right w:w="100" w:type="dxa"/>
            </w:tcMar>
            <w:shd w:fill="DCE6EB"/>
          </w:tcPr>
          <w:p>
            <w:pPr>
              <w:keepNext/>
              <w:spacing w:after="0" w:before="0" w:line="252" w:lineRule="auto"/>
            </w:pPr>
            <w:r>
              <w:rPr>
                <w:b/>
                <w:sz w:val="20"/>
              </w:rPr>
              <w:t>Field</w:t>
            </w:r>
          </w:p>
        </w:tc>
        <w:tc>
          <w:tcPr>
            <w:tcW w:type="dxa" w:w="6822"/>
            <w:vAlign w:val="center"/>
            <w:tcMar>
              <w:top w:w="80" w:type="dxa"/>
              <w:bottom w:w="80" w:type="dxa"/>
              <w:left w:w="100" w:type="dxa"/>
              <w:right w:w="100" w:type="dxa"/>
            </w:tcMar>
            <w:shd w:fill="DCE6EB"/>
          </w:tcPr>
          <w:p>
            <w:pPr>
              <w:keepNext/>
              <w:spacing w:after="0" w:before="0" w:line="252" w:lineRule="auto"/>
              <w:jc w:val="center"/>
            </w:pPr>
            <w:r>
              <w:rPr>
                <w:b/>
                <w:sz w:val="20"/>
              </w:rPr>
              <w:t>Detail</w:t>
            </w:r>
          </w:p>
        </w:tc>
      </w:tr>
      <w:tr>
        <w:trPr>
          <w:cantSplit/>
        </w:trPr>
        <w:tc>
          <w:tcPr>
            <w:tcW w:type="dxa" w:w="2924"/>
            <w:vAlign w:val="center"/>
            <w:tcMar>
              <w:top w:w="80" w:type="dxa"/>
              <w:bottom w:w="80" w:type="dxa"/>
              <w:left w:w="100" w:type="dxa"/>
              <w:right w:w="100" w:type="dxa"/>
            </w:tcMar>
            <w:shd w:fill="FFFFFF"/>
          </w:tcPr>
          <w:p>
            <w:pPr>
              <w:keepNext w:val="0"/>
              <w:spacing w:after="0" w:before="0" w:line="252" w:lineRule="auto"/>
            </w:pPr>
            <w:r>
              <w:rPr>
                <w:sz w:val="20"/>
              </w:rPr>
              <w:t>Legal form</w:t>
            </w:r>
          </w:p>
        </w:tc>
        <w:tc>
          <w:tcPr>
            <w:tcW w:type="dxa" w:w="6822"/>
            <w:vAlign w:val="center"/>
            <w:tcMar>
              <w:top w:w="80" w:type="dxa"/>
              <w:bottom w:w="80" w:type="dxa"/>
              <w:left w:w="100" w:type="dxa"/>
              <w:right w:w="100" w:type="dxa"/>
            </w:tcMar>
            <w:shd w:fill="FFFFFF"/>
          </w:tcPr>
          <w:p>
            <w:pPr>
              <w:keepNext w:val="0"/>
              <w:spacing w:after="0" w:before="0" w:line="252" w:lineRule="auto"/>
            </w:pPr>
            <w:r>
              <w:rPr>
                <w:sz w:val="20"/>
              </w:rPr>
              <w:t>Swiss domiciled contractual investment fund</w:t>
            </w:r>
          </w:p>
        </w:tc>
      </w:tr>
      <w:tr>
        <w:trPr>
          <w:cantSplit/>
        </w:trPr>
        <w:tc>
          <w:tcPr>
            <w:tcW w:type="dxa" w:w="2924"/>
            <w:vAlign w:val="center"/>
            <w:tcMar>
              <w:top w:w="80" w:type="dxa"/>
              <w:bottom w:w="80" w:type="dxa"/>
              <w:left w:w="100" w:type="dxa"/>
              <w:right w:w="100" w:type="dxa"/>
            </w:tcMar>
            <w:shd w:fill="F4F7F8"/>
          </w:tcPr>
          <w:p>
            <w:pPr>
              <w:keepNext w:val="0"/>
              <w:spacing w:after="0" w:before="0" w:line="252" w:lineRule="auto"/>
            </w:pPr>
            <w:r>
              <w:rPr>
                <w:sz w:val="20"/>
              </w:rPr>
              <w:t>Issuer or sponsor</w:t>
            </w:r>
          </w:p>
        </w:tc>
        <w:tc>
          <w:tcPr>
            <w:tcW w:type="dxa" w:w="6822"/>
            <w:vAlign w:val="center"/>
            <w:tcMar>
              <w:top w:w="80" w:type="dxa"/>
              <w:bottom w:w="80" w:type="dxa"/>
              <w:left w:w="100" w:type="dxa"/>
              <w:right w:w="100" w:type="dxa"/>
            </w:tcMar>
            <w:shd w:fill="F4F7F8"/>
          </w:tcPr>
          <w:p>
            <w:pPr>
              <w:keepNext w:val="0"/>
              <w:spacing w:after="0" w:before="0" w:line="252" w:lineRule="auto"/>
              <w:jc w:val="center"/>
            </w:pPr>
            <w:r>
              <w:rPr>
                <w:sz w:val="20"/>
              </w:rPr>
              <w:t>iShares ETF II (CH)</w:t>
            </w:r>
          </w:p>
        </w:tc>
      </w:tr>
      <w:tr>
        <w:trPr>
          <w:cantSplit/>
        </w:trPr>
        <w:tc>
          <w:tcPr>
            <w:tcW w:type="dxa" w:w="2924"/>
            <w:vAlign w:val="center"/>
            <w:tcMar>
              <w:top w:w="80" w:type="dxa"/>
              <w:bottom w:w="80" w:type="dxa"/>
              <w:left w:w="100" w:type="dxa"/>
              <w:right w:w="100" w:type="dxa"/>
            </w:tcMar>
            <w:shd w:fill="FFFFFF"/>
          </w:tcPr>
          <w:p>
            <w:pPr>
              <w:keepNext w:val="0"/>
              <w:spacing w:after="0" w:before="0" w:line="252" w:lineRule="auto"/>
            </w:pPr>
            <w:r>
              <w:rPr>
                <w:sz w:val="20"/>
              </w:rPr>
              <w:t>Launch or class inception</w:t>
            </w:r>
          </w:p>
        </w:tc>
        <w:tc>
          <w:tcPr>
            <w:tcW w:type="dxa" w:w="6822"/>
            <w:vAlign w:val="center"/>
            <w:tcMar>
              <w:top w:w="80" w:type="dxa"/>
              <w:bottom w:w="80" w:type="dxa"/>
              <w:left w:w="100" w:type="dxa"/>
              <w:right w:w="100" w:type="dxa"/>
            </w:tcMar>
            <w:shd w:fill="FFFFFF"/>
          </w:tcPr>
          <w:p>
            <w:pPr>
              <w:keepNext w:val="0"/>
              <w:spacing w:after="0" w:before="0" w:line="252" w:lineRule="auto"/>
              <w:jc w:val="center"/>
            </w:pPr>
            <w:r>
              <w:rPr>
                <w:sz w:val="20"/>
              </w:rPr>
              <w:t>05-Oct-2009</w:t>
            </w:r>
          </w:p>
        </w:tc>
      </w:tr>
      <w:tr>
        <w:trPr>
          <w:cantSplit/>
        </w:trPr>
        <w:tc>
          <w:tcPr>
            <w:tcW w:type="dxa" w:w="2924"/>
            <w:vAlign w:val="center"/>
            <w:tcMar>
              <w:top w:w="80" w:type="dxa"/>
              <w:bottom w:w="80" w:type="dxa"/>
              <w:left w:w="100" w:type="dxa"/>
              <w:right w:w="100" w:type="dxa"/>
            </w:tcMar>
            <w:shd w:fill="F4F7F8"/>
          </w:tcPr>
          <w:p>
            <w:pPr>
              <w:keepNext w:val="0"/>
              <w:spacing w:after="0" w:before="0" w:line="252" w:lineRule="auto"/>
            </w:pPr>
            <w:r>
              <w:rPr>
                <w:sz w:val="20"/>
              </w:rPr>
              <w:t>ISIN / CUSIP</w:t>
            </w:r>
          </w:p>
        </w:tc>
        <w:tc>
          <w:tcPr>
            <w:tcW w:type="dxa" w:w="6822"/>
            <w:vAlign w:val="center"/>
            <w:tcMar>
              <w:top w:w="80" w:type="dxa"/>
              <w:bottom w:w="80" w:type="dxa"/>
              <w:left w:w="100" w:type="dxa"/>
              <w:right w:w="100" w:type="dxa"/>
            </w:tcMar>
            <w:shd w:fill="F4F7F8"/>
          </w:tcPr>
          <w:p>
            <w:pPr>
              <w:keepNext w:val="0"/>
              <w:spacing w:after="0" w:before="0" w:line="252" w:lineRule="auto"/>
              <w:jc w:val="center"/>
            </w:pPr>
            <w:r>
              <w:rPr>
                <w:sz w:val="20"/>
              </w:rPr>
              <w:t>CH0104136319</w:t>
            </w:r>
          </w:p>
        </w:tc>
      </w:tr>
      <w:tr>
        <w:trPr>
          <w:cantSplit/>
        </w:trPr>
        <w:tc>
          <w:tcPr>
            <w:tcW w:type="dxa" w:w="2924"/>
            <w:vAlign w:val="center"/>
            <w:tcMar>
              <w:top w:w="80" w:type="dxa"/>
              <w:bottom w:w="80" w:type="dxa"/>
              <w:left w:w="100" w:type="dxa"/>
              <w:right w:w="100" w:type="dxa"/>
            </w:tcMar>
            <w:shd w:fill="FFFFFF"/>
          </w:tcPr>
          <w:p>
            <w:pPr>
              <w:keepNext w:val="0"/>
              <w:spacing w:after="0" w:before="0" w:line="252" w:lineRule="auto"/>
            </w:pPr>
            <w:r>
              <w:rPr>
                <w:sz w:val="20"/>
              </w:rPr>
              <w:t>Reported net assets</w:t>
            </w:r>
          </w:p>
        </w:tc>
        <w:tc>
          <w:tcPr>
            <w:tcW w:type="dxa" w:w="6822"/>
            <w:vAlign w:val="center"/>
            <w:tcMar>
              <w:top w:w="80" w:type="dxa"/>
              <w:bottom w:w="80" w:type="dxa"/>
              <w:left w:w="100" w:type="dxa"/>
              <w:right w:w="100" w:type="dxa"/>
            </w:tcMar>
            <w:shd w:fill="FFFFFF"/>
          </w:tcPr>
          <w:p>
            <w:pPr>
              <w:keepNext w:val="0"/>
              <w:spacing w:after="0" w:before="0" w:line="252" w:lineRule="auto"/>
            </w:pPr>
            <w:r>
              <w:rPr>
                <w:sz w:val="20"/>
              </w:rPr>
              <w:t>EUR 194,985,711.84 as of 2026-09-22</w:t>
            </w:r>
          </w:p>
        </w:tc>
      </w:tr>
      <w:tr>
        <w:trPr>
          <w:cantSplit/>
        </w:trPr>
        <w:tc>
          <w:tcPr>
            <w:tcW w:type="dxa" w:w="2924"/>
            <w:vAlign w:val="center"/>
            <w:tcMar>
              <w:top w:w="80" w:type="dxa"/>
              <w:bottom w:w="80" w:type="dxa"/>
              <w:left w:w="100" w:type="dxa"/>
              <w:right w:w="100" w:type="dxa"/>
            </w:tcMar>
            <w:shd w:fill="F4F7F8"/>
          </w:tcPr>
          <w:p>
            <w:pPr>
              <w:keepNext w:val="0"/>
              <w:spacing w:after="0" w:before="0" w:line="252" w:lineRule="auto"/>
            </w:pPr>
            <w:r>
              <w:rPr>
                <w:sz w:val="20"/>
              </w:rPr>
              <w:t>Asset basis</w:t>
            </w:r>
          </w:p>
        </w:tc>
        <w:tc>
          <w:tcPr>
            <w:tcW w:type="dxa" w:w="6822"/>
            <w:vAlign w:val="center"/>
            <w:tcMar>
              <w:top w:w="80" w:type="dxa"/>
              <w:bottom w:w="80" w:type="dxa"/>
              <w:left w:w="100" w:type="dxa"/>
              <w:right w:w="100" w:type="dxa"/>
            </w:tcMar>
            <w:shd w:fill="F4F7F8"/>
          </w:tcPr>
          <w:p>
            <w:pPr>
              <w:keepNext w:val="0"/>
              <w:spacing w:after="0" w:before="0" w:line="252" w:lineRule="auto"/>
            </w:pPr>
            <w:r>
              <w:rPr>
                <w:sz w:val="20"/>
              </w:rPr>
              <w:t>Fund / trust / ETC series</w:t>
            </w:r>
          </w:p>
        </w:tc>
      </w:tr>
      <w:tr>
        <w:trPr>
          <w:cantSplit/>
        </w:trPr>
        <w:tc>
          <w:tcPr>
            <w:tcW w:type="dxa" w:w="2924"/>
            <w:vAlign w:val="center"/>
            <w:tcMar>
              <w:top w:w="80" w:type="dxa"/>
              <w:bottom w:w="80" w:type="dxa"/>
              <w:left w:w="100" w:type="dxa"/>
              <w:right w:w="100" w:type="dxa"/>
            </w:tcMar>
            <w:shd w:fill="FFFFFF"/>
          </w:tcPr>
          <w:p>
            <w:pPr>
              <w:keepNext w:val="0"/>
              <w:spacing w:after="0" w:before="0" w:line="252" w:lineRule="auto"/>
            </w:pPr>
            <w:r>
              <w:rPr>
                <w:sz w:val="20"/>
              </w:rPr>
              <w:t>Currency exposure</w:t>
            </w:r>
          </w:p>
        </w:tc>
        <w:tc>
          <w:tcPr>
            <w:tcW w:type="dxa" w:w="6822"/>
            <w:vAlign w:val="center"/>
            <w:tcMar>
              <w:top w:w="80" w:type="dxa"/>
              <w:bottom w:w="80" w:type="dxa"/>
              <w:left w:w="100" w:type="dxa"/>
              <w:right w:w="100" w:type="dxa"/>
            </w:tcMar>
            <w:shd w:fill="FFFFFF"/>
          </w:tcPr>
          <w:p>
            <w:pPr>
              <w:keepNext w:val="0"/>
              <w:spacing w:after="0" w:before="0" w:line="252" w:lineRule="auto"/>
              <w:jc w:val="center"/>
            </w:pPr>
            <w:r>
              <w:rPr>
                <w:sz w:val="20"/>
              </w:rPr>
              <w:t>EUR hedged</w:t>
            </w:r>
          </w:p>
        </w:tc>
      </w:tr>
      <w:tr>
        <w:trPr>
          <w:cantSplit/>
        </w:trPr>
        <w:tc>
          <w:tcPr>
            <w:tcW w:type="dxa" w:w="2924"/>
            <w:vAlign w:val="center"/>
            <w:tcMar>
              <w:top w:w="80" w:type="dxa"/>
              <w:bottom w:w="80" w:type="dxa"/>
              <w:left w:w="100" w:type="dxa"/>
              <w:right w:w="100" w:type="dxa"/>
            </w:tcMar>
            <w:shd w:fill="F4F7F8"/>
          </w:tcPr>
          <w:p>
            <w:pPr>
              <w:keepNext w:val="0"/>
              <w:spacing w:after="0" w:before="0" w:line="252" w:lineRule="auto"/>
            </w:pPr>
            <w:r>
              <w:rPr>
                <w:sz w:val="20"/>
              </w:rPr>
              <w:t>Annual fee</w:t>
            </w:r>
          </w:p>
        </w:tc>
        <w:tc>
          <w:tcPr>
            <w:tcW w:type="dxa" w:w="6822"/>
            <w:vAlign w:val="center"/>
            <w:tcMar>
              <w:top w:w="80" w:type="dxa"/>
              <w:bottom w:w="80" w:type="dxa"/>
              <w:left w:w="100" w:type="dxa"/>
              <w:right w:w="100" w:type="dxa"/>
            </w:tcMar>
            <w:shd w:fill="F4F7F8"/>
          </w:tcPr>
          <w:p>
            <w:pPr>
              <w:keepNext w:val="0"/>
              <w:spacing w:after="0" w:before="0" w:line="252" w:lineRule="auto"/>
              <w:jc w:val="center"/>
            </w:pPr>
            <w:r>
              <w:rPr>
                <w:sz w:val="20"/>
              </w:rPr>
              <w:t>0.22% — TER</w:t>
            </w:r>
          </w:p>
        </w:tc>
      </w:tr>
      <w:tr>
        <w:trPr>
          <w:cantSplit/>
        </w:trPr>
        <w:tc>
          <w:tcPr>
            <w:tcW w:type="dxa" w:w="2924"/>
            <w:vAlign w:val="center"/>
            <w:tcMar>
              <w:top w:w="80" w:type="dxa"/>
              <w:bottom w:w="80" w:type="dxa"/>
              <w:left w:w="100" w:type="dxa"/>
              <w:right w:w="100" w:type="dxa"/>
            </w:tcMar>
            <w:shd w:fill="FFFFFF"/>
          </w:tcPr>
          <w:p>
            <w:pPr>
              <w:keepNext w:val="0"/>
              <w:spacing w:after="0" w:before="0" w:line="252" w:lineRule="auto"/>
            </w:pPr>
            <w:r>
              <w:rPr>
                <w:sz w:val="20"/>
              </w:rPr>
              <w:t>Custodian</w:t>
            </w:r>
          </w:p>
        </w:tc>
        <w:tc>
          <w:tcPr>
            <w:tcW w:type="dxa" w:w="6822"/>
            <w:vAlign w:val="center"/>
            <w:tcMar>
              <w:top w:w="80" w:type="dxa"/>
              <w:bottom w:w="80" w:type="dxa"/>
              <w:left w:w="100" w:type="dxa"/>
              <w:right w:w="100" w:type="dxa"/>
            </w:tcMar>
            <w:shd w:fill="FFFFFF"/>
          </w:tcPr>
          <w:p>
            <w:pPr>
              <w:keepNext w:val="0"/>
              <w:spacing w:after="0" w:before="0" w:line="252" w:lineRule="auto"/>
            </w:pPr>
            <w:r>
              <w:rPr>
                <w:sz w:val="20"/>
              </w:rPr>
              <w:t>State Street Bank International GmbH, Munich, Zurich Branch; UBS Switzerland AG is the vaulting agent</w:t>
            </w:r>
          </w:p>
        </w:tc>
      </w:tr>
      <w:tr>
        <w:trPr>
          <w:cantSplit/>
        </w:trPr>
        <w:tc>
          <w:tcPr>
            <w:tcW w:type="dxa" w:w="2924"/>
            <w:vAlign w:val="center"/>
            <w:tcMar>
              <w:top w:w="80" w:type="dxa"/>
              <w:bottom w:w="80" w:type="dxa"/>
              <w:left w:w="100" w:type="dxa"/>
              <w:right w:w="100" w:type="dxa"/>
            </w:tcMar>
            <w:shd w:fill="F4F7F8"/>
          </w:tcPr>
          <w:p>
            <w:pPr>
              <w:keepNext w:val="0"/>
              <w:spacing w:after="0" w:before="0" w:line="252" w:lineRule="auto"/>
            </w:pPr>
            <w:r>
              <w:rPr>
                <w:sz w:val="20"/>
              </w:rPr>
              <w:t>Custody evidence date</w:t>
            </w:r>
          </w:p>
        </w:tc>
        <w:tc>
          <w:tcPr>
            <w:tcW w:type="dxa" w:w="6822"/>
            <w:vAlign w:val="center"/>
            <w:tcMar>
              <w:top w:w="80" w:type="dxa"/>
              <w:bottom w:w="80" w:type="dxa"/>
              <w:left w:w="100" w:type="dxa"/>
              <w:right w:w="100" w:type="dxa"/>
            </w:tcMar>
            <w:shd w:fill="F4F7F8"/>
          </w:tcPr>
          <w:p>
            <w:pPr>
              <w:keepNext w:val="0"/>
              <w:spacing w:after="0" w:before="0" w:line="252" w:lineRule="auto"/>
              <w:jc w:val="center"/>
            </w:pPr>
            <w:r>
              <w:rPr>
                <w:sz w:val="20"/>
              </w:rPr>
              <w:t>2026-09-23</w:t>
            </w:r>
          </w:p>
        </w:tc>
      </w:tr>
    </w:tbl>
    <w:p>
      <w:pPr>
        <w:spacing w:after="60" w:before="0" w:line="40" w:lineRule="exact"/>
      </w:pPr>
      <w:r>
        <w:rPr>
          <w:sz w:val="4"/>
        </w:rPr>
      </w:r>
    </w:p>
    <w:p>
      <w:r>
        <w:rPr>
          <w:b/>
        </w:rPr>
        <w:t xml:space="preserve">Fee definition. </w:t>
      </w:r>
      <w:r>
        <w:t>Total expense ratio reported by issuer.</w:t>
      </w:r>
    </w:p>
    <w:p>
      <w:r>
        <w:rPr>
          <w:b/>
        </w:rPr>
        <w:t xml:space="preserve">Allocation. </w:t>
      </w:r>
      <w:r>
        <w:t>March 2026 prospectus describes underlying gold held in allocated form. Detailed dealing-account limits have not been fully classified in this first table.</w:t>
      </w:r>
    </w:p>
    <w:p>
      <w:r>
        <w:rPr>
          <w:b/>
        </w:rPr>
        <w:t xml:space="preserve">Bullion storage. </w:t>
      </w:r>
      <w:r>
        <w:t>Prospectus identifies Zurich vaults and UBS Switzerland AG as the appointed vaulting agent. The custodian may appoint other Swiss banks.</w:t>
      </w:r>
    </w:p>
    <w:p>
      <w:r>
        <w:rPr>
          <w:b/>
        </w:rPr>
        <w:t xml:space="preserve">Location holding limits. </w:t>
      </w:r>
      <w:r>
        <w:t>The prospectus states that all underlying gold held in allocated form will be held by the vaulting agent in Zurich. This constrains the location of allocated gold rather than setting a percentage of the fund’s entire NAV. No per-vault percentage, ounce or dollar limit is stated in the reviewed clause. UBS Switzerland is the named vaulting agent; the custodian may appoint other Swiss banks.</w:t>
      </w:r>
    </w:p>
    <w:p>
      <w:r>
        <w:rPr>
          <w:b/>
        </w:rPr>
        <w:t xml:space="preserve">Limit scope. </w:t>
      </w:r>
      <w:r>
        <w:t>Allocated bullion of the Swiss subfund, not cash or hedge positions.</w:t>
      </w:r>
    </w:p>
    <w:p>
      <w:r>
        <w:rPr>
          <w:b w:val="0"/>
        </w:rPr>
        <w:t>Current ounces and tonnes are not populated on the saved product page. Historical reports are retained separately.</w:t>
      </w:r>
    </w:p>
    <w:p>
      <w:r>
        <w:rPr>
          <w:b/>
        </w:rPr>
        <w:t xml:space="preserve">Location clause source. </w:t>
      </w:r>
      <w:hyperlink r:id="rId27">
        <w:r>
          <w:rPr>
            <w:color w:val="235779"/>
            <w:u w:val="single"/>
          </w:rPr>
          <w:t>March 2026 prospectus: custody and vaulting agent</w:t>
        </w:r>
      </w:hyperlink>
      <w:r>
        <w:t xml:space="preserve"> — Custody, PDF page 12; Custodian Bank, PDF page 14</w:t>
      </w:r>
    </w:p>
    <w:p>
      <w:pPr>
        <w:pStyle w:val="Heading2"/>
        <w:pageBreakBefore w:val="0"/>
      </w:pPr>
      <w:r>
        <w:t>Recorded listings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86"/>
        <w:gridCol w:w="1754"/>
        <w:gridCol w:w="1169"/>
        <w:gridCol w:w="2436"/>
      </w:tblGrid>
      <w:tr>
        <w:trPr>
          <w:tblHeader/>
          <w:cantSplit/>
        </w:trPr>
        <w:tc>
          <w:tcPr>
            <w:tcW w:type="dxa" w:w="4386"/>
            <w:vAlign w:val="center"/>
            <w:tcMar>
              <w:top w:w="80" w:type="dxa"/>
              <w:bottom w:w="80" w:type="dxa"/>
              <w:left w:w="100" w:type="dxa"/>
              <w:right w:w="100" w:type="dxa"/>
            </w:tcMar>
            <w:shd w:fill="DCE6EB"/>
          </w:tcPr>
          <w:p>
            <w:pPr>
              <w:keepNext/>
              <w:spacing w:after="0" w:before="0" w:line="252" w:lineRule="auto"/>
            </w:pPr>
            <w:r>
              <w:rPr>
                <w:b/>
                <w:sz w:val="20"/>
              </w:rPr>
              <w:t>Exchange</w:t>
            </w:r>
          </w:p>
        </w:tc>
        <w:tc>
          <w:tcPr>
            <w:tcW w:type="dxa" w:w="1754"/>
            <w:vAlign w:val="center"/>
            <w:tcMar>
              <w:top w:w="80" w:type="dxa"/>
              <w:bottom w:w="80" w:type="dxa"/>
              <w:left w:w="100" w:type="dxa"/>
              <w:right w:w="100" w:type="dxa"/>
            </w:tcMar>
            <w:shd w:fill="DCE6EB"/>
          </w:tcPr>
          <w:p>
            <w:pPr>
              <w:keepNext/>
              <w:spacing w:after="0" w:before="0" w:line="252" w:lineRule="auto"/>
              <w:jc w:val="center"/>
            </w:pPr>
            <w:r>
              <w:rPr>
                <w:b/>
                <w:sz w:val="20"/>
              </w:rPr>
              <w:t>Ticker</w:t>
            </w:r>
          </w:p>
        </w:tc>
        <w:tc>
          <w:tcPr>
            <w:tcW w:type="dxa" w:w="1169"/>
            <w:vAlign w:val="center"/>
            <w:tcMar>
              <w:top w:w="80" w:type="dxa"/>
              <w:bottom w:w="80" w:type="dxa"/>
              <w:left w:w="100" w:type="dxa"/>
              <w:right w:w="100" w:type="dxa"/>
            </w:tcMar>
            <w:shd w:fill="DCE6EB"/>
          </w:tcPr>
          <w:p>
            <w:pPr>
              <w:keepNext/>
              <w:spacing w:after="0" w:before="0" w:line="252" w:lineRule="auto"/>
              <w:jc w:val="center"/>
            </w:pPr>
            <w:r>
              <w:rPr>
                <w:b/>
                <w:sz w:val="20"/>
              </w:rPr>
              <w:t>Currency</w:t>
            </w:r>
          </w:p>
        </w:tc>
        <w:tc>
          <w:tcPr>
            <w:tcW w:type="dxa" w:w="2436"/>
            <w:vAlign w:val="center"/>
            <w:tcMar>
              <w:top w:w="80" w:type="dxa"/>
              <w:bottom w:w="80" w:type="dxa"/>
              <w:left w:w="100" w:type="dxa"/>
              <w:right w:w="100" w:type="dxa"/>
            </w:tcMar>
            <w:shd w:fill="DCE6EB"/>
          </w:tcPr>
          <w:p>
            <w:pPr>
              <w:keepNext/>
              <w:spacing w:after="0" w:before="0" w:line="252" w:lineRule="auto"/>
              <w:jc w:val="center"/>
            </w:pPr>
            <w:r>
              <w:rPr>
                <w:b/>
                <w:sz w:val="20"/>
              </w:rPr>
              <w:t>Listing date</w:t>
            </w:r>
          </w:p>
        </w:tc>
      </w:tr>
      <w:tr>
        <w:trPr>
          <w:cantSplit/>
        </w:trPr>
        <w:tc>
          <w:tcPr>
            <w:tcW w:type="dxa" w:w="4386"/>
            <w:vAlign w:val="center"/>
            <w:tcMar>
              <w:top w:w="80" w:type="dxa"/>
              <w:bottom w:w="80" w:type="dxa"/>
              <w:left w:w="100" w:type="dxa"/>
              <w:right w:w="100" w:type="dxa"/>
            </w:tcMar>
            <w:shd w:fill="FFFFFF"/>
          </w:tcPr>
          <w:p>
            <w:pPr>
              <w:keepNext w:val="0"/>
              <w:spacing w:after="0" w:before="0" w:line="252" w:lineRule="auto"/>
            </w:pPr>
            <w:r>
              <w:rPr>
                <w:sz w:val="20"/>
              </w:rPr>
              <w:t>SIX Swiss Exchange</w:t>
            </w:r>
          </w:p>
        </w:tc>
        <w:tc>
          <w:tcPr>
            <w:tcW w:type="dxa" w:w="1754"/>
            <w:vAlign w:val="center"/>
            <w:tcMar>
              <w:top w:w="80" w:type="dxa"/>
              <w:bottom w:w="80" w:type="dxa"/>
              <w:left w:w="100" w:type="dxa"/>
              <w:right w:w="100" w:type="dxa"/>
            </w:tcMar>
            <w:shd w:fill="FFFFFF"/>
          </w:tcPr>
          <w:p>
            <w:pPr>
              <w:keepNext w:val="0"/>
              <w:spacing w:after="0" w:before="0" w:line="252" w:lineRule="auto"/>
              <w:jc w:val="center"/>
            </w:pPr>
            <w:r>
              <w:rPr>
                <w:sz w:val="20"/>
              </w:rPr>
              <w:t>CSGLDE</w:t>
            </w:r>
          </w:p>
        </w:tc>
        <w:tc>
          <w:tcPr>
            <w:tcW w:type="dxa" w:w="1169"/>
            <w:vAlign w:val="center"/>
            <w:tcMar>
              <w:top w:w="80" w:type="dxa"/>
              <w:bottom w:w="80" w:type="dxa"/>
              <w:left w:w="100" w:type="dxa"/>
              <w:right w:w="100" w:type="dxa"/>
            </w:tcMar>
            <w:shd w:fill="FFFFFF"/>
          </w:tcPr>
          <w:p>
            <w:pPr>
              <w:keepNext w:val="0"/>
              <w:spacing w:after="0" w:before="0" w:line="252" w:lineRule="auto"/>
              <w:jc w:val="center"/>
            </w:pPr>
            <w:r>
              <w:rPr>
                <w:sz w:val="20"/>
              </w:rPr>
              <w:t>EUR</w:t>
            </w:r>
          </w:p>
        </w:tc>
        <w:tc>
          <w:tcPr>
            <w:tcW w:type="dxa" w:w="2436"/>
            <w:vAlign w:val="center"/>
            <w:tcMar>
              <w:top w:w="80" w:type="dxa"/>
              <w:bottom w:w="80" w:type="dxa"/>
              <w:left w:w="100" w:type="dxa"/>
              <w:right w:w="100" w:type="dxa"/>
            </w:tcMar>
            <w:shd w:fill="FFFFFF"/>
          </w:tcPr>
          <w:p>
            <w:pPr>
              <w:keepNext w:val="0"/>
              <w:spacing w:after="0" w:before="0" w:line="252" w:lineRule="auto"/>
              <w:jc w:val="center"/>
            </w:pPr>
            <w:r>
              <w:rPr>
                <w:sz w:val="20"/>
              </w:rPr>
              <w:t>06-Oct-2009</w:t>
            </w:r>
          </w:p>
        </w:tc>
      </w:tr>
    </w:tbl>
    <w:p>
      <w:pPr>
        <w:spacing w:after="60" w:before="0" w:line="40" w:lineRule="exact"/>
      </w:pPr>
      <w:r>
        <w:rPr>
          <w:sz w:val="4"/>
        </w:rPr>
      </w:r>
    </w:p>
    <w:p>
      <w:pPr>
        <w:pStyle w:val="Heading2"/>
        <w:pageBreakBefore w:val="0"/>
      </w:pPr>
      <w:r>
        <w:t>Sources</w:t>
      </w:r>
    </w:p>
    <w:p>
      <w:pPr>
        <w:spacing w:after="80"/>
      </w:pPr>
      <w:hyperlink r:id="rId34">
        <w:r>
          <w:rPr>
            <w:color w:val="235779"/>
            <w:u w:val="single"/>
          </w:rPr>
          <w:t>Issuer product page</w:t>
        </w:r>
      </w:hyperlink>
      <w:r>
        <w:t xml:space="preserve">  ·  </w:t>
      </w:r>
      <w:hyperlink r:id="rId35">
        <w:r>
          <w:rPr>
            <w:color w:val="235779"/>
            <w:u w:val="single"/>
          </w:rPr>
          <w:t>Saved source</w:t>
        </w:r>
      </w:hyperlink>
    </w:p>
    <w:p>
      <w:pPr>
        <w:spacing w:after="80"/>
      </w:pPr>
      <w:hyperlink r:id="rId30">
        <w:r>
          <w:rPr>
            <w:color w:val="235779"/>
            <w:u w:val="single"/>
          </w:rPr>
          <w:t>March 2026 prospectus: custody and vaulting agent</w:t>
        </w:r>
      </w:hyperlink>
      <w:r>
        <w:t xml:space="preserve">  ·  </w:t>
      </w:r>
      <w:hyperlink r:id="rId31">
        <w:r>
          <w:rPr>
            <w:color w:val="235779"/>
            <w:u w:val="single"/>
          </w:rPr>
          <w:t>Saved source</w:t>
        </w:r>
      </w:hyperlink>
    </w:p>
    <w:p>
      <w:bookmarkStart w:id="12" w:name="product_10"/>
      <w:pPr>
        <w:pStyle w:val="Heading1"/>
        <w:pageBreakBefore w:val="0"/>
        <w:spacing w:before="360"/>
      </w:pPr>
      <w:r>
        <w:t>10  iShares Gold Trust</w:t>
      </w:r>
      <w:bookmarkEnd w:id="12"/>
    </w:p>
    <w:p>
      <w:pPr>
        <w:keepNext/>
      </w:pPr>
      <w:r>
        <w:rPr>
          <w:b/>
        </w:rPr>
        <w:t>IAU  |  US  |  Gold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24"/>
        <w:gridCol w:w="6822"/>
      </w:tblGrid>
      <w:tr>
        <w:trPr>
          <w:tblHeader/>
          <w:cantSplit/>
        </w:trPr>
        <w:tc>
          <w:tcPr>
            <w:tcW w:type="dxa" w:w="2924"/>
            <w:vAlign w:val="center"/>
            <w:tcMar>
              <w:top w:w="80" w:type="dxa"/>
              <w:bottom w:w="80" w:type="dxa"/>
              <w:left w:w="100" w:type="dxa"/>
              <w:right w:w="100" w:type="dxa"/>
            </w:tcMar>
            <w:shd w:fill="DCE6EB"/>
          </w:tcPr>
          <w:p>
            <w:pPr>
              <w:keepNext/>
              <w:spacing w:after="0" w:before="0" w:line="252" w:lineRule="auto"/>
            </w:pPr>
            <w:r>
              <w:rPr>
                <w:b/>
                <w:sz w:val="20"/>
              </w:rPr>
              <w:t>Field</w:t>
            </w:r>
          </w:p>
        </w:tc>
        <w:tc>
          <w:tcPr>
            <w:tcW w:type="dxa" w:w="6822"/>
            <w:vAlign w:val="center"/>
            <w:tcMar>
              <w:top w:w="80" w:type="dxa"/>
              <w:bottom w:w="80" w:type="dxa"/>
              <w:left w:w="100" w:type="dxa"/>
              <w:right w:w="100" w:type="dxa"/>
            </w:tcMar>
            <w:shd w:fill="DCE6EB"/>
          </w:tcPr>
          <w:p>
            <w:pPr>
              <w:keepNext/>
              <w:spacing w:after="0" w:before="0" w:line="252" w:lineRule="auto"/>
              <w:jc w:val="center"/>
            </w:pPr>
            <w:r>
              <w:rPr>
                <w:b/>
                <w:sz w:val="20"/>
              </w:rPr>
              <w:t>Detail</w:t>
            </w:r>
          </w:p>
        </w:tc>
      </w:tr>
      <w:tr>
        <w:trPr>
          <w:cantSplit/>
        </w:trPr>
        <w:tc>
          <w:tcPr>
            <w:tcW w:type="dxa" w:w="2924"/>
            <w:vAlign w:val="center"/>
            <w:tcMar>
              <w:top w:w="80" w:type="dxa"/>
              <w:bottom w:w="80" w:type="dxa"/>
              <w:left w:w="100" w:type="dxa"/>
              <w:right w:w="100" w:type="dxa"/>
            </w:tcMar>
            <w:shd w:fill="FFFFFF"/>
          </w:tcPr>
          <w:p>
            <w:pPr>
              <w:keepNext w:val="0"/>
              <w:spacing w:after="0" w:before="0" w:line="252" w:lineRule="auto"/>
            </w:pPr>
            <w:r>
              <w:rPr>
                <w:sz w:val="20"/>
              </w:rPr>
              <w:t>Legal form</w:t>
            </w:r>
          </w:p>
        </w:tc>
        <w:tc>
          <w:tcPr>
            <w:tcW w:type="dxa" w:w="6822"/>
            <w:vAlign w:val="center"/>
            <w:tcMar>
              <w:top w:w="80" w:type="dxa"/>
              <w:bottom w:w="80" w:type="dxa"/>
              <w:left w:w="100" w:type="dxa"/>
              <w:right w:w="100" w:type="dxa"/>
            </w:tcMar>
            <w:shd w:fill="FFFFFF"/>
          </w:tcPr>
          <w:p>
            <w:pPr>
              <w:keepNext w:val="0"/>
              <w:spacing w:after="0" w:before="0" w:line="252" w:lineRule="auto"/>
            </w:pPr>
            <w:r>
              <w:rPr>
                <w:sz w:val="20"/>
              </w:rPr>
              <w:t>New York grantor trust; commodity ETP, not1940Act investment company</w:t>
            </w:r>
          </w:p>
        </w:tc>
      </w:tr>
      <w:tr>
        <w:trPr>
          <w:cantSplit/>
        </w:trPr>
        <w:tc>
          <w:tcPr>
            <w:tcW w:type="dxa" w:w="2924"/>
            <w:vAlign w:val="center"/>
            <w:tcMar>
              <w:top w:w="80" w:type="dxa"/>
              <w:bottom w:w="80" w:type="dxa"/>
              <w:left w:w="100" w:type="dxa"/>
              <w:right w:w="100" w:type="dxa"/>
            </w:tcMar>
            <w:shd w:fill="F4F7F8"/>
          </w:tcPr>
          <w:p>
            <w:pPr>
              <w:keepNext w:val="0"/>
              <w:spacing w:after="0" w:before="0" w:line="252" w:lineRule="auto"/>
            </w:pPr>
            <w:r>
              <w:rPr>
                <w:sz w:val="20"/>
              </w:rPr>
              <w:t>Issuer or sponsor</w:t>
            </w:r>
          </w:p>
        </w:tc>
        <w:tc>
          <w:tcPr>
            <w:tcW w:type="dxa" w:w="6822"/>
            <w:vAlign w:val="center"/>
            <w:tcMar>
              <w:top w:w="80" w:type="dxa"/>
              <w:bottom w:w="80" w:type="dxa"/>
              <w:left w:w="100" w:type="dxa"/>
              <w:right w:w="100" w:type="dxa"/>
            </w:tcMar>
            <w:shd w:fill="F4F7F8"/>
          </w:tcPr>
          <w:p>
            <w:pPr>
              <w:keepNext w:val="0"/>
              <w:spacing w:after="0" w:before="0" w:line="252" w:lineRule="auto"/>
            </w:pPr>
            <w:r>
              <w:rPr>
                <w:sz w:val="20"/>
              </w:rPr>
              <w:t>iShares Delaware Trust Sponsor LLC (sponsor)</w:t>
            </w:r>
          </w:p>
        </w:tc>
      </w:tr>
      <w:tr>
        <w:trPr>
          <w:cantSplit/>
        </w:trPr>
        <w:tc>
          <w:tcPr>
            <w:tcW w:type="dxa" w:w="2924"/>
            <w:vAlign w:val="center"/>
            <w:tcMar>
              <w:top w:w="80" w:type="dxa"/>
              <w:bottom w:w="80" w:type="dxa"/>
              <w:left w:w="100" w:type="dxa"/>
              <w:right w:w="100" w:type="dxa"/>
            </w:tcMar>
            <w:shd w:fill="FFFFFF"/>
          </w:tcPr>
          <w:p>
            <w:pPr>
              <w:keepNext w:val="0"/>
              <w:spacing w:after="0" w:before="0" w:line="252" w:lineRule="auto"/>
            </w:pPr>
            <w:r>
              <w:rPr>
                <w:sz w:val="20"/>
              </w:rPr>
              <w:t>Launch or class inception</w:t>
            </w:r>
          </w:p>
        </w:tc>
        <w:tc>
          <w:tcPr>
            <w:tcW w:type="dxa" w:w="6822"/>
            <w:vAlign w:val="center"/>
            <w:tcMar>
              <w:top w:w="80" w:type="dxa"/>
              <w:bottom w:w="80" w:type="dxa"/>
              <w:left w:w="100" w:type="dxa"/>
              <w:right w:w="100" w:type="dxa"/>
            </w:tcMar>
            <w:shd w:fill="FFFFFF"/>
          </w:tcPr>
          <w:p>
            <w:pPr>
              <w:keepNext w:val="0"/>
              <w:spacing w:after="0" w:before="0" w:line="252" w:lineRule="auto"/>
              <w:jc w:val="center"/>
            </w:pPr>
            <w:r>
              <w:rPr>
                <w:sz w:val="20"/>
              </w:rPr>
              <w:t>2005-01-21</w:t>
            </w:r>
          </w:p>
        </w:tc>
      </w:tr>
      <w:tr>
        <w:trPr>
          <w:cantSplit/>
        </w:trPr>
        <w:tc>
          <w:tcPr>
            <w:tcW w:type="dxa" w:w="2924"/>
            <w:vAlign w:val="center"/>
            <w:tcMar>
              <w:top w:w="80" w:type="dxa"/>
              <w:bottom w:w="80" w:type="dxa"/>
              <w:left w:w="100" w:type="dxa"/>
              <w:right w:w="100" w:type="dxa"/>
            </w:tcMar>
            <w:shd w:fill="F4F7F8"/>
          </w:tcPr>
          <w:p>
            <w:pPr>
              <w:keepNext w:val="0"/>
              <w:spacing w:after="0" w:before="0" w:line="252" w:lineRule="auto"/>
            </w:pPr>
            <w:r>
              <w:rPr>
                <w:sz w:val="20"/>
              </w:rPr>
              <w:t>ISIN / CUSIP</w:t>
            </w:r>
          </w:p>
        </w:tc>
        <w:tc>
          <w:tcPr>
            <w:tcW w:type="dxa" w:w="6822"/>
            <w:vAlign w:val="center"/>
            <w:tcMar>
              <w:top w:w="80" w:type="dxa"/>
              <w:bottom w:w="80" w:type="dxa"/>
              <w:left w:w="100" w:type="dxa"/>
              <w:right w:w="100" w:type="dxa"/>
            </w:tcMar>
            <w:shd w:fill="F4F7F8"/>
          </w:tcPr>
          <w:p>
            <w:pPr>
              <w:keepNext w:val="0"/>
              <w:spacing w:after="0" w:before="0" w:line="252" w:lineRule="auto"/>
              <w:jc w:val="center"/>
            </w:pPr>
            <w:r>
              <w:rPr>
                <w:sz w:val="20"/>
              </w:rPr>
              <w:t>US4642852044</w:t>
            </w:r>
          </w:p>
        </w:tc>
      </w:tr>
      <w:tr>
        <w:trPr>
          <w:cantSplit/>
        </w:trPr>
        <w:tc>
          <w:tcPr>
            <w:tcW w:type="dxa" w:w="2924"/>
            <w:vAlign w:val="center"/>
            <w:tcMar>
              <w:top w:w="80" w:type="dxa"/>
              <w:bottom w:w="80" w:type="dxa"/>
              <w:left w:w="100" w:type="dxa"/>
              <w:right w:w="100" w:type="dxa"/>
            </w:tcMar>
            <w:shd w:fill="FFFFFF"/>
          </w:tcPr>
          <w:p>
            <w:pPr>
              <w:keepNext w:val="0"/>
              <w:spacing w:after="0" w:before="0" w:line="252" w:lineRule="auto"/>
            </w:pPr>
            <w:r>
              <w:rPr>
                <w:sz w:val="20"/>
              </w:rPr>
              <w:t>Reported net assets</w:t>
            </w:r>
          </w:p>
        </w:tc>
        <w:tc>
          <w:tcPr>
            <w:tcW w:type="dxa" w:w="6822"/>
            <w:vAlign w:val="center"/>
            <w:tcMar>
              <w:top w:w="80" w:type="dxa"/>
              <w:bottom w:w="80" w:type="dxa"/>
              <w:left w:w="100" w:type="dxa"/>
              <w:right w:w="100" w:type="dxa"/>
            </w:tcMar>
            <w:shd w:fill="FFFFFF"/>
          </w:tcPr>
          <w:p>
            <w:pPr>
              <w:keepNext w:val="0"/>
              <w:spacing w:after="0" w:before="0" w:line="252" w:lineRule="auto"/>
            </w:pPr>
            <w:r>
              <w:rPr>
                <w:sz w:val="20"/>
              </w:rPr>
              <w:t>USD 64,556,964,832.00 as of 2026-09-22</w:t>
            </w:r>
          </w:p>
        </w:tc>
      </w:tr>
      <w:tr>
        <w:trPr>
          <w:cantSplit/>
        </w:trPr>
        <w:tc>
          <w:tcPr>
            <w:tcW w:type="dxa" w:w="2924"/>
            <w:vAlign w:val="center"/>
            <w:tcMar>
              <w:top w:w="80" w:type="dxa"/>
              <w:bottom w:w="80" w:type="dxa"/>
              <w:left w:w="100" w:type="dxa"/>
              <w:right w:w="100" w:type="dxa"/>
            </w:tcMar>
            <w:shd w:fill="F4F7F8"/>
          </w:tcPr>
          <w:p>
            <w:pPr>
              <w:keepNext w:val="0"/>
              <w:spacing w:after="0" w:before="0" w:line="252" w:lineRule="auto"/>
            </w:pPr>
            <w:r>
              <w:rPr>
                <w:sz w:val="20"/>
              </w:rPr>
              <w:t>Asset basis</w:t>
            </w:r>
          </w:p>
        </w:tc>
        <w:tc>
          <w:tcPr>
            <w:tcW w:type="dxa" w:w="6822"/>
            <w:vAlign w:val="center"/>
            <w:tcMar>
              <w:top w:w="80" w:type="dxa"/>
              <w:bottom w:w="80" w:type="dxa"/>
              <w:left w:w="100" w:type="dxa"/>
              <w:right w:w="100" w:type="dxa"/>
            </w:tcMar>
            <w:shd w:fill="F4F7F8"/>
          </w:tcPr>
          <w:p>
            <w:pPr>
              <w:keepNext w:val="0"/>
              <w:spacing w:after="0" w:before="0" w:line="252" w:lineRule="auto"/>
            </w:pPr>
            <w:r>
              <w:rPr>
                <w:sz w:val="20"/>
              </w:rPr>
              <w:t>Fund / trust / ETC series</w:t>
            </w:r>
          </w:p>
        </w:tc>
      </w:tr>
      <w:tr>
        <w:trPr>
          <w:cantSplit/>
        </w:trPr>
        <w:tc>
          <w:tcPr>
            <w:tcW w:type="dxa" w:w="2924"/>
            <w:vAlign w:val="center"/>
            <w:tcMar>
              <w:top w:w="80" w:type="dxa"/>
              <w:bottom w:w="80" w:type="dxa"/>
              <w:left w:w="100" w:type="dxa"/>
              <w:right w:w="100" w:type="dxa"/>
            </w:tcMar>
            <w:shd w:fill="FFFFFF"/>
          </w:tcPr>
          <w:p>
            <w:pPr>
              <w:keepNext w:val="0"/>
              <w:spacing w:after="0" w:before="0" w:line="252" w:lineRule="auto"/>
            </w:pPr>
            <w:r>
              <w:rPr>
                <w:sz w:val="20"/>
              </w:rPr>
              <w:t>Currency exposure</w:t>
            </w:r>
          </w:p>
        </w:tc>
        <w:tc>
          <w:tcPr>
            <w:tcW w:type="dxa" w:w="6822"/>
            <w:vAlign w:val="center"/>
            <w:tcMar>
              <w:top w:w="80" w:type="dxa"/>
              <w:bottom w:w="80" w:type="dxa"/>
              <w:left w:w="100" w:type="dxa"/>
              <w:right w:w="100" w:type="dxa"/>
            </w:tcMar>
            <w:shd w:fill="FFFFFF"/>
          </w:tcPr>
          <w:p>
            <w:pPr>
              <w:keepNext w:val="0"/>
              <w:spacing w:after="0" w:before="0" w:line="252" w:lineRule="auto"/>
              <w:jc w:val="center"/>
            </w:pPr>
            <w:r>
              <w:rPr>
                <w:sz w:val="20"/>
              </w:rPr>
              <w:t>Unhedged</w:t>
            </w:r>
          </w:p>
        </w:tc>
      </w:tr>
      <w:tr>
        <w:trPr>
          <w:cantSplit/>
        </w:trPr>
        <w:tc>
          <w:tcPr>
            <w:tcW w:type="dxa" w:w="2924"/>
            <w:vAlign w:val="center"/>
            <w:tcMar>
              <w:top w:w="80" w:type="dxa"/>
              <w:bottom w:w="80" w:type="dxa"/>
              <w:left w:w="100" w:type="dxa"/>
              <w:right w:w="100" w:type="dxa"/>
            </w:tcMar>
            <w:shd w:fill="F4F7F8"/>
          </w:tcPr>
          <w:p>
            <w:pPr>
              <w:keepNext w:val="0"/>
              <w:spacing w:after="0" w:before="0" w:line="252" w:lineRule="auto"/>
            </w:pPr>
            <w:r>
              <w:rPr>
                <w:sz w:val="20"/>
              </w:rPr>
              <w:t>Annual fee</w:t>
            </w:r>
          </w:p>
        </w:tc>
        <w:tc>
          <w:tcPr>
            <w:tcW w:type="dxa" w:w="6822"/>
            <w:vAlign w:val="center"/>
            <w:tcMar>
              <w:top w:w="80" w:type="dxa"/>
              <w:bottom w:w="80" w:type="dxa"/>
              <w:left w:w="100" w:type="dxa"/>
              <w:right w:w="100" w:type="dxa"/>
            </w:tcMar>
            <w:shd w:fill="F4F7F8"/>
          </w:tcPr>
          <w:p>
            <w:pPr>
              <w:keepNext w:val="0"/>
              <w:spacing w:after="0" w:before="0" w:line="252" w:lineRule="auto"/>
              <w:jc w:val="center"/>
            </w:pPr>
            <w:r>
              <w:rPr>
                <w:sz w:val="20"/>
              </w:rPr>
              <w:t>0.25% — Sponsor fee</w:t>
            </w:r>
          </w:p>
        </w:tc>
      </w:tr>
      <w:tr>
        <w:trPr>
          <w:cantSplit/>
        </w:trPr>
        <w:tc>
          <w:tcPr>
            <w:tcW w:type="dxa" w:w="2924"/>
            <w:vAlign w:val="center"/>
            <w:tcMar>
              <w:top w:w="80" w:type="dxa"/>
              <w:bottom w:w="80" w:type="dxa"/>
              <w:left w:w="100" w:type="dxa"/>
              <w:right w:w="100" w:type="dxa"/>
            </w:tcMar>
            <w:shd w:fill="FFFFFF"/>
          </w:tcPr>
          <w:p>
            <w:pPr>
              <w:keepNext w:val="0"/>
              <w:spacing w:after="0" w:before="0" w:line="252" w:lineRule="auto"/>
            </w:pPr>
            <w:r>
              <w:rPr>
                <w:sz w:val="20"/>
              </w:rPr>
              <w:t>Custodian</w:t>
            </w:r>
          </w:p>
        </w:tc>
        <w:tc>
          <w:tcPr>
            <w:tcW w:type="dxa" w:w="6822"/>
            <w:vAlign w:val="center"/>
            <w:tcMar>
              <w:top w:w="80" w:type="dxa"/>
              <w:bottom w:w="80" w:type="dxa"/>
              <w:left w:w="100" w:type="dxa"/>
              <w:right w:w="100" w:type="dxa"/>
            </w:tcMar>
            <w:shd w:fill="FFFFFF"/>
          </w:tcPr>
          <w:p>
            <w:pPr>
              <w:keepNext w:val="0"/>
              <w:spacing w:after="0" w:before="0" w:line="252" w:lineRule="auto"/>
            </w:pPr>
            <w:r>
              <w:rPr>
                <w:sz w:val="20"/>
              </w:rPr>
              <w:t>JPMorgan Chase Bank N.A., London branch. Trustee: The Bank of New York Mellon.</w:t>
            </w:r>
          </w:p>
        </w:tc>
      </w:tr>
      <w:tr>
        <w:trPr>
          <w:cantSplit/>
        </w:trPr>
        <w:tc>
          <w:tcPr>
            <w:tcW w:type="dxa" w:w="2924"/>
            <w:vAlign w:val="center"/>
            <w:tcMar>
              <w:top w:w="80" w:type="dxa"/>
              <w:bottom w:w="80" w:type="dxa"/>
              <w:left w:w="100" w:type="dxa"/>
              <w:right w:w="100" w:type="dxa"/>
            </w:tcMar>
            <w:shd w:fill="F4F7F8"/>
          </w:tcPr>
          <w:p>
            <w:pPr>
              <w:keepNext w:val="0"/>
              <w:spacing w:after="0" w:before="0" w:line="252" w:lineRule="auto"/>
            </w:pPr>
            <w:r>
              <w:rPr>
                <w:sz w:val="20"/>
              </w:rPr>
              <w:t>Custody evidence date</w:t>
            </w:r>
          </w:p>
        </w:tc>
        <w:tc>
          <w:tcPr>
            <w:tcW w:type="dxa" w:w="6822"/>
            <w:vAlign w:val="center"/>
            <w:tcMar>
              <w:top w:w="80" w:type="dxa"/>
              <w:bottom w:w="80" w:type="dxa"/>
              <w:left w:w="100" w:type="dxa"/>
              <w:right w:w="100" w:type="dxa"/>
            </w:tcMar>
            <w:shd w:fill="F4F7F8"/>
          </w:tcPr>
          <w:p>
            <w:pPr>
              <w:keepNext w:val="0"/>
              <w:spacing w:after="0" w:before="0" w:line="252" w:lineRule="auto"/>
              <w:jc w:val="center"/>
            </w:pPr>
            <w:r>
              <w:rPr>
                <w:sz w:val="20"/>
              </w:rPr>
              <w:t>2026-09-23</w:t>
            </w:r>
          </w:p>
        </w:tc>
      </w:tr>
      <w:tr>
        <w:trPr>
          <w:cantSplit/>
        </w:trPr>
        <w:tc>
          <w:tcPr>
            <w:tcW w:type="dxa" w:w="2924"/>
            <w:vAlign w:val="center"/>
            <w:tcMar>
              <w:top w:w="80" w:type="dxa"/>
              <w:bottom w:w="80" w:type="dxa"/>
              <w:left w:w="100" w:type="dxa"/>
              <w:right w:w="100" w:type="dxa"/>
            </w:tcMar>
            <w:shd w:fill="FFFFFF"/>
          </w:tcPr>
          <w:p>
            <w:pPr>
              <w:keepNext w:val="0"/>
              <w:spacing w:after="0" w:before="0" w:line="252" w:lineRule="auto"/>
            </w:pPr>
            <w:r>
              <w:rPr>
                <w:sz w:val="20"/>
              </w:rPr>
              <w:t>Reported metal quantity</w:t>
            </w:r>
          </w:p>
        </w:tc>
        <w:tc>
          <w:tcPr>
            <w:tcW w:type="dxa" w:w="6822"/>
            <w:vAlign w:val="center"/>
            <w:tcMar>
              <w:top w:w="80" w:type="dxa"/>
              <w:bottom w:w="80" w:type="dxa"/>
              <w:left w:w="100" w:type="dxa"/>
              <w:right w:w="100" w:type="dxa"/>
            </w:tcMar>
            <w:shd w:fill="FFFFFF"/>
          </w:tcPr>
          <w:p>
            <w:pPr>
              <w:keepNext w:val="0"/>
              <w:spacing w:after="0" w:before="0" w:line="252" w:lineRule="auto"/>
            </w:pPr>
            <w:r>
              <w:rPr>
                <w:sz w:val="20"/>
              </w:rPr>
              <w:t>14,913,044.75 troy ounces; 463.85 tonnes; dated 2026-09-22 — Issuer product-page quantity</w:t>
            </w:r>
          </w:p>
        </w:tc>
      </w:tr>
    </w:tbl>
    <w:p>
      <w:pPr>
        <w:spacing w:after="60" w:before="0" w:line="40" w:lineRule="exact"/>
      </w:pPr>
      <w:r>
        <w:rPr>
          <w:sz w:val="4"/>
        </w:rPr>
      </w:r>
    </w:p>
    <w:p>
      <w:r>
        <w:rPr>
          <w:b/>
        </w:rPr>
        <w:t xml:space="preserve">Fee definition. </w:t>
      </w:r>
      <w:r>
        <w:t>Annual sponsor fee. Extraordinary expenses can be additional.</w:t>
      </w:r>
    </w:p>
    <w:p>
      <w:r>
        <w:rPr>
          <w:b/>
        </w:rPr>
        <w:t xml:space="preserve">Allocation. </w:t>
      </w:r>
      <w:r>
        <w:t>Custody arrangements contemplate no gold in unallocated form at each business-day end. Dealing may involve unallocated transfers.</w:t>
      </w:r>
    </w:p>
    <w:p>
      <w:r>
        <w:rPr>
          <w:b/>
        </w:rPr>
        <w:t xml:space="preserve">Bullion storage. </w:t>
      </w:r>
      <w:r>
        <w:t>Clause 1.1 defines the custodian’s own Vault Locations as London, New York or Toronto. Clause 7.4 permits subcustodians in England, the United States or Canada. Other locations require custodian/trustee agreement with sponsor approval. These are filed permissions, not the current inventory split.</w:t>
      </w:r>
    </w:p>
    <w:p>
      <w:r>
        <w:rPr>
          <w:b/>
        </w:rPr>
        <w:t xml:space="preserve">Location holding limits. </w:t>
      </w:r>
      <w:r>
        <w:t>The filed custody agreement, read with the amendments incorporated by the June 2026 Form 10-Q, specifies permitted locations but contains no identified percentage, ounce or dollar ceiling per country, city or vault. Other locations require custodian/trustee agreement and sponsor approval. Best-efforts delivery capacity is not a guarantee of unlimited capacity. Private operating, insurance, risk limits and separate location consents remain unconfirmed.</w:t>
      </w:r>
    </w:p>
    <w:p>
      <w:r>
        <w:rPr>
          <w:b/>
        </w:rPr>
        <w:t xml:space="preserve">Limit scope. </w:t>
      </w:r>
      <w:r>
        <w:t>Bullion held by the US trust; permitted geography is separate from unallocated-account limits.</w:t>
      </w:r>
    </w:p>
    <w:p>
      <w:r>
        <w:rPr>
          <w:b/>
        </w:rPr>
        <w:t xml:space="preserve">Capacity limits. </w:t>
      </w:r>
      <w:r>
        <w:t>The 2016 clause 3.4 allowed refusal of additional delivery above US$50 billion aggregate bullion value. The amendment effective 30 June 2020 deleted that proviso. It was an aggregate delivery threshold, not a geographic allocation cap. No replacement numerical aggregate threshold was identified in the reviewed filed chain.</w:t>
      </w:r>
    </w:p>
    <w:p>
      <w:r>
        <w:rPr>
          <w:b/>
        </w:rPr>
        <w:t xml:space="preserve">Custody verification. </w:t>
      </w:r>
      <w:r>
        <w:t>Public filing chain checked 23 September 2026; latest SEC submissions list the 6 August 2026 Form 10-Q. Private limits and current vault balances are not attested.</w:t>
      </w:r>
    </w:p>
    <w:p>
      <w:r>
        <w:rPr>
          <w:b w:val="0"/>
        </w:rPr>
        <w:t>Metal quantities on the product page use trade-date activity. Custodian bar lists use accounting data and can differ.</w:t>
      </w:r>
    </w:p>
    <w:p>
      <w:r>
        <w:rPr>
          <w:b/>
        </w:rPr>
        <w:t xml:space="preserve">Location clause source. </w:t>
      </w:r>
      <w:hyperlink r:id="rId36">
        <w:r>
          <w:rPr>
            <w:color w:val="235779"/>
            <w:u w:val="single"/>
          </w:rPr>
          <w:t>Executed custody agreement, 22 December 2016; clauses 1.1, 3.4 and 7.4–7.5</w:t>
        </w:r>
      </w:hyperlink>
      <w:r>
        <w:t xml:space="preserve"> — Custody agreement clause 7.4 (and clause 1.1 for gold); read with amendments in Details</w:t>
      </w:r>
    </w:p>
    <w:p>
      <w:pPr>
        <w:pStyle w:val="Heading2"/>
        <w:pageBreakBefore w:val="0"/>
      </w:pPr>
      <w:r>
        <w:t>Recorded listings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86"/>
        <w:gridCol w:w="1754"/>
        <w:gridCol w:w="1169"/>
        <w:gridCol w:w="2436"/>
      </w:tblGrid>
      <w:tr>
        <w:trPr>
          <w:tblHeader/>
          <w:cantSplit/>
        </w:trPr>
        <w:tc>
          <w:tcPr>
            <w:tcW w:type="dxa" w:w="4386"/>
            <w:vAlign w:val="center"/>
            <w:tcMar>
              <w:top w:w="80" w:type="dxa"/>
              <w:bottom w:w="80" w:type="dxa"/>
              <w:left w:w="100" w:type="dxa"/>
              <w:right w:w="100" w:type="dxa"/>
            </w:tcMar>
            <w:shd w:fill="DCE6EB"/>
          </w:tcPr>
          <w:p>
            <w:pPr>
              <w:keepNext/>
              <w:spacing w:after="0" w:before="0" w:line="252" w:lineRule="auto"/>
            </w:pPr>
            <w:r>
              <w:rPr>
                <w:b/>
                <w:sz w:val="20"/>
              </w:rPr>
              <w:t>Exchange</w:t>
            </w:r>
          </w:p>
        </w:tc>
        <w:tc>
          <w:tcPr>
            <w:tcW w:type="dxa" w:w="1754"/>
            <w:vAlign w:val="center"/>
            <w:tcMar>
              <w:top w:w="80" w:type="dxa"/>
              <w:bottom w:w="80" w:type="dxa"/>
              <w:left w:w="100" w:type="dxa"/>
              <w:right w:w="100" w:type="dxa"/>
            </w:tcMar>
            <w:shd w:fill="DCE6EB"/>
          </w:tcPr>
          <w:p>
            <w:pPr>
              <w:keepNext/>
              <w:spacing w:after="0" w:before="0" w:line="252" w:lineRule="auto"/>
              <w:jc w:val="center"/>
            </w:pPr>
            <w:r>
              <w:rPr>
                <w:b/>
                <w:sz w:val="20"/>
              </w:rPr>
              <w:t>Ticker</w:t>
            </w:r>
          </w:p>
        </w:tc>
        <w:tc>
          <w:tcPr>
            <w:tcW w:type="dxa" w:w="1169"/>
            <w:vAlign w:val="center"/>
            <w:tcMar>
              <w:top w:w="80" w:type="dxa"/>
              <w:bottom w:w="80" w:type="dxa"/>
              <w:left w:w="100" w:type="dxa"/>
              <w:right w:w="100" w:type="dxa"/>
            </w:tcMar>
            <w:shd w:fill="DCE6EB"/>
          </w:tcPr>
          <w:p>
            <w:pPr>
              <w:keepNext/>
              <w:spacing w:after="0" w:before="0" w:line="252" w:lineRule="auto"/>
              <w:jc w:val="center"/>
            </w:pPr>
            <w:r>
              <w:rPr>
                <w:b/>
                <w:sz w:val="20"/>
              </w:rPr>
              <w:t>Currency</w:t>
            </w:r>
          </w:p>
        </w:tc>
        <w:tc>
          <w:tcPr>
            <w:tcW w:type="dxa" w:w="2436"/>
            <w:vAlign w:val="center"/>
            <w:tcMar>
              <w:top w:w="80" w:type="dxa"/>
              <w:bottom w:w="80" w:type="dxa"/>
              <w:left w:w="100" w:type="dxa"/>
              <w:right w:w="100" w:type="dxa"/>
            </w:tcMar>
            <w:shd w:fill="DCE6EB"/>
          </w:tcPr>
          <w:p>
            <w:pPr>
              <w:keepNext/>
              <w:spacing w:after="0" w:before="0" w:line="252" w:lineRule="auto"/>
              <w:jc w:val="center"/>
            </w:pPr>
            <w:r>
              <w:rPr>
                <w:b/>
                <w:sz w:val="20"/>
              </w:rPr>
              <w:t>Listing date</w:t>
            </w:r>
          </w:p>
        </w:tc>
      </w:tr>
      <w:tr>
        <w:trPr>
          <w:cantSplit/>
        </w:trPr>
        <w:tc>
          <w:tcPr>
            <w:tcW w:type="dxa" w:w="4386"/>
            <w:vAlign w:val="center"/>
            <w:tcMar>
              <w:top w:w="80" w:type="dxa"/>
              <w:bottom w:w="80" w:type="dxa"/>
              <w:left w:w="100" w:type="dxa"/>
              <w:right w:w="100" w:type="dxa"/>
            </w:tcMar>
            <w:shd w:fill="FFFFFF"/>
          </w:tcPr>
          <w:p>
            <w:pPr>
              <w:keepNext w:val="0"/>
              <w:spacing w:after="0" w:before="0" w:line="252" w:lineRule="auto"/>
            </w:pPr>
            <w:r>
              <w:rPr>
                <w:sz w:val="20"/>
              </w:rPr>
              <w:t>NYSE Arca</w:t>
            </w:r>
          </w:p>
        </w:tc>
        <w:tc>
          <w:tcPr>
            <w:tcW w:type="dxa" w:w="1754"/>
            <w:vAlign w:val="center"/>
            <w:tcMar>
              <w:top w:w="80" w:type="dxa"/>
              <w:bottom w:w="80" w:type="dxa"/>
              <w:left w:w="100" w:type="dxa"/>
              <w:right w:w="100" w:type="dxa"/>
            </w:tcMar>
            <w:shd w:fill="FFFFFF"/>
          </w:tcPr>
          <w:p>
            <w:pPr>
              <w:keepNext w:val="0"/>
              <w:spacing w:after="0" w:before="0" w:line="252" w:lineRule="auto"/>
              <w:jc w:val="center"/>
            </w:pPr>
            <w:r>
              <w:rPr>
                <w:sz w:val="20"/>
              </w:rPr>
              <w:t>IAU</w:t>
            </w:r>
          </w:p>
        </w:tc>
        <w:tc>
          <w:tcPr>
            <w:tcW w:type="dxa" w:w="1169"/>
            <w:vAlign w:val="center"/>
            <w:tcMar>
              <w:top w:w="80" w:type="dxa"/>
              <w:bottom w:w="80" w:type="dxa"/>
              <w:left w:w="100" w:type="dxa"/>
              <w:right w:w="100" w:type="dxa"/>
            </w:tcMar>
            <w:shd w:fill="FFFFFF"/>
          </w:tcPr>
          <w:p>
            <w:pPr>
              <w:keepNext w:val="0"/>
              <w:spacing w:after="0" w:before="0" w:line="252" w:lineRule="auto"/>
              <w:jc w:val="center"/>
            </w:pPr>
            <w:r>
              <w:rPr>
                <w:sz w:val="20"/>
              </w:rPr>
              <w:t>USD</w:t>
            </w:r>
          </w:p>
        </w:tc>
        <w:tc>
          <w:tcPr>
            <w:tcW w:type="dxa" w:w="2436"/>
            <w:vAlign w:val="center"/>
            <w:tcMar>
              <w:top w:w="80" w:type="dxa"/>
              <w:bottom w:w="80" w:type="dxa"/>
              <w:left w:w="100" w:type="dxa"/>
              <w:right w:w="100" w:type="dxa"/>
            </w:tcMar>
            <w:shd w:fill="FFFFFF"/>
          </w:tcPr>
          <w:p>
            <w:pPr>
              <w:keepNext w:val="0"/>
              <w:spacing w:after="0" w:before="0" w:line="252" w:lineRule="auto"/>
              <w:jc w:val="center"/>
            </w:pPr>
            <w:r>
              <w:rPr>
                <w:sz w:val="20"/>
              </w:rPr>
              <w:t>See issuer page</w:t>
            </w:r>
          </w:p>
        </w:tc>
      </w:tr>
    </w:tbl>
    <w:p>
      <w:pPr>
        <w:spacing w:after="60" w:before="0" w:line="40" w:lineRule="exact"/>
      </w:pPr>
      <w:r>
        <w:rPr>
          <w:sz w:val="4"/>
        </w:rPr>
      </w:r>
    </w:p>
    <w:p>
      <w:pPr>
        <w:pStyle w:val="Heading2"/>
        <w:pageBreakBefore w:val="0"/>
      </w:pPr>
      <w:r>
        <w:t>Sources</w:t>
      </w:r>
    </w:p>
    <w:p>
      <w:pPr>
        <w:spacing w:after="80"/>
      </w:pPr>
      <w:hyperlink r:id="rId37">
        <w:r>
          <w:rPr>
            <w:color w:val="235779"/>
            <w:u w:val="single"/>
          </w:rPr>
          <w:t>Issuer product page</w:t>
        </w:r>
      </w:hyperlink>
      <w:r>
        <w:t xml:space="preserve">  ·  </w:t>
      </w:r>
      <w:hyperlink r:id="rId38">
        <w:r>
          <w:rPr>
            <w:color w:val="235779"/>
            <w:u w:val="single"/>
          </w:rPr>
          <w:t>Saved source</w:t>
        </w:r>
      </w:hyperlink>
    </w:p>
    <w:p>
      <w:pPr>
        <w:spacing w:after="80"/>
      </w:pPr>
      <w:hyperlink r:id="rId39">
        <w:r>
          <w:rPr>
            <w:color w:val="235779"/>
            <w:u w:val="single"/>
          </w:rPr>
          <w:t>Prospectus: fees, custody and allocation</w:t>
        </w:r>
      </w:hyperlink>
      <w:r>
        <w:t xml:space="preserve">  ·  </w:t>
      </w:r>
      <w:hyperlink r:id="rId40">
        <w:r>
          <w:rPr>
            <w:color w:val="235779"/>
            <w:u w:val="single"/>
          </w:rPr>
          <w:t>Saved source</w:t>
        </w:r>
      </w:hyperlink>
    </w:p>
    <w:p>
      <w:pPr>
        <w:spacing w:after="80"/>
      </w:pPr>
      <w:hyperlink r:id="rId36">
        <w:r>
          <w:rPr>
            <w:color w:val="235779"/>
            <w:u w:val="single"/>
          </w:rPr>
          <w:t>Executed custody agreement, 22 December 2016; clauses 1.1, 3.4 and 7.4–7.5</w:t>
        </w:r>
      </w:hyperlink>
      <w:r>
        <w:t xml:space="preserve">  ·  </w:t>
      </w:r>
      <w:hyperlink r:id="rId41">
        <w:r>
          <w:rPr>
            <w:color w:val="235779"/>
            <w:u w:val="single"/>
          </w:rPr>
          <w:t>Saved source</w:t>
        </w:r>
      </w:hyperlink>
    </w:p>
    <w:p>
      <w:pPr>
        <w:spacing w:after="80"/>
      </w:pPr>
      <w:hyperlink r:id="rId42">
        <w:r>
          <w:rPr>
            <w:color w:val="235779"/>
            <w:u w:val="single"/>
          </w:rPr>
          <w:t>June 2026 Form 10-Q, filed 6 August 2026: Item 6 custody exhibit chain</w:t>
        </w:r>
      </w:hyperlink>
      <w:r>
        <w:t xml:space="preserve">  ·  </w:t>
      </w:r>
      <w:hyperlink r:id="rId43">
        <w:r>
          <w:rPr>
            <w:color w:val="235779"/>
            <w:u w:val="single"/>
          </w:rPr>
          <w:t>Saved source</w:t>
        </w:r>
      </w:hyperlink>
    </w:p>
    <w:p>
      <w:pPr>
        <w:spacing w:after="80"/>
      </w:pPr>
      <w:hyperlink r:id="rId44">
        <w:r>
          <w:rPr>
            <w:color w:val="235779"/>
            <w:u w:val="single"/>
          </w:rPr>
          <w:t>30 June 2020 amendment: deletes IAU US$50bn delivery threshold</w:t>
        </w:r>
      </w:hyperlink>
      <w:r>
        <w:t xml:space="preserve">  ·  </w:t>
      </w:r>
      <w:hyperlink r:id="rId45">
        <w:r>
          <w:rPr>
            <w:color w:val="235779"/>
            <w:u w:val="single"/>
          </w:rPr>
          <w:t>Saved source</w:t>
        </w:r>
      </w:hyperlink>
    </w:p>
    <w:p>
      <w:bookmarkStart w:id="13" w:name="product_11"/>
      <w:pPr>
        <w:pStyle w:val="Heading1"/>
        <w:pageBreakBefore w:val="0"/>
        <w:spacing w:before="360"/>
      </w:pPr>
      <w:r>
        <w:t>11  iShares Gold Trust Micro</w:t>
      </w:r>
      <w:bookmarkEnd w:id="13"/>
    </w:p>
    <w:p>
      <w:pPr>
        <w:keepNext/>
      </w:pPr>
      <w:r>
        <w:rPr>
          <w:b/>
        </w:rPr>
        <w:t>IAUM  |  US  |  Gold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24"/>
        <w:gridCol w:w="6822"/>
      </w:tblGrid>
      <w:tr>
        <w:trPr>
          <w:tblHeader/>
          <w:cantSplit/>
        </w:trPr>
        <w:tc>
          <w:tcPr>
            <w:tcW w:type="dxa" w:w="2924"/>
            <w:vAlign w:val="center"/>
            <w:tcMar>
              <w:top w:w="80" w:type="dxa"/>
              <w:bottom w:w="80" w:type="dxa"/>
              <w:left w:w="100" w:type="dxa"/>
              <w:right w:w="100" w:type="dxa"/>
            </w:tcMar>
            <w:shd w:fill="DCE6EB"/>
          </w:tcPr>
          <w:p>
            <w:pPr>
              <w:keepNext/>
              <w:spacing w:after="0" w:before="0" w:line="252" w:lineRule="auto"/>
            </w:pPr>
            <w:r>
              <w:rPr>
                <w:b/>
                <w:sz w:val="20"/>
              </w:rPr>
              <w:t>Field</w:t>
            </w:r>
          </w:p>
        </w:tc>
        <w:tc>
          <w:tcPr>
            <w:tcW w:type="dxa" w:w="6822"/>
            <w:vAlign w:val="center"/>
            <w:tcMar>
              <w:top w:w="80" w:type="dxa"/>
              <w:bottom w:w="80" w:type="dxa"/>
              <w:left w:w="100" w:type="dxa"/>
              <w:right w:w="100" w:type="dxa"/>
            </w:tcMar>
            <w:shd w:fill="DCE6EB"/>
          </w:tcPr>
          <w:p>
            <w:pPr>
              <w:keepNext/>
              <w:spacing w:after="0" w:before="0" w:line="252" w:lineRule="auto"/>
              <w:jc w:val="center"/>
            </w:pPr>
            <w:r>
              <w:rPr>
                <w:b/>
                <w:sz w:val="20"/>
              </w:rPr>
              <w:t>Detail</w:t>
            </w:r>
          </w:p>
        </w:tc>
      </w:tr>
      <w:tr>
        <w:trPr>
          <w:cantSplit/>
        </w:trPr>
        <w:tc>
          <w:tcPr>
            <w:tcW w:type="dxa" w:w="2924"/>
            <w:vAlign w:val="center"/>
            <w:tcMar>
              <w:top w:w="80" w:type="dxa"/>
              <w:bottom w:w="80" w:type="dxa"/>
              <w:left w:w="100" w:type="dxa"/>
              <w:right w:w="100" w:type="dxa"/>
            </w:tcMar>
            <w:shd w:fill="FFFFFF"/>
          </w:tcPr>
          <w:p>
            <w:pPr>
              <w:keepNext w:val="0"/>
              <w:spacing w:after="0" w:before="0" w:line="252" w:lineRule="auto"/>
            </w:pPr>
            <w:r>
              <w:rPr>
                <w:sz w:val="20"/>
              </w:rPr>
              <w:t>Legal form</w:t>
            </w:r>
          </w:p>
        </w:tc>
        <w:tc>
          <w:tcPr>
            <w:tcW w:type="dxa" w:w="6822"/>
            <w:vAlign w:val="center"/>
            <w:tcMar>
              <w:top w:w="80" w:type="dxa"/>
              <w:bottom w:w="80" w:type="dxa"/>
              <w:left w:w="100" w:type="dxa"/>
              <w:right w:w="100" w:type="dxa"/>
            </w:tcMar>
            <w:shd w:fill="FFFFFF"/>
          </w:tcPr>
          <w:p>
            <w:pPr>
              <w:keepNext w:val="0"/>
              <w:spacing w:after="0" w:before="0" w:line="252" w:lineRule="auto"/>
            </w:pPr>
            <w:r>
              <w:rPr>
                <w:sz w:val="20"/>
              </w:rPr>
              <w:t>New York grantor trust; commodity ETP, not1940Act investment company</w:t>
            </w:r>
          </w:p>
        </w:tc>
      </w:tr>
      <w:tr>
        <w:trPr>
          <w:cantSplit/>
        </w:trPr>
        <w:tc>
          <w:tcPr>
            <w:tcW w:type="dxa" w:w="2924"/>
            <w:vAlign w:val="center"/>
            <w:tcMar>
              <w:top w:w="80" w:type="dxa"/>
              <w:bottom w:w="80" w:type="dxa"/>
              <w:left w:w="100" w:type="dxa"/>
              <w:right w:w="100" w:type="dxa"/>
            </w:tcMar>
            <w:shd w:fill="F4F7F8"/>
          </w:tcPr>
          <w:p>
            <w:pPr>
              <w:keepNext w:val="0"/>
              <w:spacing w:after="0" w:before="0" w:line="252" w:lineRule="auto"/>
            </w:pPr>
            <w:r>
              <w:rPr>
                <w:sz w:val="20"/>
              </w:rPr>
              <w:t>Issuer or sponsor</w:t>
            </w:r>
          </w:p>
        </w:tc>
        <w:tc>
          <w:tcPr>
            <w:tcW w:type="dxa" w:w="6822"/>
            <w:vAlign w:val="center"/>
            <w:tcMar>
              <w:top w:w="80" w:type="dxa"/>
              <w:bottom w:w="80" w:type="dxa"/>
              <w:left w:w="100" w:type="dxa"/>
              <w:right w:w="100" w:type="dxa"/>
            </w:tcMar>
            <w:shd w:fill="F4F7F8"/>
          </w:tcPr>
          <w:p>
            <w:pPr>
              <w:keepNext w:val="0"/>
              <w:spacing w:after="0" w:before="0" w:line="252" w:lineRule="auto"/>
            </w:pPr>
            <w:r>
              <w:rPr>
                <w:sz w:val="20"/>
              </w:rPr>
              <w:t>iShares Delaware Trust Sponsor LLC (sponsor)</w:t>
            </w:r>
          </w:p>
        </w:tc>
      </w:tr>
      <w:tr>
        <w:trPr>
          <w:cantSplit/>
        </w:trPr>
        <w:tc>
          <w:tcPr>
            <w:tcW w:type="dxa" w:w="2924"/>
            <w:vAlign w:val="center"/>
            <w:tcMar>
              <w:top w:w="80" w:type="dxa"/>
              <w:bottom w:w="80" w:type="dxa"/>
              <w:left w:w="100" w:type="dxa"/>
              <w:right w:w="100" w:type="dxa"/>
            </w:tcMar>
            <w:shd w:fill="FFFFFF"/>
          </w:tcPr>
          <w:p>
            <w:pPr>
              <w:keepNext w:val="0"/>
              <w:spacing w:after="0" w:before="0" w:line="252" w:lineRule="auto"/>
            </w:pPr>
            <w:r>
              <w:rPr>
                <w:sz w:val="20"/>
              </w:rPr>
              <w:t>Launch or class inception</w:t>
            </w:r>
          </w:p>
        </w:tc>
        <w:tc>
          <w:tcPr>
            <w:tcW w:type="dxa" w:w="6822"/>
            <w:vAlign w:val="center"/>
            <w:tcMar>
              <w:top w:w="80" w:type="dxa"/>
              <w:bottom w:w="80" w:type="dxa"/>
              <w:left w:w="100" w:type="dxa"/>
              <w:right w:w="100" w:type="dxa"/>
            </w:tcMar>
            <w:shd w:fill="FFFFFF"/>
          </w:tcPr>
          <w:p>
            <w:pPr>
              <w:keepNext w:val="0"/>
              <w:spacing w:after="0" w:before="0" w:line="252" w:lineRule="auto"/>
              <w:jc w:val="center"/>
            </w:pPr>
            <w:r>
              <w:rPr>
                <w:sz w:val="20"/>
              </w:rPr>
              <w:t>2021-06-15</w:t>
            </w:r>
          </w:p>
        </w:tc>
      </w:tr>
      <w:tr>
        <w:trPr>
          <w:cantSplit/>
        </w:trPr>
        <w:tc>
          <w:tcPr>
            <w:tcW w:type="dxa" w:w="2924"/>
            <w:vAlign w:val="center"/>
            <w:tcMar>
              <w:top w:w="80" w:type="dxa"/>
              <w:bottom w:w="80" w:type="dxa"/>
              <w:left w:w="100" w:type="dxa"/>
              <w:right w:w="100" w:type="dxa"/>
            </w:tcMar>
            <w:shd w:fill="F4F7F8"/>
          </w:tcPr>
          <w:p>
            <w:pPr>
              <w:keepNext w:val="0"/>
              <w:spacing w:after="0" w:before="0" w:line="252" w:lineRule="auto"/>
            </w:pPr>
            <w:r>
              <w:rPr>
                <w:sz w:val="20"/>
              </w:rPr>
              <w:t>ISIN / CUSIP</w:t>
            </w:r>
          </w:p>
        </w:tc>
        <w:tc>
          <w:tcPr>
            <w:tcW w:type="dxa" w:w="6822"/>
            <w:vAlign w:val="center"/>
            <w:tcMar>
              <w:top w:w="80" w:type="dxa"/>
              <w:bottom w:w="80" w:type="dxa"/>
              <w:left w:w="100" w:type="dxa"/>
              <w:right w:w="100" w:type="dxa"/>
            </w:tcMar>
            <w:shd w:fill="F4F7F8"/>
          </w:tcPr>
          <w:p>
            <w:pPr>
              <w:keepNext w:val="0"/>
              <w:spacing w:after="0" w:before="0" w:line="252" w:lineRule="auto"/>
              <w:jc w:val="center"/>
            </w:pPr>
            <w:r>
              <w:rPr>
                <w:sz w:val="20"/>
              </w:rPr>
              <w:t>US46436F1030</w:t>
            </w:r>
          </w:p>
        </w:tc>
      </w:tr>
      <w:tr>
        <w:trPr>
          <w:cantSplit/>
        </w:trPr>
        <w:tc>
          <w:tcPr>
            <w:tcW w:type="dxa" w:w="2924"/>
            <w:vAlign w:val="center"/>
            <w:tcMar>
              <w:top w:w="80" w:type="dxa"/>
              <w:bottom w:w="80" w:type="dxa"/>
              <w:left w:w="100" w:type="dxa"/>
              <w:right w:w="100" w:type="dxa"/>
            </w:tcMar>
            <w:shd w:fill="FFFFFF"/>
          </w:tcPr>
          <w:p>
            <w:pPr>
              <w:keepNext w:val="0"/>
              <w:spacing w:after="0" w:before="0" w:line="252" w:lineRule="auto"/>
            </w:pPr>
            <w:r>
              <w:rPr>
                <w:sz w:val="20"/>
              </w:rPr>
              <w:t>Reported net assets</w:t>
            </w:r>
          </w:p>
        </w:tc>
        <w:tc>
          <w:tcPr>
            <w:tcW w:type="dxa" w:w="6822"/>
            <w:vAlign w:val="center"/>
            <w:tcMar>
              <w:top w:w="80" w:type="dxa"/>
              <w:bottom w:w="80" w:type="dxa"/>
              <w:left w:w="100" w:type="dxa"/>
              <w:right w:w="100" w:type="dxa"/>
            </w:tcMar>
            <w:shd w:fill="FFFFFF"/>
          </w:tcPr>
          <w:p>
            <w:pPr>
              <w:keepNext w:val="0"/>
              <w:spacing w:after="0" w:before="0" w:line="252" w:lineRule="auto"/>
            </w:pPr>
            <w:r>
              <w:rPr>
                <w:sz w:val="20"/>
              </w:rPr>
              <w:t>USD 8,083,696,026.00 as of 2026-09-22</w:t>
            </w:r>
          </w:p>
        </w:tc>
      </w:tr>
      <w:tr>
        <w:trPr>
          <w:cantSplit/>
        </w:trPr>
        <w:tc>
          <w:tcPr>
            <w:tcW w:type="dxa" w:w="2924"/>
            <w:vAlign w:val="center"/>
            <w:tcMar>
              <w:top w:w="80" w:type="dxa"/>
              <w:bottom w:w="80" w:type="dxa"/>
              <w:left w:w="100" w:type="dxa"/>
              <w:right w:w="100" w:type="dxa"/>
            </w:tcMar>
            <w:shd w:fill="F4F7F8"/>
          </w:tcPr>
          <w:p>
            <w:pPr>
              <w:keepNext w:val="0"/>
              <w:spacing w:after="0" w:before="0" w:line="252" w:lineRule="auto"/>
            </w:pPr>
            <w:r>
              <w:rPr>
                <w:sz w:val="20"/>
              </w:rPr>
              <w:t>Asset basis</w:t>
            </w:r>
          </w:p>
        </w:tc>
        <w:tc>
          <w:tcPr>
            <w:tcW w:type="dxa" w:w="6822"/>
            <w:vAlign w:val="center"/>
            <w:tcMar>
              <w:top w:w="80" w:type="dxa"/>
              <w:bottom w:w="80" w:type="dxa"/>
              <w:left w:w="100" w:type="dxa"/>
              <w:right w:w="100" w:type="dxa"/>
            </w:tcMar>
            <w:shd w:fill="F4F7F8"/>
          </w:tcPr>
          <w:p>
            <w:pPr>
              <w:keepNext w:val="0"/>
              <w:spacing w:after="0" w:before="0" w:line="252" w:lineRule="auto"/>
            </w:pPr>
            <w:r>
              <w:rPr>
                <w:sz w:val="20"/>
              </w:rPr>
              <w:t>Fund / trust / ETC series</w:t>
            </w:r>
          </w:p>
        </w:tc>
      </w:tr>
      <w:tr>
        <w:trPr>
          <w:cantSplit/>
        </w:trPr>
        <w:tc>
          <w:tcPr>
            <w:tcW w:type="dxa" w:w="2924"/>
            <w:vAlign w:val="center"/>
            <w:tcMar>
              <w:top w:w="80" w:type="dxa"/>
              <w:bottom w:w="80" w:type="dxa"/>
              <w:left w:w="100" w:type="dxa"/>
              <w:right w:w="100" w:type="dxa"/>
            </w:tcMar>
            <w:shd w:fill="FFFFFF"/>
          </w:tcPr>
          <w:p>
            <w:pPr>
              <w:keepNext w:val="0"/>
              <w:spacing w:after="0" w:before="0" w:line="252" w:lineRule="auto"/>
            </w:pPr>
            <w:r>
              <w:rPr>
                <w:sz w:val="20"/>
              </w:rPr>
              <w:t>Currency exposure</w:t>
            </w:r>
          </w:p>
        </w:tc>
        <w:tc>
          <w:tcPr>
            <w:tcW w:type="dxa" w:w="6822"/>
            <w:vAlign w:val="center"/>
            <w:tcMar>
              <w:top w:w="80" w:type="dxa"/>
              <w:bottom w:w="80" w:type="dxa"/>
              <w:left w:w="100" w:type="dxa"/>
              <w:right w:w="100" w:type="dxa"/>
            </w:tcMar>
            <w:shd w:fill="FFFFFF"/>
          </w:tcPr>
          <w:p>
            <w:pPr>
              <w:keepNext w:val="0"/>
              <w:spacing w:after="0" w:before="0" w:line="252" w:lineRule="auto"/>
              <w:jc w:val="center"/>
            </w:pPr>
            <w:r>
              <w:rPr>
                <w:sz w:val="20"/>
              </w:rPr>
              <w:t>Unhedged</w:t>
            </w:r>
          </w:p>
        </w:tc>
      </w:tr>
      <w:tr>
        <w:trPr>
          <w:cantSplit/>
        </w:trPr>
        <w:tc>
          <w:tcPr>
            <w:tcW w:type="dxa" w:w="2924"/>
            <w:vAlign w:val="center"/>
            <w:tcMar>
              <w:top w:w="80" w:type="dxa"/>
              <w:bottom w:w="80" w:type="dxa"/>
              <w:left w:w="100" w:type="dxa"/>
              <w:right w:w="100" w:type="dxa"/>
            </w:tcMar>
            <w:shd w:fill="F4F7F8"/>
          </w:tcPr>
          <w:p>
            <w:pPr>
              <w:keepNext w:val="0"/>
              <w:spacing w:after="0" w:before="0" w:line="252" w:lineRule="auto"/>
            </w:pPr>
            <w:r>
              <w:rPr>
                <w:sz w:val="20"/>
              </w:rPr>
              <w:t>Annual fee</w:t>
            </w:r>
          </w:p>
        </w:tc>
        <w:tc>
          <w:tcPr>
            <w:tcW w:type="dxa" w:w="6822"/>
            <w:vAlign w:val="center"/>
            <w:tcMar>
              <w:top w:w="80" w:type="dxa"/>
              <w:bottom w:w="80" w:type="dxa"/>
              <w:left w:w="100" w:type="dxa"/>
              <w:right w:w="100" w:type="dxa"/>
            </w:tcMar>
            <w:shd w:fill="F4F7F8"/>
          </w:tcPr>
          <w:p>
            <w:pPr>
              <w:keepNext w:val="0"/>
              <w:spacing w:after="0" w:before="0" w:line="252" w:lineRule="auto"/>
            </w:pPr>
            <w:r>
              <w:rPr>
                <w:sz w:val="20"/>
              </w:rPr>
              <w:t>0.07% — Sponsor fee after waiver</w:t>
            </w:r>
          </w:p>
        </w:tc>
      </w:tr>
      <w:tr>
        <w:trPr>
          <w:cantSplit/>
        </w:trPr>
        <w:tc>
          <w:tcPr>
            <w:tcW w:type="dxa" w:w="2924"/>
            <w:vAlign w:val="center"/>
            <w:tcMar>
              <w:top w:w="80" w:type="dxa"/>
              <w:bottom w:w="80" w:type="dxa"/>
              <w:left w:w="100" w:type="dxa"/>
              <w:right w:w="100" w:type="dxa"/>
            </w:tcMar>
            <w:shd w:fill="FFFFFF"/>
          </w:tcPr>
          <w:p>
            <w:pPr>
              <w:keepNext w:val="0"/>
              <w:spacing w:after="0" w:before="0" w:line="252" w:lineRule="auto"/>
            </w:pPr>
            <w:r>
              <w:rPr>
                <w:sz w:val="20"/>
              </w:rPr>
              <w:t>Custodian</w:t>
            </w:r>
          </w:p>
        </w:tc>
        <w:tc>
          <w:tcPr>
            <w:tcW w:type="dxa" w:w="6822"/>
            <w:vAlign w:val="center"/>
            <w:tcMar>
              <w:top w:w="80" w:type="dxa"/>
              <w:bottom w:w="80" w:type="dxa"/>
              <w:left w:w="100" w:type="dxa"/>
              <w:right w:w="100" w:type="dxa"/>
            </w:tcMar>
            <w:shd w:fill="FFFFFF"/>
          </w:tcPr>
          <w:p>
            <w:pPr>
              <w:keepNext w:val="0"/>
              <w:spacing w:after="0" w:before="0" w:line="252" w:lineRule="auto"/>
            </w:pPr>
            <w:r>
              <w:rPr>
                <w:sz w:val="20"/>
              </w:rPr>
              <w:t>JPMorgan Chase Bank N.A., London branch. Trustee: The Bank of New York Mellon.</w:t>
            </w:r>
          </w:p>
        </w:tc>
      </w:tr>
      <w:tr>
        <w:trPr>
          <w:cantSplit/>
        </w:trPr>
        <w:tc>
          <w:tcPr>
            <w:tcW w:type="dxa" w:w="2924"/>
            <w:vAlign w:val="center"/>
            <w:tcMar>
              <w:top w:w="80" w:type="dxa"/>
              <w:bottom w:w="80" w:type="dxa"/>
              <w:left w:w="100" w:type="dxa"/>
              <w:right w:w="100" w:type="dxa"/>
            </w:tcMar>
            <w:shd w:fill="F4F7F8"/>
          </w:tcPr>
          <w:p>
            <w:pPr>
              <w:keepNext w:val="0"/>
              <w:spacing w:after="0" w:before="0" w:line="252" w:lineRule="auto"/>
            </w:pPr>
            <w:r>
              <w:rPr>
                <w:sz w:val="20"/>
              </w:rPr>
              <w:t>Custody evidence date</w:t>
            </w:r>
          </w:p>
        </w:tc>
        <w:tc>
          <w:tcPr>
            <w:tcW w:type="dxa" w:w="6822"/>
            <w:vAlign w:val="center"/>
            <w:tcMar>
              <w:top w:w="80" w:type="dxa"/>
              <w:bottom w:w="80" w:type="dxa"/>
              <w:left w:w="100" w:type="dxa"/>
              <w:right w:w="100" w:type="dxa"/>
            </w:tcMar>
            <w:shd w:fill="F4F7F8"/>
          </w:tcPr>
          <w:p>
            <w:pPr>
              <w:keepNext w:val="0"/>
              <w:spacing w:after="0" w:before="0" w:line="252" w:lineRule="auto"/>
              <w:jc w:val="center"/>
            </w:pPr>
            <w:r>
              <w:rPr>
                <w:sz w:val="20"/>
              </w:rPr>
              <w:t>2026-09-23</w:t>
            </w:r>
          </w:p>
        </w:tc>
      </w:tr>
      <w:tr>
        <w:trPr>
          <w:cantSplit/>
        </w:trPr>
        <w:tc>
          <w:tcPr>
            <w:tcW w:type="dxa" w:w="2924"/>
            <w:vAlign w:val="center"/>
            <w:tcMar>
              <w:top w:w="80" w:type="dxa"/>
              <w:bottom w:w="80" w:type="dxa"/>
              <w:left w:w="100" w:type="dxa"/>
              <w:right w:w="100" w:type="dxa"/>
            </w:tcMar>
            <w:shd w:fill="FFFFFF"/>
          </w:tcPr>
          <w:p>
            <w:pPr>
              <w:keepNext w:val="0"/>
              <w:spacing w:after="0" w:before="0" w:line="252" w:lineRule="auto"/>
            </w:pPr>
            <w:r>
              <w:rPr>
                <w:sz w:val="20"/>
              </w:rPr>
              <w:t>Reported metal quantity</w:t>
            </w:r>
          </w:p>
        </w:tc>
        <w:tc>
          <w:tcPr>
            <w:tcW w:type="dxa" w:w="6822"/>
            <w:vAlign w:val="center"/>
            <w:tcMar>
              <w:top w:w="80" w:type="dxa"/>
              <w:bottom w:w="80" w:type="dxa"/>
              <w:left w:w="100" w:type="dxa"/>
              <w:right w:w="100" w:type="dxa"/>
            </w:tcMar>
            <w:shd w:fill="FFFFFF"/>
          </w:tcPr>
          <w:p>
            <w:pPr>
              <w:keepNext w:val="0"/>
              <w:spacing w:after="0" w:before="0" w:line="252" w:lineRule="auto"/>
            </w:pPr>
            <w:r>
              <w:rPr>
                <w:sz w:val="20"/>
              </w:rPr>
              <w:t>1,867,176.13 troy ounces; 58.08 tonnes; dated 2026-09-22 — Issuer product-page quantity</w:t>
            </w:r>
          </w:p>
        </w:tc>
      </w:tr>
    </w:tbl>
    <w:p>
      <w:pPr>
        <w:spacing w:after="60" w:before="0" w:line="40" w:lineRule="exact"/>
      </w:pPr>
      <w:r>
        <w:rPr>
          <w:sz w:val="4"/>
        </w:rPr>
      </w:r>
    </w:p>
    <w:p>
      <w:r>
        <w:rPr>
          <w:b/>
        </w:rPr>
        <w:t xml:space="preserve">Fee definition. </w:t>
      </w:r>
      <w:r>
        <w:t>Sponsor fee is 0.09% before a voluntary waiver to no more than 0.07% through 30 June 2027. The sponsor can change the waiver on at least 30 days’ written notice. Current webpage headline shows the gross fee. The saved prospectus and June 2026 report document the waiver.</w:t>
      </w:r>
    </w:p>
    <w:p>
      <w:r>
        <w:rPr>
          <w:b/>
        </w:rPr>
        <w:t xml:space="preserve">Allocation. </w:t>
      </w:r>
      <w:r>
        <w:t>Custody arrangements contemplate no gold in unallocated form at each business-day end. Dealing may involve unallocated transfers.</w:t>
      </w:r>
    </w:p>
    <w:p>
      <w:r>
        <w:rPr>
          <w:b/>
        </w:rPr>
        <w:t xml:space="preserve">Bullion storage. </w:t>
      </w:r>
      <w:r>
        <w:t>The executed 15 June 2021 agreement defines own Vault Locations as London or New York; clause 7.4 permits subcustodians in England or the United States. The current prospectus (PDF p. 38) and 2025 annual report also mention Canadian subcustody, but the underlying amendment or separate consent has not been located. Canada’s legal basis is unresolved; the England/US permissions are explicit in the filed agreement.</w:t>
      </w:r>
    </w:p>
    <w:p>
      <w:r>
        <w:rPr>
          <w:b/>
        </w:rPr>
        <w:t xml:space="preserve">Location holding limits. </w:t>
      </w:r>
      <w:r>
        <w:t>The filed custody agreement, read with the amendments incorporated by the June 2026 Form 10-Q, specifies permitted locations but contains no identified percentage, ounce or dollar ceiling per country, city or vault. Other locations require custodian/trustee agreement and sponsor approval. Best-efforts delivery capacity is not a guarantee of unlimited capacity. Private operating, insurance, risk limits and separate location consents remain unconfirmed.</w:t>
      </w:r>
    </w:p>
    <w:p>
      <w:r>
        <w:rPr>
          <w:b/>
        </w:rPr>
        <w:t xml:space="preserve">Limit scope. </w:t>
      </w:r>
      <w:r>
        <w:t>Bullion held by the US trust; permitted geography is separate from unallocated-account limits.</w:t>
      </w:r>
    </w:p>
    <w:p>
      <w:r>
        <w:rPr>
          <w:b/>
        </w:rPr>
        <w:t xml:space="preserve">Capacity limits. </w:t>
      </w:r>
      <w:r>
        <w:t>Executed 2021 clause 3.4 has best-efforts capacity wording without a numerical aggregate delivery threshold. A US$100bn threshold appears in an unsigned 2018 prelaunch form, not this executed agreement; it is not treated as a current cap.</w:t>
      </w:r>
    </w:p>
    <w:p>
      <w:r>
        <w:rPr>
          <w:b/>
        </w:rPr>
        <w:t xml:space="preserve">Custody verification. </w:t>
      </w:r>
      <w:r>
        <w:t>Public filing chain checked 23 September 2026; latest SEC submissions list the 6 August 2026 Form 10-Q. Private limits and current vault balances are not attested. Documentary issue: Canadian subcustody in the prospectus/annual summary is not reconciled to the filed agreement; a separate approved consent is possible but unverified.</w:t>
      </w:r>
    </w:p>
    <w:p>
      <w:r>
        <w:rPr>
          <w:b w:val="0"/>
        </w:rPr>
        <w:t>Metal quantities on the product page use trade-date activity. Custodian bar lists use accounting data and can differ.</w:t>
      </w:r>
    </w:p>
    <w:p>
      <w:r>
        <w:rPr>
          <w:b/>
        </w:rPr>
        <w:t xml:space="preserve">Location clause source. </w:t>
      </w:r>
      <w:hyperlink r:id="rId46">
        <w:r>
          <w:rPr>
            <w:color w:val="235779"/>
            <w:u w:val="single"/>
          </w:rPr>
          <w:t>Executed custody agreement, 15 June 2021; clauses 1.1, 3.4 and 7.4–7.5</w:t>
        </w:r>
      </w:hyperlink>
      <w:r>
        <w:t xml:space="preserve"> — Custody agreement clause 7.4 (and clause 1.1 for gold); read with amendments in Details</w:t>
      </w:r>
    </w:p>
    <w:p>
      <w:pPr>
        <w:pStyle w:val="Heading2"/>
        <w:pageBreakBefore w:val="0"/>
      </w:pPr>
      <w:r>
        <w:t>Recorded listings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86"/>
        <w:gridCol w:w="1754"/>
        <w:gridCol w:w="1169"/>
        <w:gridCol w:w="2436"/>
      </w:tblGrid>
      <w:tr>
        <w:trPr>
          <w:tblHeader/>
          <w:cantSplit/>
        </w:trPr>
        <w:tc>
          <w:tcPr>
            <w:tcW w:type="dxa" w:w="4386"/>
            <w:vAlign w:val="center"/>
            <w:tcMar>
              <w:top w:w="80" w:type="dxa"/>
              <w:bottom w:w="80" w:type="dxa"/>
              <w:left w:w="100" w:type="dxa"/>
              <w:right w:w="100" w:type="dxa"/>
            </w:tcMar>
            <w:shd w:fill="DCE6EB"/>
          </w:tcPr>
          <w:p>
            <w:pPr>
              <w:keepNext/>
              <w:spacing w:after="0" w:before="0" w:line="252" w:lineRule="auto"/>
            </w:pPr>
            <w:r>
              <w:rPr>
                <w:b/>
                <w:sz w:val="20"/>
              </w:rPr>
              <w:t>Exchange</w:t>
            </w:r>
          </w:p>
        </w:tc>
        <w:tc>
          <w:tcPr>
            <w:tcW w:type="dxa" w:w="1754"/>
            <w:vAlign w:val="center"/>
            <w:tcMar>
              <w:top w:w="80" w:type="dxa"/>
              <w:bottom w:w="80" w:type="dxa"/>
              <w:left w:w="100" w:type="dxa"/>
              <w:right w:w="100" w:type="dxa"/>
            </w:tcMar>
            <w:shd w:fill="DCE6EB"/>
          </w:tcPr>
          <w:p>
            <w:pPr>
              <w:keepNext/>
              <w:spacing w:after="0" w:before="0" w:line="252" w:lineRule="auto"/>
              <w:jc w:val="center"/>
            </w:pPr>
            <w:r>
              <w:rPr>
                <w:b/>
                <w:sz w:val="20"/>
              </w:rPr>
              <w:t>Ticker</w:t>
            </w:r>
          </w:p>
        </w:tc>
        <w:tc>
          <w:tcPr>
            <w:tcW w:type="dxa" w:w="1169"/>
            <w:vAlign w:val="center"/>
            <w:tcMar>
              <w:top w:w="80" w:type="dxa"/>
              <w:bottom w:w="80" w:type="dxa"/>
              <w:left w:w="100" w:type="dxa"/>
              <w:right w:w="100" w:type="dxa"/>
            </w:tcMar>
            <w:shd w:fill="DCE6EB"/>
          </w:tcPr>
          <w:p>
            <w:pPr>
              <w:keepNext/>
              <w:spacing w:after="0" w:before="0" w:line="252" w:lineRule="auto"/>
              <w:jc w:val="center"/>
            </w:pPr>
            <w:r>
              <w:rPr>
                <w:b/>
                <w:sz w:val="20"/>
              </w:rPr>
              <w:t>Currency</w:t>
            </w:r>
          </w:p>
        </w:tc>
        <w:tc>
          <w:tcPr>
            <w:tcW w:type="dxa" w:w="2436"/>
            <w:vAlign w:val="center"/>
            <w:tcMar>
              <w:top w:w="80" w:type="dxa"/>
              <w:bottom w:w="80" w:type="dxa"/>
              <w:left w:w="100" w:type="dxa"/>
              <w:right w:w="100" w:type="dxa"/>
            </w:tcMar>
            <w:shd w:fill="DCE6EB"/>
          </w:tcPr>
          <w:p>
            <w:pPr>
              <w:keepNext/>
              <w:spacing w:after="0" w:before="0" w:line="252" w:lineRule="auto"/>
              <w:jc w:val="center"/>
            </w:pPr>
            <w:r>
              <w:rPr>
                <w:b/>
                <w:sz w:val="20"/>
              </w:rPr>
              <w:t>Listing date</w:t>
            </w:r>
          </w:p>
        </w:tc>
      </w:tr>
      <w:tr>
        <w:trPr>
          <w:cantSplit/>
        </w:trPr>
        <w:tc>
          <w:tcPr>
            <w:tcW w:type="dxa" w:w="4386"/>
            <w:vAlign w:val="center"/>
            <w:tcMar>
              <w:top w:w="80" w:type="dxa"/>
              <w:bottom w:w="80" w:type="dxa"/>
              <w:left w:w="100" w:type="dxa"/>
              <w:right w:w="100" w:type="dxa"/>
            </w:tcMar>
            <w:shd w:fill="FFFFFF"/>
          </w:tcPr>
          <w:p>
            <w:pPr>
              <w:keepNext w:val="0"/>
              <w:spacing w:after="0" w:before="0" w:line="252" w:lineRule="auto"/>
            </w:pPr>
            <w:r>
              <w:rPr>
                <w:sz w:val="20"/>
              </w:rPr>
              <w:t>NYSE Arca</w:t>
            </w:r>
          </w:p>
        </w:tc>
        <w:tc>
          <w:tcPr>
            <w:tcW w:type="dxa" w:w="1754"/>
            <w:vAlign w:val="center"/>
            <w:tcMar>
              <w:top w:w="80" w:type="dxa"/>
              <w:bottom w:w="80" w:type="dxa"/>
              <w:left w:w="100" w:type="dxa"/>
              <w:right w:w="100" w:type="dxa"/>
            </w:tcMar>
            <w:shd w:fill="FFFFFF"/>
          </w:tcPr>
          <w:p>
            <w:pPr>
              <w:keepNext w:val="0"/>
              <w:spacing w:after="0" w:before="0" w:line="252" w:lineRule="auto"/>
              <w:jc w:val="center"/>
            </w:pPr>
            <w:r>
              <w:rPr>
                <w:sz w:val="20"/>
              </w:rPr>
              <w:t>IAUM</w:t>
            </w:r>
          </w:p>
        </w:tc>
        <w:tc>
          <w:tcPr>
            <w:tcW w:type="dxa" w:w="1169"/>
            <w:vAlign w:val="center"/>
            <w:tcMar>
              <w:top w:w="80" w:type="dxa"/>
              <w:bottom w:w="80" w:type="dxa"/>
              <w:left w:w="100" w:type="dxa"/>
              <w:right w:w="100" w:type="dxa"/>
            </w:tcMar>
            <w:shd w:fill="FFFFFF"/>
          </w:tcPr>
          <w:p>
            <w:pPr>
              <w:keepNext w:val="0"/>
              <w:spacing w:after="0" w:before="0" w:line="252" w:lineRule="auto"/>
              <w:jc w:val="center"/>
            </w:pPr>
            <w:r>
              <w:rPr>
                <w:sz w:val="20"/>
              </w:rPr>
              <w:t>USD</w:t>
            </w:r>
          </w:p>
        </w:tc>
        <w:tc>
          <w:tcPr>
            <w:tcW w:type="dxa" w:w="2436"/>
            <w:vAlign w:val="center"/>
            <w:tcMar>
              <w:top w:w="80" w:type="dxa"/>
              <w:bottom w:w="80" w:type="dxa"/>
              <w:left w:w="100" w:type="dxa"/>
              <w:right w:w="100" w:type="dxa"/>
            </w:tcMar>
            <w:shd w:fill="FFFFFF"/>
          </w:tcPr>
          <w:p>
            <w:pPr>
              <w:keepNext w:val="0"/>
              <w:spacing w:after="0" w:before="0" w:line="252" w:lineRule="auto"/>
              <w:jc w:val="center"/>
            </w:pPr>
            <w:r>
              <w:rPr>
                <w:sz w:val="20"/>
              </w:rPr>
              <w:t>See issuer page</w:t>
            </w:r>
          </w:p>
        </w:tc>
      </w:tr>
    </w:tbl>
    <w:p>
      <w:pPr>
        <w:spacing w:after="60" w:before="0" w:line="40" w:lineRule="exact"/>
      </w:pPr>
      <w:r>
        <w:rPr>
          <w:sz w:val="4"/>
        </w:rPr>
      </w:r>
    </w:p>
    <w:p>
      <w:pPr>
        <w:pStyle w:val="Heading2"/>
        <w:pageBreakBefore w:val="0"/>
      </w:pPr>
      <w:r>
        <w:t>Sources</w:t>
      </w:r>
    </w:p>
    <w:p>
      <w:pPr>
        <w:spacing w:after="80"/>
      </w:pPr>
      <w:hyperlink r:id="rId47">
        <w:r>
          <w:rPr>
            <w:color w:val="235779"/>
            <w:u w:val="single"/>
          </w:rPr>
          <w:t>Issuer product page</w:t>
        </w:r>
      </w:hyperlink>
      <w:r>
        <w:t xml:space="preserve">  ·  </w:t>
      </w:r>
      <w:hyperlink r:id="rId48">
        <w:r>
          <w:rPr>
            <w:color w:val="235779"/>
            <w:u w:val="single"/>
          </w:rPr>
          <w:t>Saved source</w:t>
        </w:r>
      </w:hyperlink>
    </w:p>
    <w:p>
      <w:pPr>
        <w:spacing w:after="80"/>
      </w:pPr>
      <w:hyperlink r:id="rId49">
        <w:r>
          <w:rPr>
            <w:color w:val="235779"/>
            <w:u w:val="single"/>
          </w:rPr>
          <w:t>Prospectus: fees, custody and allocation</w:t>
        </w:r>
      </w:hyperlink>
      <w:r>
        <w:t xml:space="preserve">  ·  </w:t>
      </w:r>
      <w:hyperlink r:id="rId50">
        <w:r>
          <w:rPr>
            <w:color w:val="235779"/>
            <w:u w:val="single"/>
          </w:rPr>
          <w:t>Saved source</w:t>
        </w:r>
      </w:hyperlink>
    </w:p>
    <w:p>
      <w:pPr>
        <w:spacing w:after="80"/>
      </w:pPr>
      <w:hyperlink r:id="rId46">
        <w:r>
          <w:rPr>
            <w:color w:val="235779"/>
            <w:u w:val="single"/>
          </w:rPr>
          <w:t>Executed custody agreement, 15 June 2021; clauses 1.1, 3.4 and 7.4–7.5</w:t>
        </w:r>
      </w:hyperlink>
      <w:r>
        <w:t xml:space="preserve">  ·  </w:t>
      </w:r>
      <w:hyperlink r:id="rId51">
        <w:r>
          <w:rPr>
            <w:color w:val="235779"/>
            <w:u w:val="single"/>
          </w:rPr>
          <w:t>Saved source</w:t>
        </w:r>
      </w:hyperlink>
    </w:p>
    <w:p>
      <w:pPr>
        <w:spacing w:after="80"/>
      </w:pPr>
      <w:hyperlink r:id="rId52">
        <w:r>
          <w:rPr>
            <w:color w:val="235779"/>
            <w:u w:val="single"/>
          </w:rPr>
          <w:t>June 2026 Form 10-Q, filed 6 August 2026: Item 6 custody exhibit chain</w:t>
        </w:r>
      </w:hyperlink>
      <w:r>
        <w:t xml:space="preserve">  ·  </w:t>
      </w:r>
      <w:hyperlink r:id="rId53">
        <w:r>
          <w:rPr>
            <w:color w:val="235779"/>
            <w:u w:val="single"/>
          </w:rPr>
          <w:t>Saved source</w:t>
        </w:r>
      </w:hyperlink>
    </w:p>
    <w:p>
      <w:bookmarkStart w:id="14" w:name="product_12"/>
      <w:pPr>
        <w:pStyle w:val="Heading1"/>
        <w:pageBreakBefore w:val="0"/>
        <w:spacing w:before="360"/>
      </w:pPr>
      <w:r>
        <w:t>12  iShares Silver Trust</w:t>
      </w:r>
      <w:bookmarkEnd w:id="14"/>
    </w:p>
    <w:p>
      <w:pPr>
        <w:keepNext/>
      </w:pPr>
      <w:r>
        <w:rPr>
          <w:b/>
        </w:rPr>
        <w:t>SLV  |  US  |  Silver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24"/>
        <w:gridCol w:w="6822"/>
      </w:tblGrid>
      <w:tr>
        <w:trPr>
          <w:tblHeader/>
          <w:cantSplit/>
        </w:trPr>
        <w:tc>
          <w:tcPr>
            <w:tcW w:type="dxa" w:w="2924"/>
            <w:vAlign w:val="center"/>
            <w:tcMar>
              <w:top w:w="80" w:type="dxa"/>
              <w:bottom w:w="80" w:type="dxa"/>
              <w:left w:w="100" w:type="dxa"/>
              <w:right w:w="100" w:type="dxa"/>
            </w:tcMar>
            <w:shd w:fill="DCE6EB"/>
          </w:tcPr>
          <w:p>
            <w:pPr>
              <w:keepNext/>
              <w:spacing w:after="0" w:before="0" w:line="252" w:lineRule="auto"/>
            </w:pPr>
            <w:r>
              <w:rPr>
                <w:b/>
                <w:sz w:val="20"/>
              </w:rPr>
              <w:t>Field</w:t>
            </w:r>
          </w:p>
        </w:tc>
        <w:tc>
          <w:tcPr>
            <w:tcW w:type="dxa" w:w="6822"/>
            <w:vAlign w:val="center"/>
            <w:tcMar>
              <w:top w:w="80" w:type="dxa"/>
              <w:bottom w:w="80" w:type="dxa"/>
              <w:left w:w="100" w:type="dxa"/>
              <w:right w:w="100" w:type="dxa"/>
            </w:tcMar>
            <w:shd w:fill="DCE6EB"/>
          </w:tcPr>
          <w:p>
            <w:pPr>
              <w:keepNext/>
              <w:spacing w:after="0" w:before="0" w:line="252" w:lineRule="auto"/>
              <w:jc w:val="center"/>
            </w:pPr>
            <w:r>
              <w:rPr>
                <w:b/>
                <w:sz w:val="20"/>
              </w:rPr>
              <w:t>Detail</w:t>
            </w:r>
          </w:p>
        </w:tc>
      </w:tr>
      <w:tr>
        <w:trPr>
          <w:cantSplit/>
        </w:trPr>
        <w:tc>
          <w:tcPr>
            <w:tcW w:type="dxa" w:w="2924"/>
            <w:vAlign w:val="center"/>
            <w:tcMar>
              <w:top w:w="80" w:type="dxa"/>
              <w:bottom w:w="80" w:type="dxa"/>
              <w:left w:w="100" w:type="dxa"/>
              <w:right w:w="100" w:type="dxa"/>
            </w:tcMar>
            <w:shd w:fill="FFFFFF"/>
          </w:tcPr>
          <w:p>
            <w:pPr>
              <w:keepNext w:val="0"/>
              <w:spacing w:after="0" w:before="0" w:line="252" w:lineRule="auto"/>
            </w:pPr>
            <w:r>
              <w:rPr>
                <w:sz w:val="20"/>
              </w:rPr>
              <w:t>Legal form</w:t>
            </w:r>
          </w:p>
        </w:tc>
        <w:tc>
          <w:tcPr>
            <w:tcW w:type="dxa" w:w="6822"/>
            <w:vAlign w:val="center"/>
            <w:tcMar>
              <w:top w:w="80" w:type="dxa"/>
              <w:bottom w:w="80" w:type="dxa"/>
              <w:left w:w="100" w:type="dxa"/>
              <w:right w:w="100" w:type="dxa"/>
            </w:tcMar>
            <w:shd w:fill="FFFFFF"/>
          </w:tcPr>
          <w:p>
            <w:pPr>
              <w:keepNext w:val="0"/>
              <w:spacing w:after="0" w:before="0" w:line="252" w:lineRule="auto"/>
            </w:pPr>
            <w:r>
              <w:rPr>
                <w:sz w:val="20"/>
              </w:rPr>
              <w:t>New York grantor trust; commodity ETP, not1940Act investment company</w:t>
            </w:r>
          </w:p>
        </w:tc>
      </w:tr>
      <w:tr>
        <w:trPr>
          <w:cantSplit/>
        </w:trPr>
        <w:tc>
          <w:tcPr>
            <w:tcW w:type="dxa" w:w="2924"/>
            <w:vAlign w:val="center"/>
            <w:tcMar>
              <w:top w:w="80" w:type="dxa"/>
              <w:bottom w:w="80" w:type="dxa"/>
              <w:left w:w="100" w:type="dxa"/>
              <w:right w:w="100" w:type="dxa"/>
            </w:tcMar>
            <w:shd w:fill="F4F7F8"/>
          </w:tcPr>
          <w:p>
            <w:pPr>
              <w:keepNext w:val="0"/>
              <w:spacing w:after="0" w:before="0" w:line="252" w:lineRule="auto"/>
            </w:pPr>
            <w:r>
              <w:rPr>
                <w:sz w:val="20"/>
              </w:rPr>
              <w:t>Issuer or sponsor</w:t>
            </w:r>
          </w:p>
        </w:tc>
        <w:tc>
          <w:tcPr>
            <w:tcW w:type="dxa" w:w="6822"/>
            <w:vAlign w:val="center"/>
            <w:tcMar>
              <w:top w:w="80" w:type="dxa"/>
              <w:bottom w:w="80" w:type="dxa"/>
              <w:left w:w="100" w:type="dxa"/>
              <w:right w:w="100" w:type="dxa"/>
            </w:tcMar>
            <w:shd w:fill="F4F7F8"/>
          </w:tcPr>
          <w:p>
            <w:pPr>
              <w:keepNext w:val="0"/>
              <w:spacing w:after="0" w:before="0" w:line="252" w:lineRule="auto"/>
            </w:pPr>
            <w:r>
              <w:rPr>
                <w:sz w:val="20"/>
              </w:rPr>
              <w:t>iShares Delaware Trust Sponsor LLC (sponsor)</w:t>
            </w:r>
          </w:p>
        </w:tc>
      </w:tr>
      <w:tr>
        <w:trPr>
          <w:cantSplit/>
        </w:trPr>
        <w:tc>
          <w:tcPr>
            <w:tcW w:type="dxa" w:w="2924"/>
            <w:vAlign w:val="center"/>
            <w:tcMar>
              <w:top w:w="80" w:type="dxa"/>
              <w:bottom w:w="80" w:type="dxa"/>
              <w:left w:w="100" w:type="dxa"/>
              <w:right w:w="100" w:type="dxa"/>
            </w:tcMar>
            <w:shd w:fill="FFFFFF"/>
          </w:tcPr>
          <w:p>
            <w:pPr>
              <w:keepNext w:val="0"/>
              <w:spacing w:after="0" w:before="0" w:line="252" w:lineRule="auto"/>
            </w:pPr>
            <w:r>
              <w:rPr>
                <w:sz w:val="20"/>
              </w:rPr>
              <w:t>Launch or class inception</w:t>
            </w:r>
          </w:p>
        </w:tc>
        <w:tc>
          <w:tcPr>
            <w:tcW w:type="dxa" w:w="6822"/>
            <w:vAlign w:val="center"/>
            <w:tcMar>
              <w:top w:w="80" w:type="dxa"/>
              <w:bottom w:w="80" w:type="dxa"/>
              <w:left w:w="100" w:type="dxa"/>
              <w:right w:w="100" w:type="dxa"/>
            </w:tcMar>
            <w:shd w:fill="FFFFFF"/>
          </w:tcPr>
          <w:p>
            <w:pPr>
              <w:keepNext w:val="0"/>
              <w:spacing w:after="0" w:before="0" w:line="252" w:lineRule="auto"/>
              <w:jc w:val="center"/>
            </w:pPr>
            <w:r>
              <w:rPr>
                <w:sz w:val="20"/>
              </w:rPr>
              <w:t>2006-04-21</w:t>
            </w:r>
          </w:p>
        </w:tc>
      </w:tr>
      <w:tr>
        <w:trPr>
          <w:cantSplit/>
        </w:trPr>
        <w:tc>
          <w:tcPr>
            <w:tcW w:type="dxa" w:w="2924"/>
            <w:vAlign w:val="center"/>
            <w:tcMar>
              <w:top w:w="80" w:type="dxa"/>
              <w:bottom w:w="80" w:type="dxa"/>
              <w:left w:w="100" w:type="dxa"/>
              <w:right w:w="100" w:type="dxa"/>
            </w:tcMar>
            <w:shd w:fill="F4F7F8"/>
          </w:tcPr>
          <w:p>
            <w:pPr>
              <w:keepNext w:val="0"/>
              <w:spacing w:after="0" w:before="0" w:line="252" w:lineRule="auto"/>
            </w:pPr>
            <w:r>
              <w:rPr>
                <w:sz w:val="20"/>
              </w:rPr>
              <w:t>ISIN / CUSIP</w:t>
            </w:r>
          </w:p>
        </w:tc>
        <w:tc>
          <w:tcPr>
            <w:tcW w:type="dxa" w:w="6822"/>
            <w:vAlign w:val="center"/>
            <w:tcMar>
              <w:top w:w="80" w:type="dxa"/>
              <w:bottom w:w="80" w:type="dxa"/>
              <w:left w:w="100" w:type="dxa"/>
              <w:right w:w="100" w:type="dxa"/>
            </w:tcMar>
            <w:shd w:fill="F4F7F8"/>
          </w:tcPr>
          <w:p>
            <w:pPr>
              <w:keepNext w:val="0"/>
              <w:spacing w:after="0" w:before="0" w:line="252" w:lineRule="auto"/>
              <w:jc w:val="center"/>
            </w:pPr>
            <w:r>
              <w:rPr>
                <w:sz w:val="20"/>
              </w:rPr>
              <w:t>US46428Q1094</w:t>
            </w:r>
          </w:p>
        </w:tc>
      </w:tr>
      <w:tr>
        <w:trPr>
          <w:cantSplit/>
        </w:trPr>
        <w:tc>
          <w:tcPr>
            <w:tcW w:type="dxa" w:w="2924"/>
            <w:vAlign w:val="center"/>
            <w:tcMar>
              <w:top w:w="80" w:type="dxa"/>
              <w:bottom w:w="80" w:type="dxa"/>
              <w:left w:w="100" w:type="dxa"/>
              <w:right w:w="100" w:type="dxa"/>
            </w:tcMar>
            <w:shd w:fill="FFFFFF"/>
          </w:tcPr>
          <w:p>
            <w:pPr>
              <w:keepNext w:val="0"/>
              <w:spacing w:after="0" w:before="0" w:line="252" w:lineRule="auto"/>
            </w:pPr>
            <w:r>
              <w:rPr>
                <w:sz w:val="20"/>
              </w:rPr>
              <w:t>Reported net assets</w:t>
            </w:r>
          </w:p>
        </w:tc>
        <w:tc>
          <w:tcPr>
            <w:tcW w:type="dxa" w:w="6822"/>
            <w:vAlign w:val="center"/>
            <w:tcMar>
              <w:top w:w="80" w:type="dxa"/>
              <w:bottom w:w="80" w:type="dxa"/>
              <w:left w:w="100" w:type="dxa"/>
              <w:right w:w="100" w:type="dxa"/>
            </w:tcMar>
            <w:shd w:fill="FFFFFF"/>
          </w:tcPr>
          <w:p>
            <w:pPr>
              <w:keepNext w:val="0"/>
              <w:spacing w:after="0" w:before="0" w:line="252" w:lineRule="auto"/>
            </w:pPr>
            <w:r>
              <w:rPr>
                <w:sz w:val="20"/>
              </w:rPr>
              <w:t>USD 32,436,676,600.00 as of 2026-09-22</w:t>
            </w:r>
          </w:p>
        </w:tc>
      </w:tr>
      <w:tr>
        <w:trPr>
          <w:cantSplit/>
        </w:trPr>
        <w:tc>
          <w:tcPr>
            <w:tcW w:type="dxa" w:w="2924"/>
            <w:vAlign w:val="center"/>
            <w:tcMar>
              <w:top w:w="80" w:type="dxa"/>
              <w:bottom w:w="80" w:type="dxa"/>
              <w:left w:w="100" w:type="dxa"/>
              <w:right w:w="100" w:type="dxa"/>
            </w:tcMar>
            <w:shd w:fill="F4F7F8"/>
          </w:tcPr>
          <w:p>
            <w:pPr>
              <w:keepNext w:val="0"/>
              <w:spacing w:after="0" w:before="0" w:line="252" w:lineRule="auto"/>
            </w:pPr>
            <w:r>
              <w:rPr>
                <w:sz w:val="20"/>
              </w:rPr>
              <w:t>Asset basis</w:t>
            </w:r>
          </w:p>
        </w:tc>
        <w:tc>
          <w:tcPr>
            <w:tcW w:type="dxa" w:w="6822"/>
            <w:vAlign w:val="center"/>
            <w:tcMar>
              <w:top w:w="80" w:type="dxa"/>
              <w:bottom w:w="80" w:type="dxa"/>
              <w:left w:w="100" w:type="dxa"/>
              <w:right w:w="100" w:type="dxa"/>
            </w:tcMar>
            <w:shd w:fill="F4F7F8"/>
          </w:tcPr>
          <w:p>
            <w:pPr>
              <w:keepNext w:val="0"/>
              <w:spacing w:after="0" w:before="0" w:line="252" w:lineRule="auto"/>
            </w:pPr>
            <w:r>
              <w:rPr>
                <w:sz w:val="20"/>
              </w:rPr>
              <w:t>Fund / trust / ETC series</w:t>
            </w:r>
          </w:p>
        </w:tc>
      </w:tr>
      <w:tr>
        <w:trPr>
          <w:cantSplit/>
        </w:trPr>
        <w:tc>
          <w:tcPr>
            <w:tcW w:type="dxa" w:w="2924"/>
            <w:vAlign w:val="center"/>
            <w:tcMar>
              <w:top w:w="80" w:type="dxa"/>
              <w:bottom w:w="80" w:type="dxa"/>
              <w:left w:w="100" w:type="dxa"/>
              <w:right w:w="100" w:type="dxa"/>
            </w:tcMar>
            <w:shd w:fill="FFFFFF"/>
          </w:tcPr>
          <w:p>
            <w:pPr>
              <w:keepNext w:val="0"/>
              <w:spacing w:after="0" w:before="0" w:line="252" w:lineRule="auto"/>
            </w:pPr>
            <w:r>
              <w:rPr>
                <w:sz w:val="20"/>
              </w:rPr>
              <w:t>Currency exposure</w:t>
            </w:r>
          </w:p>
        </w:tc>
        <w:tc>
          <w:tcPr>
            <w:tcW w:type="dxa" w:w="6822"/>
            <w:vAlign w:val="center"/>
            <w:tcMar>
              <w:top w:w="80" w:type="dxa"/>
              <w:bottom w:w="80" w:type="dxa"/>
              <w:left w:w="100" w:type="dxa"/>
              <w:right w:w="100" w:type="dxa"/>
            </w:tcMar>
            <w:shd w:fill="FFFFFF"/>
          </w:tcPr>
          <w:p>
            <w:pPr>
              <w:keepNext w:val="0"/>
              <w:spacing w:after="0" w:before="0" w:line="252" w:lineRule="auto"/>
              <w:jc w:val="center"/>
            </w:pPr>
            <w:r>
              <w:rPr>
                <w:sz w:val="20"/>
              </w:rPr>
              <w:t>Unhedged</w:t>
            </w:r>
          </w:p>
        </w:tc>
      </w:tr>
      <w:tr>
        <w:trPr>
          <w:cantSplit/>
        </w:trPr>
        <w:tc>
          <w:tcPr>
            <w:tcW w:type="dxa" w:w="2924"/>
            <w:vAlign w:val="center"/>
            <w:tcMar>
              <w:top w:w="80" w:type="dxa"/>
              <w:bottom w:w="80" w:type="dxa"/>
              <w:left w:w="100" w:type="dxa"/>
              <w:right w:w="100" w:type="dxa"/>
            </w:tcMar>
            <w:shd w:fill="F4F7F8"/>
          </w:tcPr>
          <w:p>
            <w:pPr>
              <w:keepNext w:val="0"/>
              <w:spacing w:after="0" w:before="0" w:line="252" w:lineRule="auto"/>
            </w:pPr>
            <w:r>
              <w:rPr>
                <w:sz w:val="20"/>
              </w:rPr>
              <w:t>Annual fee</w:t>
            </w:r>
          </w:p>
        </w:tc>
        <w:tc>
          <w:tcPr>
            <w:tcW w:type="dxa" w:w="6822"/>
            <w:vAlign w:val="center"/>
            <w:tcMar>
              <w:top w:w="80" w:type="dxa"/>
              <w:bottom w:w="80" w:type="dxa"/>
              <w:left w:w="100" w:type="dxa"/>
              <w:right w:w="100" w:type="dxa"/>
            </w:tcMar>
            <w:shd w:fill="F4F7F8"/>
          </w:tcPr>
          <w:p>
            <w:pPr>
              <w:keepNext w:val="0"/>
              <w:spacing w:after="0" w:before="0" w:line="252" w:lineRule="auto"/>
              <w:jc w:val="center"/>
            </w:pPr>
            <w:r>
              <w:rPr>
                <w:sz w:val="20"/>
              </w:rPr>
              <w:t>0.5% — Sponsor fee</w:t>
            </w:r>
          </w:p>
        </w:tc>
      </w:tr>
      <w:tr>
        <w:trPr>
          <w:cantSplit/>
        </w:trPr>
        <w:tc>
          <w:tcPr>
            <w:tcW w:type="dxa" w:w="2924"/>
            <w:vAlign w:val="center"/>
            <w:tcMar>
              <w:top w:w="80" w:type="dxa"/>
              <w:bottom w:w="80" w:type="dxa"/>
              <w:left w:w="100" w:type="dxa"/>
              <w:right w:w="100" w:type="dxa"/>
            </w:tcMar>
            <w:shd w:fill="FFFFFF"/>
          </w:tcPr>
          <w:p>
            <w:pPr>
              <w:keepNext w:val="0"/>
              <w:spacing w:after="0" w:before="0" w:line="252" w:lineRule="auto"/>
            </w:pPr>
            <w:r>
              <w:rPr>
                <w:sz w:val="20"/>
              </w:rPr>
              <w:t>Custodian</w:t>
            </w:r>
          </w:p>
        </w:tc>
        <w:tc>
          <w:tcPr>
            <w:tcW w:type="dxa" w:w="6822"/>
            <w:vAlign w:val="center"/>
            <w:tcMar>
              <w:top w:w="80" w:type="dxa"/>
              <w:bottom w:w="80" w:type="dxa"/>
              <w:left w:w="100" w:type="dxa"/>
              <w:right w:w="100" w:type="dxa"/>
            </w:tcMar>
            <w:shd w:fill="FFFFFF"/>
          </w:tcPr>
          <w:p>
            <w:pPr>
              <w:keepNext w:val="0"/>
              <w:spacing w:after="0" w:before="0" w:line="252" w:lineRule="auto"/>
            </w:pPr>
            <w:r>
              <w:rPr>
                <w:sz w:val="20"/>
              </w:rPr>
              <w:t>JPMorgan Chase Bank N.A., London branch. Trustee: The Bank of New York Mellon.</w:t>
            </w:r>
          </w:p>
        </w:tc>
      </w:tr>
      <w:tr>
        <w:trPr>
          <w:cantSplit/>
        </w:trPr>
        <w:tc>
          <w:tcPr>
            <w:tcW w:type="dxa" w:w="2924"/>
            <w:vAlign w:val="center"/>
            <w:tcMar>
              <w:top w:w="80" w:type="dxa"/>
              <w:bottom w:w="80" w:type="dxa"/>
              <w:left w:w="100" w:type="dxa"/>
              <w:right w:w="100" w:type="dxa"/>
            </w:tcMar>
            <w:shd w:fill="F4F7F8"/>
          </w:tcPr>
          <w:p>
            <w:pPr>
              <w:keepNext w:val="0"/>
              <w:spacing w:after="0" w:before="0" w:line="252" w:lineRule="auto"/>
            </w:pPr>
            <w:r>
              <w:rPr>
                <w:sz w:val="20"/>
              </w:rPr>
              <w:t>Custody evidence date</w:t>
            </w:r>
          </w:p>
        </w:tc>
        <w:tc>
          <w:tcPr>
            <w:tcW w:type="dxa" w:w="6822"/>
            <w:vAlign w:val="center"/>
            <w:tcMar>
              <w:top w:w="80" w:type="dxa"/>
              <w:bottom w:w="80" w:type="dxa"/>
              <w:left w:w="100" w:type="dxa"/>
              <w:right w:w="100" w:type="dxa"/>
            </w:tcMar>
            <w:shd w:fill="F4F7F8"/>
          </w:tcPr>
          <w:p>
            <w:pPr>
              <w:keepNext w:val="0"/>
              <w:spacing w:after="0" w:before="0" w:line="252" w:lineRule="auto"/>
              <w:jc w:val="center"/>
            </w:pPr>
            <w:r>
              <w:rPr>
                <w:sz w:val="20"/>
              </w:rPr>
              <w:t>2026-09-23</w:t>
            </w:r>
          </w:p>
        </w:tc>
      </w:tr>
      <w:tr>
        <w:trPr>
          <w:cantSplit/>
        </w:trPr>
        <w:tc>
          <w:tcPr>
            <w:tcW w:type="dxa" w:w="2924"/>
            <w:vAlign w:val="center"/>
            <w:tcMar>
              <w:top w:w="80" w:type="dxa"/>
              <w:bottom w:w="80" w:type="dxa"/>
              <w:left w:w="100" w:type="dxa"/>
              <w:right w:w="100" w:type="dxa"/>
            </w:tcMar>
            <w:shd w:fill="FFFFFF"/>
          </w:tcPr>
          <w:p>
            <w:pPr>
              <w:keepNext w:val="0"/>
              <w:spacing w:after="0" w:before="0" w:line="252" w:lineRule="auto"/>
            </w:pPr>
            <w:r>
              <w:rPr>
                <w:sz w:val="20"/>
              </w:rPr>
              <w:t>Reported metal quantity</w:t>
            </w:r>
          </w:p>
        </w:tc>
        <w:tc>
          <w:tcPr>
            <w:tcW w:type="dxa" w:w="6822"/>
            <w:vAlign w:val="center"/>
            <w:tcMar>
              <w:top w:w="80" w:type="dxa"/>
              <w:bottom w:w="80" w:type="dxa"/>
              <w:left w:w="100" w:type="dxa"/>
              <w:right w:w="100" w:type="dxa"/>
            </w:tcMar>
            <w:shd w:fill="FFFFFF"/>
          </w:tcPr>
          <w:p>
            <w:pPr>
              <w:keepNext w:val="0"/>
              <w:spacing w:after="0" w:before="0" w:line="252" w:lineRule="auto"/>
            </w:pPr>
            <w:r>
              <w:rPr>
                <w:sz w:val="20"/>
              </w:rPr>
              <w:t>494,346,055 troy ounces; 15,375.88 tonnes; dated 2026-09-22 — Issuer product-page quantity</w:t>
            </w:r>
          </w:p>
        </w:tc>
      </w:tr>
    </w:tbl>
    <w:p>
      <w:pPr>
        <w:spacing w:after="60" w:before="0" w:line="40" w:lineRule="exact"/>
      </w:pPr>
      <w:r>
        <w:rPr>
          <w:sz w:val="4"/>
        </w:rPr>
      </w:r>
    </w:p>
    <w:p>
      <w:r>
        <w:rPr>
          <w:b/>
        </w:rPr>
        <w:t xml:space="preserve">Fee definition. </w:t>
      </w:r>
      <w:r>
        <w:t>Annual sponsor fee. Extraordinary expenses can be additional.</w:t>
      </w:r>
    </w:p>
    <w:p>
      <w:r>
        <w:rPr>
          <w:b/>
        </w:rPr>
        <w:t xml:space="preserve">Allocation. </w:t>
      </w:r>
      <w:r>
        <w:t>Custody arrangements permit no more than 1,100 silver ounces in unallocated form at each business-day end.</w:t>
      </w:r>
    </w:p>
    <w:p>
      <w:r>
        <w:rPr>
          <w:b/>
        </w:rPr>
        <w:t xml:space="preserve">Bullion storage. </w:t>
      </w:r>
      <w:r>
        <w:t>Clause 7.4 permits the custodian’s and subcustodians’ vaults in England or New York. Do not expand New York to the whole United States or England to the whole UK. Other locations require custodian/trustee agreement with sponsor approval. Current vault balances are a separate question.</w:t>
      </w:r>
    </w:p>
    <w:p>
      <w:r>
        <w:rPr>
          <w:b/>
        </w:rPr>
        <w:t xml:space="preserve">Location holding limits. </w:t>
      </w:r>
      <w:r>
        <w:t>The filed custody agreement, read with the amendments incorporated by the June 2026 Form 10-Q, specifies permitted locations but contains no identified percentage, ounce or dollar ceiling per country, city or vault. Other locations require custodian/trustee agreement and sponsor approval. Best-efforts delivery capacity is not a guarantee of unlimited capacity. Private operating, insurance, risk limits and separate location consents remain unconfirmed.</w:t>
      </w:r>
    </w:p>
    <w:p>
      <w:r>
        <w:rPr>
          <w:b/>
        </w:rPr>
        <w:t xml:space="preserve">Limit scope. </w:t>
      </w:r>
      <w:r>
        <w:t>Bullion held by the US trust; permitted geography is separate from unallocated-account limits.</w:t>
      </w:r>
    </w:p>
    <w:p>
      <w:r>
        <w:rPr>
          <w:b/>
        </w:rPr>
        <w:t xml:space="preserve">Capacity limits. </w:t>
      </w:r>
      <w:r>
        <w:t>The 2016 clause 3.4 allowed refusal of additional delivery above 500 million troy ounces in aggregate. The amendment effective 30 June 2020 deleted that proviso. It was not a UK/US split limit. Do not calculate capacity headroom against the obsolete threshold. No replacement numerical aggregate threshold was identified in the reviewed filed chain.</w:t>
      </w:r>
    </w:p>
    <w:p>
      <w:r>
        <w:rPr>
          <w:b/>
        </w:rPr>
        <w:t xml:space="preserve">Custody verification. </w:t>
      </w:r>
      <w:r>
        <w:t>Public filing chain checked 23 September 2026; latest SEC submissions list the 6 August 2026 Form 10-Q. Private limits and current vault balances are not attested.</w:t>
      </w:r>
    </w:p>
    <w:p>
      <w:r>
        <w:rPr>
          <w:b w:val="0"/>
        </w:rPr>
        <w:t>Metal quantities on the product page use trade-date activity. Custodian bar lists use accounting data and can differ.</w:t>
      </w:r>
    </w:p>
    <w:p>
      <w:r>
        <w:rPr>
          <w:b/>
        </w:rPr>
        <w:t xml:space="preserve">Location clause source. </w:t>
      </w:r>
      <w:hyperlink r:id="rId54">
        <w:r>
          <w:rPr>
            <w:color w:val="235779"/>
            <w:u w:val="single"/>
          </w:rPr>
          <w:t>Executed custody agreement, 22 December 2016; clauses 1.1, 3.4 and 7.4–7.5</w:t>
        </w:r>
      </w:hyperlink>
      <w:r>
        <w:t xml:space="preserve"> — Custody agreement clause 7.4 (and clause 1.1 for gold); read with amendments in Details</w:t>
      </w:r>
    </w:p>
    <w:p>
      <w:pPr>
        <w:pStyle w:val="Heading2"/>
        <w:pageBreakBefore w:val="0"/>
      </w:pPr>
      <w:r>
        <w:t>Recorded listings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86"/>
        <w:gridCol w:w="1754"/>
        <w:gridCol w:w="1169"/>
        <w:gridCol w:w="2436"/>
      </w:tblGrid>
      <w:tr>
        <w:trPr>
          <w:tblHeader/>
          <w:cantSplit/>
        </w:trPr>
        <w:tc>
          <w:tcPr>
            <w:tcW w:type="dxa" w:w="4386"/>
            <w:vAlign w:val="center"/>
            <w:tcMar>
              <w:top w:w="80" w:type="dxa"/>
              <w:bottom w:w="80" w:type="dxa"/>
              <w:left w:w="100" w:type="dxa"/>
              <w:right w:w="100" w:type="dxa"/>
            </w:tcMar>
            <w:shd w:fill="DCE6EB"/>
          </w:tcPr>
          <w:p>
            <w:pPr>
              <w:keepNext/>
              <w:spacing w:after="0" w:before="0" w:line="252" w:lineRule="auto"/>
            </w:pPr>
            <w:r>
              <w:rPr>
                <w:b/>
                <w:sz w:val="20"/>
              </w:rPr>
              <w:t>Exchange</w:t>
            </w:r>
          </w:p>
        </w:tc>
        <w:tc>
          <w:tcPr>
            <w:tcW w:type="dxa" w:w="1754"/>
            <w:vAlign w:val="center"/>
            <w:tcMar>
              <w:top w:w="80" w:type="dxa"/>
              <w:bottom w:w="80" w:type="dxa"/>
              <w:left w:w="100" w:type="dxa"/>
              <w:right w:w="100" w:type="dxa"/>
            </w:tcMar>
            <w:shd w:fill="DCE6EB"/>
          </w:tcPr>
          <w:p>
            <w:pPr>
              <w:keepNext/>
              <w:spacing w:after="0" w:before="0" w:line="252" w:lineRule="auto"/>
              <w:jc w:val="center"/>
            </w:pPr>
            <w:r>
              <w:rPr>
                <w:b/>
                <w:sz w:val="20"/>
              </w:rPr>
              <w:t>Ticker</w:t>
            </w:r>
          </w:p>
        </w:tc>
        <w:tc>
          <w:tcPr>
            <w:tcW w:type="dxa" w:w="1169"/>
            <w:vAlign w:val="center"/>
            <w:tcMar>
              <w:top w:w="80" w:type="dxa"/>
              <w:bottom w:w="80" w:type="dxa"/>
              <w:left w:w="100" w:type="dxa"/>
              <w:right w:w="100" w:type="dxa"/>
            </w:tcMar>
            <w:shd w:fill="DCE6EB"/>
          </w:tcPr>
          <w:p>
            <w:pPr>
              <w:keepNext/>
              <w:spacing w:after="0" w:before="0" w:line="252" w:lineRule="auto"/>
              <w:jc w:val="center"/>
            </w:pPr>
            <w:r>
              <w:rPr>
                <w:b/>
                <w:sz w:val="20"/>
              </w:rPr>
              <w:t>Currency</w:t>
            </w:r>
          </w:p>
        </w:tc>
        <w:tc>
          <w:tcPr>
            <w:tcW w:type="dxa" w:w="2436"/>
            <w:vAlign w:val="center"/>
            <w:tcMar>
              <w:top w:w="80" w:type="dxa"/>
              <w:bottom w:w="80" w:type="dxa"/>
              <w:left w:w="100" w:type="dxa"/>
              <w:right w:w="100" w:type="dxa"/>
            </w:tcMar>
            <w:shd w:fill="DCE6EB"/>
          </w:tcPr>
          <w:p>
            <w:pPr>
              <w:keepNext/>
              <w:spacing w:after="0" w:before="0" w:line="252" w:lineRule="auto"/>
              <w:jc w:val="center"/>
            </w:pPr>
            <w:r>
              <w:rPr>
                <w:b/>
                <w:sz w:val="20"/>
              </w:rPr>
              <w:t>Listing date</w:t>
            </w:r>
          </w:p>
        </w:tc>
      </w:tr>
      <w:tr>
        <w:trPr>
          <w:cantSplit/>
        </w:trPr>
        <w:tc>
          <w:tcPr>
            <w:tcW w:type="dxa" w:w="4386"/>
            <w:vAlign w:val="center"/>
            <w:tcMar>
              <w:top w:w="80" w:type="dxa"/>
              <w:bottom w:w="80" w:type="dxa"/>
              <w:left w:w="100" w:type="dxa"/>
              <w:right w:w="100" w:type="dxa"/>
            </w:tcMar>
            <w:shd w:fill="FFFFFF"/>
          </w:tcPr>
          <w:p>
            <w:pPr>
              <w:keepNext w:val="0"/>
              <w:spacing w:after="0" w:before="0" w:line="252" w:lineRule="auto"/>
            </w:pPr>
            <w:r>
              <w:rPr>
                <w:sz w:val="20"/>
              </w:rPr>
              <w:t>NYSE Arca</w:t>
            </w:r>
          </w:p>
        </w:tc>
        <w:tc>
          <w:tcPr>
            <w:tcW w:type="dxa" w:w="1754"/>
            <w:vAlign w:val="center"/>
            <w:tcMar>
              <w:top w:w="80" w:type="dxa"/>
              <w:bottom w:w="80" w:type="dxa"/>
              <w:left w:w="100" w:type="dxa"/>
              <w:right w:w="100" w:type="dxa"/>
            </w:tcMar>
            <w:shd w:fill="FFFFFF"/>
          </w:tcPr>
          <w:p>
            <w:pPr>
              <w:keepNext w:val="0"/>
              <w:spacing w:after="0" w:before="0" w:line="252" w:lineRule="auto"/>
              <w:jc w:val="center"/>
            </w:pPr>
            <w:r>
              <w:rPr>
                <w:sz w:val="20"/>
              </w:rPr>
              <w:t>SLV</w:t>
            </w:r>
          </w:p>
        </w:tc>
        <w:tc>
          <w:tcPr>
            <w:tcW w:type="dxa" w:w="1169"/>
            <w:vAlign w:val="center"/>
            <w:tcMar>
              <w:top w:w="80" w:type="dxa"/>
              <w:bottom w:w="80" w:type="dxa"/>
              <w:left w:w="100" w:type="dxa"/>
              <w:right w:w="100" w:type="dxa"/>
            </w:tcMar>
            <w:shd w:fill="FFFFFF"/>
          </w:tcPr>
          <w:p>
            <w:pPr>
              <w:keepNext w:val="0"/>
              <w:spacing w:after="0" w:before="0" w:line="252" w:lineRule="auto"/>
              <w:jc w:val="center"/>
            </w:pPr>
            <w:r>
              <w:rPr>
                <w:sz w:val="20"/>
              </w:rPr>
              <w:t>USD</w:t>
            </w:r>
          </w:p>
        </w:tc>
        <w:tc>
          <w:tcPr>
            <w:tcW w:type="dxa" w:w="2436"/>
            <w:vAlign w:val="center"/>
            <w:tcMar>
              <w:top w:w="80" w:type="dxa"/>
              <w:bottom w:w="80" w:type="dxa"/>
              <w:left w:w="100" w:type="dxa"/>
              <w:right w:w="100" w:type="dxa"/>
            </w:tcMar>
            <w:shd w:fill="FFFFFF"/>
          </w:tcPr>
          <w:p>
            <w:pPr>
              <w:keepNext w:val="0"/>
              <w:spacing w:after="0" w:before="0" w:line="252" w:lineRule="auto"/>
              <w:jc w:val="center"/>
            </w:pPr>
            <w:r>
              <w:rPr>
                <w:sz w:val="20"/>
              </w:rPr>
              <w:t>See issuer page</w:t>
            </w:r>
          </w:p>
        </w:tc>
      </w:tr>
    </w:tbl>
    <w:p>
      <w:pPr>
        <w:spacing w:after="60" w:before="0" w:line="40" w:lineRule="exact"/>
      </w:pPr>
      <w:r>
        <w:rPr>
          <w:sz w:val="4"/>
        </w:rPr>
      </w:r>
    </w:p>
    <w:p>
      <w:pPr>
        <w:pStyle w:val="Heading2"/>
        <w:pageBreakBefore w:val="0"/>
      </w:pPr>
      <w:r>
        <w:t>Sources</w:t>
      </w:r>
    </w:p>
    <w:p>
      <w:pPr>
        <w:spacing w:after="80"/>
      </w:pPr>
      <w:hyperlink r:id="rId55">
        <w:r>
          <w:rPr>
            <w:color w:val="235779"/>
            <w:u w:val="single"/>
          </w:rPr>
          <w:t>Issuer product page</w:t>
        </w:r>
      </w:hyperlink>
      <w:r>
        <w:t xml:space="preserve">  ·  </w:t>
      </w:r>
      <w:hyperlink r:id="rId56">
        <w:r>
          <w:rPr>
            <w:color w:val="235779"/>
            <w:u w:val="single"/>
          </w:rPr>
          <w:t>Saved source</w:t>
        </w:r>
      </w:hyperlink>
    </w:p>
    <w:p>
      <w:pPr>
        <w:spacing w:after="80"/>
      </w:pPr>
      <w:hyperlink r:id="rId57">
        <w:r>
          <w:rPr>
            <w:color w:val="235779"/>
            <w:u w:val="single"/>
          </w:rPr>
          <w:t>Prospectus: fees, custody and allocation</w:t>
        </w:r>
      </w:hyperlink>
      <w:r>
        <w:t xml:space="preserve">  ·  </w:t>
      </w:r>
      <w:hyperlink r:id="rId58">
        <w:r>
          <w:rPr>
            <w:color w:val="235779"/>
            <w:u w:val="single"/>
          </w:rPr>
          <w:t>Saved source</w:t>
        </w:r>
      </w:hyperlink>
    </w:p>
    <w:p>
      <w:pPr>
        <w:spacing w:after="80"/>
      </w:pPr>
      <w:hyperlink r:id="rId54">
        <w:r>
          <w:rPr>
            <w:color w:val="235779"/>
            <w:u w:val="single"/>
          </w:rPr>
          <w:t>Executed custody agreement, 22 December 2016; clauses 1.1, 3.4 and 7.4–7.5</w:t>
        </w:r>
      </w:hyperlink>
      <w:r>
        <w:t xml:space="preserve">  ·  </w:t>
      </w:r>
      <w:hyperlink r:id="rId59">
        <w:r>
          <w:rPr>
            <w:color w:val="235779"/>
            <w:u w:val="single"/>
          </w:rPr>
          <w:t>Saved source</w:t>
        </w:r>
      </w:hyperlink>
    </w:p>
    <w:p>
      <w:pPr>
        <w:spacing w:after="80"/>
      </w:pPr>
      <w:hyperlink r:id="rId60">
        <w:r>
          <w:rPr>
            <w:color w:val="235779"/>
            <w:u w:val="single"/>
          </w:rPr>
          <w:t>June 2026 Form 10-Q, filed 6 August 2026: Item 6 custody exhibit chain</w:t>
        </w:r>
      </w:hyperlink>
      <w:r>
        <w:t xml:space="preserve">  ·  </w:t>
      </w:r>
      <w:hyperlink r:id="rId61">
        <w:r>
          <w:rPr>
            <w:color w:val="235779"/>
            <w:u w:val="single"/>
          </w:rPr>
          <w:t>Saved source</w:t>
        </w:r>
      </w:hyperlink>
    </w:p>
    <w:p>
      <w:pPr>
        <w:spacing w:after="80"/>
      </w:pPr>
      <w:hyperlink r:id="rId62">
        <w:r>
          <w:rPr>
            <w:color w:val="235779"/>
            <w:u w:val="single"/>
          </w:rPr>
          <w:t>30 June 2020 amendment: deletes SLV 500 million ounce delivery threshold</w:t>
        </w:r>
      </w:hyperlink>
      <w:r>
        <w:t xml:space="preserve">  ·  </w:t>
      </w:r>
      <w:hyperlink r:id="rId63">
        <w:r>
          <w:rPr>
            <w:color w:val="235779"/>
            <w:u w:val="single"/>
          </w:rPr>
          <w:t>Saved source</w:t>
        </w:r>
      </w:hyperlink>
    </w:p>
    <w:p>
      <w:bookmarkStart w:id="15" w:name="product_13"/>
      <w:pPr>
        <w:pStyle w:val="Heading1"/>
        <w:pageBreakBefore w:val="0"/>
        <w:spacing w:before="360"/>
      </w:pPr>
      <w:r>
        <w:t>13  iShares Gold Bullion ETF hedged units</w:t>
      </w:r>
      <w:bookmarkEnd w:id="15"/>
    </w:p>
    <w:p>
      <w:pPr>
        <w:keepNext/>
      </w:pPr>
      <w:r>
        <w:rPr>
          <w:b/>
        </w:rPr>
        <w:t>CGL  |  Canada  |  Gold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24"/>
        <w:gridCol w:w="6822"/>
      </w:tblGrid>
      <w:tr>
        <w:trPr>
          <w:tblHeader/>
          <w:cantSplit/>
        </w:trPr>
        <w:tc>
          <w:tcPr>
            <w:tcW w:type="dxa" w:w="2924"/>
            <w:vAlign w:val="center"/>
            <w:tcMar>
              <w:top w:w="80" w:type="dxa"/>
              <w:bottom w:w="80" w:type="dxa"/>
              <w:left w:w="100" w:type="dxa"/>
              <w:right w:w="100" w:type="dxa"/>
            </w:tcMar>
            <w:shd w:fill="DCE6EB"/>
          </w:tcPr>
          <w:p>
            <w:pPr>
              <w:keepNext/>
              <w:spacing w:after="0" w:before="0" w:line="252" w:lineRule="auto"/>
            </w:pPr>
            <w:r>
              <w:rPr>
                <w:b/>
                <w:sz w:val="20"/>
              </w:rPr>
              <w:t>Field</w:t>
            </w:r>
          </w:p>
        </w:tc>
        <w:tc>
          <w:tcPr>
            <w:tcW w:type="dxa" w:w="6822"/>
            <w:vAlign w:val="center"/>
            <w:tcMar>
              <w:top w:w="80" w:type="dxa"/>
              <w:bottom w:w="80" w:type="dxa"/>
              <w:left w:w="100" w:type="dxa"/>
              <w:right w:w="100" w:type="dxa"/>
            </w:tcMar>
            <w:shd w:fill="DCE6EB"/>
          </w:tcPr>
          <w:p>
            <w:pPr>
              <w:keepNext/>
              <w:spacing w:after="0" w:before="0" w:line="252" w:lineRule="auto"/>
              <w:jc w:val="center"/>
            </w:pPr>
            <w:r>
              <w:rPr>
                <w:b/>
                <w:sz w:val="20"/>
              </w:rPr>
              <w:t>Detail</w:t>
            </w:r>
          </w:p>
        </w:tc>
      </w:tr>
      <w:tr>
        <w:trPr>
          <w:cantSplit/>
        </w:trPr>
        <w:tc>
          <w:tcPr>
            <w:tcW w:type="dxa" w:w="2924"/>
            <w:vAlign w:val="center"/>
            <w:tcMar>
              <w:top w:w="80" w:type="dxa"/>
              <w:bottom w:w="80" w:type="dxa"/>
              <w:left w:w="100" w:type="dxa"/>
              <w:right w:w="100" w:type="dxa"/>
            </w:tcMar>
            <w:shd w:fill="FFFFFF"/>
          </w:tcPr>
          <w:p>
            <w:pPr>
              <w:keepNext w:val="0"/>
              <w:spacing w:after="0" w:before="0" w:line="252" w:lineRule="auto"/>
            </w:pPr>
            <w:r>
              <w:rPr>
                <w:sz w:val="20"/>
              </w:rPr>
              <w:t>Legal form</w:t>
            </w:r>
          </w:p>
        </w:tc>
        <w:tc>
          <w:tcPr>
            <w:tcW w:type="dxa" w:w="6822"/>
            <w:vAlign w:val="center"/>
            <w:tcMar>
              <w:top w:w="80" w:type="dxa"/>
              <w:bottom w:w="80" w:type="dxa"/>
              <w:left w:w="100" w:type="dxa"/>
              <w:right w:w="100" w:type="dxa"/>
            </w:tcMar>
            <w:shd w:fill="FFFFFF"/>
          </w:tcPr>
          <w:p>
            <w:pPr>
              <w:keepNext w:val="0"/>
              <w:spacing w:after="0" w:before="0" w:line="252" w:lineRule="auto"/>
            </w:pPr>
            <w:r>
              <w:rPr>
                <w:sz w:val="20"/>
              </w:rPr>
              <w:t>Ontario trust; hedged common units</w:t>
            </w:r>
          </w:p>
        </w:tc>
      </w:tr>
      <w:tr>
        <w:trPr>
          <w:cantSplit/>
        </w:trPr>
        <w:tc>
          <w:tcPr>
            <w:tcW w:type="dxa" w:w="2924"/>
            <w:vAlign w:val="center"/>
            <w:tcMar>
              <w:top w:w="80" w:type="dxa"/>
              <w:bottom w:w="80" w:type="dxa"/>
              <w:left w:w="100" w:type="dxa"/>
              <w:right w:w="100" w:type="dxa"/>
            </w:tcMar>
            <w:shd w:fill="F4F7F8"/>
          </w:tcPr>
          <w:p>
            <w:pPr>
              <w:keepNext w:val="0"/>
              <w:spacing w:after="0" w:before="0" w:line="252" w:lineRule="auto"/>
            </w:pPr>
            <w:r>
              <w:rPr>
                <w:sz w:val="20"/>
              </w:rPr>
              <w:t>Issuer or sponsor</w:t>
            </w:r>
          </w:p>
        </w:tc>
        <w:tc>
          <w:tcPr>
            <w:tcW w:type="dxa" w:w="6822"/>
            <w:vAlign w:val="center"/>
            <w:tcMar>
              <w:top w:w="80" w:type="dxa"/>
              <w:bottom w:w="80" w:type="dxa"/>
              <w:left w:w="100" w:type="dxa"/>
              <w:right w:w="100" w:type="dxa"/>
            </w:tcMar>
            <w:shd w:fill="F4F7F8"/>
          </w:tcPr>
          <w:p>
            <w:pPr>
              <w:keepNext w:val="0"/>
              <w:spacing w:after="0" w:before="0" w:line="252" w:lineRule="auto"/>
            </w:pPr>
            <w:r>
              <w:rPr>
                <w:sz w:val="20"/>
              </w:rPr>
              <w:t>BlackRock Asset Management Canada Limited (manager and trustee)</w:t>
            </w:r>
          </w:p>
        </w:tc>
      </w:tr>
      <w:tr>
        <w:trPr>
          <w:cantSplit/>
        </w:trPr>
        <w:tc>
          <w:tcPr>
            <w:tcW w:type="dxa" w:w="2924"/>
            <w:vAlign w:val="center"/>
            <w:tcMar>
              <w:top w:w="80" w:type="dxa"/>
              <w:bottom w:w="80" w:type="dxa"/>
              <w:left w:w="100" w:type="dxa"/>
              <w:right w:w="100" w:type="dxa"/>
            </w:tcMar>
            <w:shd w:fill="FFFFFF"/>
          </w:tcPr>
          <w:p>
            <w:pPr>
              <w:keepNext w:val="0"/>
              <w:spacing w:after="0" w:before="0" w:line="252" w:lineRule="auto"/>
            </w:pPr>
            <w:r>
              <w:rPr>
                <w:sz w:val="20"/>
              </w:rPr>
              <w:t>Launch or class inception</w:t>
            </w:r>
          </w:p>
        </w:tc>
        <w:tc>
          <w:tcPr>
            <w:tcW w:type="dxa" w:w="6822"/>
            <w:vAlign w:val="center"/>
            <w:tcMar>
              <w:top w:w="80" w:type="dxa"/>
              <w:bottom w:w="80" w:type="dxa"/>
              <w:left w:w="100" w:type="dxa"/>
              <w:right w:w="100" w:type="dxa"/>
            </w:tcMar>
            <w:shd w:fill="FFFFFF"/>
          </w:tcPr>
          <w:p>
            <w:pPr>
              <w:keepNext w:val="0"/>
              <w:spacing w:after="0" w:before="0" w:line="252" w:lineRule="auto"/>
              <w:jc w:val="center"/>
            </w:pPr>
            <w:r>
              <w:rPr>
                <w:sz w:val="20"/>
              </w:rPr>
              <w:t>2009-05-28</w:t>
            </w:r>
          </w:p>
        </w:tc>
      </w:tr>
      <w:tr>
        <w:trPr>
          <w:cantSplit/>
        </w:trPr>
        <w:tc>
          <w:tcPr>
            <w:tcW w:type="dxa" w:w="2924"/>
            <w:vAlign w:val="center"/>
            <w:tcMar>
              <w:top w:w="80" w:type="dxa"/>
              <w:bottom w:w="80" w:type="dxa"/>
              <w:left w:w="100" w:type="dxa"/>
              <w:right w:w="100" w:type="dxa"/>
            </w:tcMar>
            <w:shd w:fill="F4F7F8"/>
          </w:tcPr>
          <w:p>
            <w:pPr>
              <w:keepNext w:val="0"/>
              <w:spacing w:after="0" w:before="0" w:line="252" w:lineRule="auto"/>
            </w:pPr>
            <w:r>
              <w:rPr>
                <w:sz w:val="20"/>
              </w:rPr>
              <w:t>ISIN / CUSIP</w:t>
            </w:r>
          </w:p>
        </w:tc>
        <w:tc>
          <w:tcPr>
            <w:tcW w:type="dxa" w:w="6822"/>
            <w:vAlign w:val="center"/>
            <w:tcMar>
              <w:top w:w="80" w:type="dxa"/>
              <w:bottom w:w="80" w:type="dxa"/>
              <w:left w:w="100" w:type="dxa"/>
              <w:right w:w="100" w:type="dxa"/>
            </w:tcMar>
            <w:shd w:fill="F4F7F8"/>
          </w:tcPr>
          <w:p>
            <w:pPr>
              <w:keepNext w:val="0"/>
              <w:spacing w:after="0" w:before="0" w:line="252" w:lineRule="auto"/>
              <w:jc w:val="center"/>
            </w:pPr>
            <w:r>
              <w:rPr>
                <w:sz w:val="20"/>
              </w:rPr>
              <w:t>46432D201</w:t>
            </w:r>
          </w:p>
        </w:tc>
      </w:tr>
      <w:tr>
        <w:trPr>
          <w:cantSplit/>
        </w:trPr>
        <w:tc>
          <w:tcPr>
            <w:tcW w:type="dxa" w:w="2924"/>
            <w:vAlign w:val="center"/>
            <w:tcMar>
              <w:top w:w="80" w:type="dxa"/>
              <w:bottom w:w="80" w:type="dxa"/>
              <w:left w:w="100" w:type="dxa"/>
              <w:right w:w="100" w:type="dxa"/>
            </w:tcMar>
            <w:shd w:fill="FFFFFF"/>
          </w:tcPr>
          <w:p>
            <w:pPr>
              <w:keepNext w:val="0"/>
              <w:spacing w:after="0" w:before="0" w:line="252" w:lineRule="auto"/>
            </w:pPr>
            <w:r>
              <w:rPr>
                <w:sz w:val="20"/>
              </w:rPr>
              <w:t>Reported net assets</w:t>
            </w:r>
          </w:p>
        </w:tc>
        <w:tc>
          <w:tcPr>
            <w:tcW w:type="dxa" w:w="6822"/>
            <w:vAlign w:val="center"/>
            <w:tcMar>
              <w:top w:w="80" w:type="dxa"/>
              <w:bottom w:w="80" w:type="dxa"/>
              <w:left w:w="100" w:type="dxa"/>
              <w:right w:w="100" w:type="dxa"/>
            </w:tcMar>
            <w:shd w:fill="FFFFFF"/>
          </w:tcPr>
          <w:p>
            <w:pPr>
              <w:keepNext w:val="0"/>
              <w:spacing w:after="0" w:before="0" w:line="252" w:lineRule="auto"/>
            </w:pPr>
            <w:r>
              <w:rPr>
                <w:sz w:val="20"/>
              </w:rPr>
              <w:t>CAD 2,176,948,377.00 as of 2026-09-22</w:t>
            </w:r>
          </w:p>
        </w:tc>
      </w:tr>
      <w:tr>
        <w:trPr>
          <w:cantSplit/>
        </w:trPr>
        <w:tc>
          <w:tcPr>
            <w:tcW w:type="dxa" w:w="2924"/>
            <w:vAlign w:val="center"/>
            <w:tcMar>
              <w:top w:w="80" w:type="dxa"/>
              <w:bottom w:w="80" w:type="dxa"/>
              <w:left w:w="100" w:type="dxa"/>
              <w:right w:w="100" w:type="dxa"/>
            </w:tcMar>
            <w:shd w:fill="F4F7F8"/>
          </w:tcPr>
          <w:p>
            <w:pPr>
              <w:keepNext w:val="0"/>
              <w:spacing w:after="0" w:before="0" w:line="252" w:lineRule="auto"/>
            </w:pPr>
            <w:r>
              <w:rPr>
                <w:sz w:val="20"/>
              </w:rPr>
              <w:t>Asset basis</w:t>
            </w:r>
          </w:p>
        </w:tc>
        <w:tc>
          <w:tcPr>
            <w:tcW w:type="dxa" w:w="6822"/>
            <w:vAlign w:val="center"/>
            <w:tcMar>
              <w:top w:w="80" w:type="dxa"/>
              <w:bottom w:w="80" w:type="dxa"/>
              <w:left w:w="100" w:type="dxa"/>
              <w:right w:w="100" w:type="dxa"/>
            </w:tcMar>
            <w:shd w:fill="F4F7F8"/>
          </w:tcPr>
          <w:p>
            <w:pPr>
              <w:keepNext w:val="0"/>
              <w:spacing w:after="0" w:before="0" w:line="252" w:lineRule="auto"/>
              <w:jc w:val="center"/>
            </w:pPr>
            <w:r>
              <w:rPr>
                <w:sz w:val="20"/>
              </w:rPr>
              <w:t>Currency unit class</w:t>
            </w:r>
          </w:p>
        </w:tc>
      </w:tr>
      <w:tr>
        <w:trPr>
          <w:cantSplit/>
        </w:trPr>
        <w:tc>
          <w:tcPr>
            <w:tcW w:type="dxa" w:w="2924"/>
            <w:vAlign w:val="center"/>
            <w:tcMar>
              <w:top w:w="80" w:type="dxa"/>
              <w:bottom w:w="80" w:type="dxa"/>
              <w:left w:w="100" w:type="dxa"/>
              <w:right w:w="100" w:type="dxa"/>
            </w:tcMar>
            <w:shd w:fill="FFFFFF"/>
          </w:tcPr>
          <w:p>
            <w:pPr>
              <w:keepNext w:val="0"/>
              <w:spacing w:after="0" w:before="0" w:line="252" w:lineRule="auto"/>
            </w:pPr>
            <w:r>
              <w:rPr>
                <w:sz w:val="20"/>
              </w:rPr>
              <w:t>Currency exposure</w:t>
            </w:r>
          </w:p>
        </w:tc>
        <w:tc>
          <w:tcPr>
            <w:tcW w:type="dxa" w:w="6822"/>
            <w:vAlign w:val="center"/>
            <w:tcMar>
              <w:top w:w="80" w:type="dxa"/>
              <w:bottom w:w="80" w:type="dxa"/>
              <w:left w:w="100" w:type="dxa"/>
              <w:right w:w="100" w:type="dxa"/>
            </w:tcMar>
            <w:shd w:fill="FFFFFF"/>
          </w:tcPr>
          <w:p>
            <w:pPr>
              <w:keepNext w:val="0"/>
              <w:spacing w:after="0" w:before="0" w:line="252" w:lineRule="auto"/>
              <w:jc w:val="center"/>
            </w:pPr>
            <w:r>
              <w:rPr>
                <w:sz w:val="20"/>
              </w:rPr>
              <w:t>CAD hedged</w:t>
            </w:r>
          </w:p>
        </w:tc>
      </w:tr>
      <w:tr>
        <w:trPr>
          <w:cantSplit/>
        </w:trPr>
        <w:tc>
          <w:tcPr>
            <w:tcW w:type="dxa" w:w="2924"/>
            <w:vAlign w:val="center"/>
            <w:tcMar>
              <w:top w:w="80" w:type="dxa"/>
              <w:bottom w:w="80" w:type="dxa"/>
              <w:left w:w="100" w:type="dxa"/>
              <w:right w:w="100" w:type="dxa"/>
            </w:tcMar>
            <w:shd w:fill="F4F7F8"/>
          </w:tcPr>
          <w:p>
            <w:pPr>
              <w:keepNext w:val="0"/>
              <w:spacing w:after="0" w:before="0" w:line="252" w:lineRule="auto"/>
            </w:pPr>
            <w:r>
              <w:rPr>
                <w:sz w:val="20"/>
              </w:rPr>
              <w:t>Annual fee</w:t>
            </w:r>
          </w:p>
        </w:tc>
        <w:tc>
          <w:tcPr>
            <w:tcW w:type="dxa" w:w="6822"/>
            <w:vAlign w:val="center"/>
            <w:tcMar>
              <w:top w:w="80" w:type="dxa"/>
              <w:bottom w:w="80" w:type="dxa"/>
              <w:left w:w="100" w:type="dxa"/>
              <w:right w:w="100" w:type="dxa"/>
            </w:tcMar>
            <w:shd w:fill="F4F7F8"/>
          </w:tcPr>
          <w:p>
            <w:pPr>
              <w:keepNext w:val="0"/>
              <w:spacing w:after="0" w:before="0" w:line="252" w:lineRule="auto"/>
              <w:jc w:val="center"/>
            </w:pPr>
            <w:r>
              <w:rPr>
                <w:sz w:val="20"/>
              </w:rPr>
              <w:t>0.56% — Reported MER</w:t>
            </w:r>
          </w:p>
        </w:tc>
      </w:tr>
      <w:tr>
        <w:trPr>
          <w:cantSplit/>
        </w:trPr>
        <w:tc>
          <w:tcPr>
            <w:tcW w:type="dxa" w:w="2924"/>
            <w:vAlign w:val="center"/>
            <w:tcMar>
              <w:top w:w="80" w:type="dxa"/>
              <w:bottom w:w="80" w:type="dxa"/>
              <w:left w:w="100" w:type="dxa"/>
              <w:right w:w="100" w:type="dxa"/>
            </w:tcMar>
            <w:shd w:fill="FFFFFF"/>
          </w:tcPr>
          <w:p>
            <w:pPr>
              <w:keepNext w:val="0"/>
              <w:spacing w:after="0" w:before="0" w:line="252" w:lineRule="auto"/>
            </w:pPr>
            <w:r>
              <w:rPr>
                <w:sz w:val="20"/>
              </w:rPr>
              <w:t>Custodian</w:t>
            </w:r>
          </w:p>
        </w:tc>
        <w:tc>
          <w:tcPr>
            <w:tcW w:type="dxa" w:w="6822"/>
            <w:vAlign w:val="center"/>
            <w:tcMar>
              <w:top w:w="80" w:type="dxa"/>
              <w:bottom w:w="80" w:type="dxa"/>
              <w:left w:w="100" w:type="dxa"/>
              <w:right w:w="100" w:type="dxa"/>
            </w:tcMar>
            <w:shd w:fill="FFFFFF"/>
          </w:tcPr>
          <w:p>
            <w:pPr>
              <w:keepNext w:val="0"/>
              <w:spacing w:after="0" w:before="0" w:line="252" w:lineRule="auto"/>
            </w:pPr>
            <w:r>
              <w:rPr>
                <w:sz w:val="20"/>
              </w:rPr>
              <w:t>CIBC Mellon Trust Company (bullion). Royal Canadian Mint (subcustodian). State Street Trust Company Canada (non-bullion).</w:t>
            </w:r>
          </w:p>
        </w:tc>
      </w:tr>
      <w:tr>
        <w:trPr>
          <w:cantSplit/>
        </w:trPr>
        <w:tc>
          <w:tcPr>
            <w:tcW w:type="dxa" w:w="2924"/>
            <w:vAlign w:val="center"/>
            <w:tcMar>
              <w:top w:w="80" w:type="dxa"/>
              <w:bottom w:w="80" w:type="dxa"/>
              <w:left w:w="100" w:type="dxa"/>
              <w:right w:w="100" w:type="dxa"/>
            </w:tcMar>
            <w:shd w:fill="F4F7F8"/>
          </w:tcPr>
          <w:p>
            <w:pPr>
              <w:keepNext w:val="0"/>
              <w:spacing w:after="0" w:before="0" w:line="252" w:lineRule="auto"/>
            </w:pPr>
            <w:r>
              <w:rPr>
                <w:sz w:val="20"/>
              </w:rPr>
              <w:t>Custody evidence date</w:t>
            </w:r>
          </w:p>
        </w:tc>
        <w:tc>
          <w:tcPr>
            <w:tcW w:type="dxa" w:w="6822"/>
            <w:vAlign w:val="center"/>
            <w:tcMar>
              <w:top w:w="80" w:type="dxa"/>
              <w:bottom w:w="80" w:type="dxa"/>
              <w:left w:w="100" w:type="dxa"/>
              <w:right w:w="100" w:type="dxa"/>
            </w:tcMar>
            <w:shd w:fill="F4F7F8"/>
          </w:tcPr>
          <w:p>
            <w:pPr>
              <w:keepNext w:val="0"/>
              <w:spacing w:after="0" w:before="0" w:line="252" w:lineRule="auto"/>
              <w:jc w:val="center"/>
            </w:pPr>
            <w:r>
              <w:rPr>
                <w:sz w:val="20"/>
              </w:rPr>
              <w:t>2026-09-23</w:t>
            </w:r>
          </w:p>
        </w:tc>
      </w:tr>
      <w:tr>
        <w:trPr>
          <w:cantSplit/>
        </w:trPr>
        <w:tc>
          <w:tcPr>
            <w:tcW w:type="dxa" w:w="2924"/>
            <w:vAlign w:val="center"/>
            <w:tcMar>
              <w:top w:w="80" w:type="dxa"/>
              <w:bottom w:w="80" w:type="dxa"/>
              <w:left w:w="100" w:type="dxa"/>
              <w:right w:w="100" w:type="dxa"/>
            </w:tcMar>
            <w:shd w:fill="FFFFFF"/>
          </w:tcPr>
          <w:p>
            <w:pPr>
              <w:keepNext w:val="0"/>
              <w:spacing w:after="0" w:before="0" w:line="252" w:lineRule="auto"/>
            </w:pPr>
            <w:r>
              <w:rPr>
                <w:sz w:val="20"/>
              </w:rPr>
              <w:t>Reported metal quantity</w:t>
            </w:r>
          </w:p>
        </w:tc>
        <w:tc>
          <w:tcPr>
            <w:tcW w:type="dxa" w:w="6822"/>
            <w:vAlign w:val="center"/>
            <w:tcMar>
              <w:top w:w="80" w:type="dxa"/>
              <w:bottom w:w="80" w:type="dxa"/>
              <w:left w:w="100" w:type="dxa"/>
              <w:right w:w="100" w:type="dxa"/>
            </w:tcMar>
            <w:shd w:fill="FFFFFF"/>
          </w:tcPr>
          <w:p>
            <w:pPr>
              <w:keepNext w:val="0"/>
              <w:spacing w:after="0" w:before="0" w:line="252" w:lineRule="auto"/>
            </w:pPr>
            <w:r>
              <w:rPr>
                <w:sz w:val="20"/>
              </w:rPr>
              <w:t>362,276.61 troy ounces; 11.27 tonnes; dated 2026-09-22 — Quantity attributed to this currency class on its issuer page</w:t>
            </w:r>
          </w:p>
        </w:tc>
      </w:tr>
    </w:tbl>
    <w:p>
      <w:pPr>
        <w:spacing w:after="60" w:before="0" w:line="40" w:lineRule="exact"/>
      </w:pPr>
      <w:r>
        <w:rPr>
          <w:sz w:val="4"/>
        </w:rPr>
      </w:r>
    </w:p>
    <w:p>
      <w:r>
        <w:rPr>
          <w:b/>
        </w:rPr>
        <w:t xml:space="preserve">Fee definition. </w:t>
      </w:r>
      <w:r>
        <w:t>Management fee 0.50% per year. Displayed MER includes management fee and applicable expenses/taxes. MER is the issuer’s reported expense measure, not a guaranteed forward total.</w:t>
      </w:r>
    </w:p>
    <w:p>
      <w:r>
        <w:rPr>
          <w:b/>
        </w:rPr>
        <w:t xml:space="preserve">Allocation. </w:t>
      </w:r>
      <w:r>
        <w:t>Investment restrictions require allocated and segregated storage. The prospectus explicitly permits periods of unallocated exposure between bullion purchase and full allocation, and during redemption.</w:t>
      </w:r>
    </w:p>
    <w:p>
      <w:r>
        <w:rPr>
          <w:b/>
        </w:rPr>
        <w:t xml:space="preserve">Bullion storage. </w:t>
      </w:r>
      <w:r>
        <w:t>Prospectus requires the majority in Canada and permits remaining bullion in the US and/or UK. May 2026 amendment says Loomis will replace IDS as subcustodian to the Royal Canadian Mint; operational completion is not established.</w:t>
      </w:r>
    </w:p>
    <w:p>
      <w:r>
        <w:rPr>
          <w:b/>
        </w:rPr>
        <w:t xml:space="preserve">Location holding limits. </w:t>
      </w:r>
      <w:r>
        <w:t>The prospectus requires the majority of each fund’s bullion to be held in Canada; the remainder may be in the US and/or UK. Read ordinarily, majority implies more than 50% in Canada and less than 50% in the US and UK combined; those percentages are an interpretation of the word majority, not numerical caps printed in the clause. No separate country split between the US and UK, or limit per individual vault, is specified in the reviewed storage clause.</w:t>
      </w:r>
    </w:p>
    <w:p>
      <w:r>
        <w:rPr>
          <w:b/>
        </w:rPr>
        <w:t xml:space="preserve">Limit scope. </w:t>
      </w:r>
      <w:r>
        <w:t>Each legal bullion fund, across its hedged and unhedged unit classes; not an independent quota for each class.</w:t>
      </w:r>
    </w:p>
    <w:p>
      <w:r>
        <w:rPr>
          <w:b w:val="0"/>
        </w:rPr>
        <w:t>This is a unit class of the same legal fund as CGL. Class-level AUM and metal quantities are shown, rather than repeating the whole fund.</w:t>
      </w:r>
    </w:p>
    <w:p>
      <w:r>
        <w:rPr>
          <w:b/>
        </w:rPr>
        <w:t xml:space="preserve">Location clause source. </w:t>
      </w:r>
      <w:hyperlink r:id="rId64">
        <w:r>
          <w:rPr>
            <w:color w:val="235779"/>
            <w:u w:val="single"/>
          </w:rPr>
          <w:t>Prospectus and amendment: custody, storage and unallocated risk</w:t>
        </w:r>
      </w:hyperlink>
      <w:r>
        <w:t xml:space="preserve"> — Investment Strategies, printed p. 13 / PDF page 21</w:t>
      </w:r>
    </w:p>
    <w:p>
      <w:pPr>
        <w:pStyle w:val="Heading2"/>
        <w:pageBreakBefore w:val="0"/>
      </w:pPr>
      <w:r>
        <w:t>Recorded listings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86"/>
        <w:gridCol w:w="1754"/>
        <w:gridCol w:w="1169"/>
        <w:gridCol w:w="2436"/>
      </w:tblGrid>
      <w:tr>
        <w:trPr>
          <w:tblHeader/>
          <w:cantSplit/>
        </w:trPr>
        <w:tc>
          <w:tcPr>
            <w:tcW w:type="dxa" w:w="4386"/>
            <w:vAlign w:val="center"/>
            <w:tcMar>
              <w:top w:w="80" w:type="dxa"/>
              <w:bottom w:w="80" w:type="dxa"/>
              <w:left w:w="100" w:type="dxa"/>
              <w:right w:w="100" w:type="dxa"/>
            </w:tcMar>
            <w:shd w:fill="DCE6EB"/>
          </w:tcPr>
          <w:p>
            <w:pPr>
              <w:keepNext/>
              <w:spacing w:after="0" w:before="0" w:line="252" w:lineRule="auto"/>
            </w:pPr>
            <w:r>
              <w:rPr>
                <w:b/>
                <w:sz w:val="20"/>
              </w:rPr>
              <w:t>Exchange</w:t>
            </w:r>
          </w:p>
        </w:tc>
        <w:tc>
          <w:tcPr>
            <w:tcW w:type="dxa" w:w="1754"/>
            <w:vAlign w:val="center"/>
            <w:tcMar>
              <w:top w:w="80" w:type="dxa"/>
              <w:bottom w:w="80" w:type="dxa"/>
              <w:left w:w="100" w:type="dxa"/>
              <w:right w:w="100" w:type="dxa"/>
            </w:tcMar>
            <w:shd w:fill="DCE6EB"/>
          </w:tcPr>
          <w:p>
            <w:pPr>
              <w:keepNext/>
              <w:spacing w:after="0" w:before="0" w:line="252" w:lineRule="auto"/>
              <w:jc w:val="center"/>
            </w:pPr>
            <w:r>
              <w:rPr>
                <w:b/>
                <w:sz w:val="20"/>
              </w:rPr>
              <w:t>Ticker</w:t>
            </w:r>
          </w:p>
        </w:tc>
        <w:tc>
          <w:tcPr>
            <w:tcW w:type="dxa" w:w="1169"/>
            <w:vAlign w:val="center"/>
            <w:tcMar>
              <w:top w:w="80" w:type="dxa"/>
              <w:bottom w:w="80" w:type="dxa"/>
              <w:left w:w="100" w:type="dxa"/>
              <w:right w:w="100" w:type="dxa"/>
            </w:tcMar>
            <w:shd w:fill="DCE6EB"/>
          </w:tcPr>
          <w:p>
            <w:pPr>
              <w:keepNext/>
              <w:spacing w:after="0" w:before="0" w:line="252" w:lineRule="auto"/>
              <w:jc w:val="center"/>
            </w:pPr>
            <w:r>
              <w:rPr>
                <w:b/>
                <w:sz w:val="20"/>
              </w:rPr>
              <w:t>Currency</w:t>
            </w:r>
          </w:p>
        </w:tc>
        <w:tc>
          <w:tcPr>
            <w:tcW w:type="dxa" w:w="2436"/>
            <w:vAlign w:val="center"/>
            <w:tcMar>
              <w:top w:w="80" w:type="dxa"/>
              <w:bottom w:w="80" w:type="dxa"/>
              <w:left w:w="100" w:type="dxa"/>
              <w:right w:w="100" w:type="dxa"/>
            </w:tcMar>
            <w:shd w:fill="DCE6EB"/>
          </w:tcPr>
          <w:p>
            <w:pPr>
              <w:keepNext/>
              <w:spacing w:after="0" w:before="0" w:line="252" w:lineRule="auto"/>
              <w:jc w:val="center"/>
            </w:pPr>
            <w:r>
              <w:rPr>
                <w:b/>
                <w:sz w:val="20"/>
              </w:rPr>
              <w:t>Listing date</w:t>
            </w:r>
          </w:p>
        </w:tc>
      </w:tr>
      <w:tr>
        <w:trPr>
          <w:cantSplit/>
        </w:trPr>
        <w:tc>
          <w:tcPr>
            <w:tcW w:type="dxa" w:w="4386"/>
            <w:vAlign w:val="center"/>
            <w:tcMar>
              <w:top w:w="80" w:type="dxa"/>
              <w:bottom w:w="80" w:type="dxa"/>
              <w:left w:w="100" w:type="dxa"/>
              <w:right w:w="100" w:type="dxa"/>
            </w:tcMar>
            <w:shd w:fill="FFFFFF"/>
          </w:tcPr>
          <w:p>
            <w:pPr>
              <w:keepNext w:val="0"/>
              <w:spacing w:after="0" w:before="0" w:line="252" w:lineRule="auto"/>
            </w:pPr>
            <w:r>
              <w:rPr>
                <w:sz w:val="20"/>
              </w:rPr>
              <w:t>Toronto Stock Exchange</w:t>
            </w:r>
          </w:p>
        </w:tc>
        <w:tc>
          <w:tcPr>
            <w:tcW w:type="dxa" w:w="1754"/>
            <w:vAlign w:val="center"/>
            <w:tcMar>
              <w:top w:w="80" w:type="dxa"/>
              <w:bottom w:w="80" w:type="dxa"/>
              <w:left w:w="100" w:type="dxa"/>
              <w:right w:w="100" w:type="dxa"/>
            </w:tcMar>
            <w:shd w:fill="FFFFFF"/>
          </w:tcPr>
          <w:p>
            <w:pPr>
              <w:keepNext w:val="0"/>
              <w:spacing w:after="0" w:before="0" w:line="252" w:lineRule="auto"/>
              <w:jc w:val="center"/>
            </w:pPr>
            <w:r>
              <w:rPr>
                <w:sz w:val="20"/>
              </w:rPr>
              <w:t>CGL</w:t>
            </w:r>
          </w:p>
        </w:tc>
        <w:tc>
          <w:tcPr>
            <w:tcW w:type="dxa" w:w="1169"/>
            <w:vAlign w:val="center"/>
            <w:tcMar>
              <w:top w:w="80" w:type="dxa"/>
              <w:bottom w:w="80" w:type="dxa"/>
              <w:left w:w="100" w:type="dxa"/>
              <w:right w:w="100" w:type="dxa"/>
            </w:tcMar>
            <w:shd w:fill="FFFFFF"/>
          </w:tcPr>
          <w:p>
            <w:pPr>
              <w:keepNext w:val="0"/>
              <w:spacing w:after="0" w:before="0" w:line="252" w:lineRule="auto"/>
              <w:jc w:val="center"/>
            </w:pPr>
            <w:r>
              <w:rPr>
                <w:sz w:val="20"/>
              </w:rPr>
              <w:t>CAD</w:t>
            </w:r>
          </w:p>
        </w:tc>
        <w:tc>
          <w:tcPr>
            <w:tcW w:type="dxa" w:w="2436"/>
            <w:vAlign w:val="center"/>
            <w:tcMar>
              <w:top w:w="80" w:type="dxa"/>
              <w:bottom w:w="80" w:type="dxa"/>
              <w:left w:w="100" w:type="dxa"/>
              <w:right w:w="100" w:type="dxa"/>
            </w:tcMar>
            <w:shd w:fill="FFFFFF"/>
          </w:tcPr>
          <w:p>
            <w:pPr>
              <w:keepNext w:val="0"/>
              <w:spacing w:after="0" w:before="0" w:line="252" w:lineRule="auto"/>
              <w:jc w:val="center"/>
            </w:pPr>
            <w:r>
              <w:rPr>
                <w:sz w:val="20"/>
              </w:rPr>
              <w:t>See issuer page</w:t>
            </w:r>
          </w:p>
        </w:tc>
      </w:tr>
    </w:tbl>
    <w:p>
      <w:pPr>
        <w:spacing w:after="60" w:before="0" w:line="40" w:lineRule="exact"/>
      </w:pPr>
      <w:r>
        <w:rPr>
          <w:sz w:val="4"/>
        </w:rPr>
      </w:r>
    </w:p>
    <w:p>
      <w:pPr>
        <w:pStyle w:val="Heading2"/>
        <w:pageBreakBefore w:val="0"/>
      </w:pPr>
      <w:r>
        <w:t>Sources</w:t>
      </w:r>
    </w:p>
    <w:p>
      <w:pPr>
        <w:spacing w:after="80"/>
      </w:pPr>
      <w:hyperlink r:id="rId65">
        <w:r>
          <w:rPr>
            <w:color w:val="235779"/>
            <w:u w:val="single"/>
          </w:rPr>
          <w:t>Issuer product page</w:t>
        </w:r>
      </w:hyperlink>
      <w:r>
        <w:t xml:space="preserve">  ·  </w:t>
      </w:r>
      <w:hyperlink r:id="rId66">
        <w:r>
          <w:rPr>
            <w:color w:val="235779"/>
            <w:u w:val="single"/>
          </w:rPr>
          <w:t>Saved source</w:t>
        </w:r>
      </w:hyperlink>
    </w:p>
    <w:p>
      <w:pPr>
        <w:spacing w:after="80"/>
      </w:pPr>
      <w:hyperlink r:id="rId67">
        <w:r>
          <w:rPr>
            <w:color w:val="235779"/>
            <w:u w:val="single"/>
          </w:rPr>
          <w:t>Prospectus and amendment: custody, storage and unallocated risk</w:t>
        </w:r>
      </w:hyperlink>
      <w:r>
        <w:t xml:space="preserve">  ·  </w:t>
      </w:r>
      <w:hyperlink r:id="rId68">
        <w:r>
          <w:rPr>
            <w:color w:val="235779"/>
            <w:u w:val="single"/>
          </w:rPr>
          <w:t>Saved source</w:t>
        </w:r>
      </w:hyperlink>
    </w:p>
    <w:p>
      <w:bookmarkStart w:id="16" w:name="product_14"/>
      <w:pPr>
        <w:pStyle w:val="Heading1"/>
        <w:pageBreakBefore w:val="0"/>
        <w:spacing w:before="360"/>
      </w:pPr>
      <w:r>
        <w:t>14  iShares Gold Bullion ETF unhedged units</w:t>
      </w:r>
      <w:bookmarkEnd w:id="16"/>
    </w:p>
    <w:p>
      <w:pPr>
        <w:keepNext/>
      </w:pPr>
      <w:r>
        <w:rPr>
          <w:b/>
        </w:rPr>
        <w:t>CGL.C  |  Canada  |  Gold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24"/>
        <w:gridCol w:w="6822"/>
      </w:tblGrid>
      <w:tr>
        <w:trPr>
          <w:tblHeader/>
          <w:cantSplit/>
        </w:trPr>
        <w:tc>
          <w:tcPr>
            <w:tcW w:type="dxa" w:w="2924"/>
            <w:vAlign w:val="center"/>
            <w:tcMar>
              <w:top w:w="80" w:type="dxa"/>
              <w:bottom w:w="80" w:type="dxa"/>
              <w:left w:w="100" w:type="dxa"/>
              <w:right w:w="100" w:type="dxa"/>
            </w:tcMar>
            <w:shd w:fill="DCE6EB"/>
          </w:tcPr>
          <w:p>
            <w:pPr>
              <w:keepNext/>
              <w:spacing w:after="0" w:before="0" w:line="252" w:lineRule="auto"/>
            </w:pPr>
            <w:r>
              <w:rPr>
                <w:b/>
                <w:sz w:val="20"/>
              </w:rPr>
              <w:t>Field</w:t>
            </w:r>
          </w:p>
        </w:tc>
        <w:tc>
          <w:tcPr>
            <w:tcW w:type="dxa" w:w="6822"/>
            <w:vAlign w:val="center"/>
            <w:tcMar>
              <w:top w:w="80" w:type="dxa"/>
              <w:bottom w:w="80" w:type="dxa"/>
              <w:left w:w="100" w:type="dxa"/>
              <w:right w:w="100" w:type="dxa"/>
            </w:tcMar>
            <w:shd w:fill="DCE6EB"/>
          </w:tcPr>
          <w:p>
            <w:pPr>
              <w:keepNext/>
              <w:spacing w:after="0" w:before="0" w:line="252" w:lineRule="auto"/>
              <w:jc w:val="center"/>
            </w:pPr>
            <w:r>
              <w:rPr>
                <w:b/>
                <w:sz w:val="20"/>
              </w:rPr>
              <w:t>Detail</w:t>
            </w:r>
          </w:p>
        </w:tc>
      </w:tr>
      <w:tr>
        <w:trPr>
          <w:cantSplit/>
        </w:trPr>
        <w:tc>
          <w:tcPr>
            <w:tcW w:type="dxa" w:w="2924"/>
            <w:vAlign w:val="center"/>
            <w:tcMar>
              <w:top w:w="80" w:type="dxa"/>
              <w:bottom w:w="80" w:type="dxa"/>
              <w:left w:w="100" w:type="dxa"/>
              <w:right w:w="100" w:type="dxa"/>
            </w:tcMar>
            <w:shd w:fill="FFFFFF"/>
          </w:tcPr>
          <w:p>
            <w:pPr>
              <w:keepNext w:val="0"/>
              <w:spacing w:after="0" w:before="0" w:line="252" w:lineRule="auto"/>
            </w:pPr>
            <w:r>
              <w:rPr>
                <w:sz w:val="20"/>
              </w:rPr>
              <w:t>Legal form</w:t>
            </w:r>
          </w:p>
        </w:tc>
        <w:tc>
          <w:tcPr>
            <w:tcW w:type="dxa" w:w="6822"/>
            <w:vAlign w:val="center"/>
            <w:tcMar>
              <w:top w:w="80" w:type="dxa"/>
              <w:bottom w:w="80" w:type="dxa"/>
              <w:left w:w="100" w:type="dxa"/>
              <w:right w:w="100" w:type="dxa"/>
            </w:tcMar>
            <w:shd w:fill="FFFFFF"/>
          </w:tcPr>
          <w:p>
            <w:pPr>
              <w:keepNext w:val="0"/>
              <w:spacing w:after="0" w:before="0" w:line="252" w:lineRule="auto"/>
            </w:pPr>
            <w:r>
              <w:rPr>
                <w:sz w:val="20"/>
              </w:rPr>
              <w:t>Ontario trust; non-hedged common units</w:t>
            </w:r>
          </w:p>
        </w:tc>
      </w:tr>
      <w:tr>
        <w:trPr>
          <w:cantSplit/>
        </w:trPr>
        <w:tc>
          <w:tcPr>
            <w:tcW w:type="dxa" w:w="2924"/>
            <w:vAlign w:val="center"/>
            <w:tcMar>
              <w:top w:w="80" w:type="dxa"/>
              <w:bottom w:w="80" w:type="dxa"/>
              <w:left w:w="100" w:type="dxa"/>
              <w:right w:w="100" w:type="dxa"/>
            </w:tcMar>
            <w:shd w:fill="F4F7F8"/>
          </w:tcPr>
          <w:p>
            <w:pPr>
              <w:keepNext w:val="0"/>
              <w:spacing w:after="0" w:before="0" w:line="252" w:lineRule="auto"/>
            </w:pPr>
            <w:r>
              <w:rPr>
                <w:sz w:val="20"/>
              </w:rPr>
              <w:t>Issuer or sponsor</w:t>
            </w:r>
          </w:p>
        </w:tc>
        <w:tc>
          <w:tcPr>
            <w:tcW w:type="dxa" w:w="6822"/>
            <w:vAlign w:val="center"/>
            <w:tcMar>
              <w:top w:w="80" w:type="dxa"/>
              <w:bottom w:w="80" w:type="dxa"/>
              <w:left w:w="100" w:type="dxa"/>
              <w:right w:w="100" w:type="dxa"/>
            </w:tcMar>
            <w:shd w:fill="F4F7F8"/>
          </w:tcPr>
          <w:p>
            <w:pPr>
              <w:keepNext w:val="0"/>
              <w:spacing w:after="0" w:before="0" w:line="252" w:lineRule="auto"/>
            </w:pPr>
            <w:r>
              <w:rPr>
                <w:sz w:val="20"/>
              </w:rPr>
              <w:t>BlackRock Asset Management Canada Limited (manager and trustee)</w:t>
            </w:r>
          </w:p>
        </w:tc>
      </w:tr>
      <w:tr>
        <w:trPr>
          <w:cantSplit/>
        </w:trPr>
        <w:tc>
          <w:tcPr>
            <w:tcW w:type="dxa" w:w="2924"/>
            <w:vAlign w:val="center"/>
            <w:tcMar>
              <w:top w:w="80" w:type="dxa"/>
              <w:bottom w:w="80" w:type="dxa"/>
              <w:left w:w="100" w:type="dxa"/>
              <w:right w:w="100" w:type="dxa"/>
            </w:tcMar>
            <w:shd w:fill="FFFFFF"/>
          </w:tcPr>
          <w:p>
            <w:pPr>
              <w:keepNext w:val="0"/>
              <w:spacing w:after="0" w:before="0" w:line="252" w:lineRule="auto"/>
            </w:pPr>
            <w:r>
              <w:rPr>
                <w:sz w:val="20"/>
              </w:rPr>
              <w:t>Launch or class inception</w:t>
            </w:r>
          </w:p>
        </w:tc>
        <w:tc>
          <w:tcPr>
            <w:tcW w:type="dxa" w:w="6822"/>
            <w:vAlign w:val="center"/>
            <w:tcMar>
              <w:top w:w="80" w:type="dxa"/>
              <w:bottom w:w="80" w:type="dxa"/>
              <w:left w:w="100" w:type="dxa"/>
              <w:right w:w="100" w:type="dxa"/>
            </w:tcMar>
            <w:shd w:fill="FFFFFF"/>
          </w:tcPr>
          <w:p>
            <w:pPr>
              <w:keepNext w:val="0"/>
              <w:spacing w:after="0" w:before="0" w:line="252" w:lineRule="auto"/>
              <w:jc w:val="center"/>
            </w:pPr>
            <w:r>
              <w:rPr>
                <w:sz w:val="20"/>
              </w:rPr>
              <w:t>2011-03-31</w:t>
            </w:r>
          </w:p>
        </w:tc>
      </w:tr>
      <w:tr>
        <w:trPr>
          <w:cantSplit/>
        </w:trPr>
        <w:tc>
          <w:tcPr>
            <w:tcW w:type="dxa" w:w="2924"/>
            <w:vAlign w:val="center"/>
            <w:tcMar>
              <w:top w:w="80" w:type="dxa"/>
              <w:bottom w:w="80" w:type="dxa"/>
              <w:left w:w="100" w:type="dxa"/>
              <w:right w:w="100" w:type="dxa"/>
            </w:tcMar>
            <w:shd w:fill="F4F7F8"/>
          </w:tcPr>
          <w:p>
            <w:pPr>
              <w:keepNext w:val="0"/>
              <w:spacing w:after="0" w:before="0" w:line="252" w:lineRule="auto"/>
            </w:pPr>
            <w:r>
              <w:rPr>
                <w:sz w:val="20"/>
              </w:rPr>
              <w:t>ISIN / CUSIP</w:t>
            </w:r>
          </w:p>
        </w:tc>
        <w:tc>
          <w:tcPr>
            <w:tcW w:type="dxa" w:w="6822"/>
            <w:vAlign w:val="center"/>
            <w:tcMar>
              <w:top w:w="80" w:type="dxa"/>
              <w:bottom w:w="80" w:type="dxa"/>
              <w:left w:w="100" w:type="dxa"/>
              <w:right w:w="100" w:type="dxa"/>
            </w:tcMar>
            <w:shd w:fill="F4F7F8"/>
          </w:tcPr>
          <w:p>
            <w:pPr>
              <w:keepNext w:val="0"/>
              <w:spacing w:after="0" w:before="0" w:line="252" w:lineRule="auto"/>
              <w:jc w:val="center"/>
            </w:pPr>
            <w:r>
              <w:rPr>
                <w:sz w:val="20"/>
              </w:rPr>
              <w:t>46432D102</w:t>
            </w:r>
          </w:p>
        </w:tc>
      </w:tr>
      <w:tr>
        <w:trPr>
          <w:cantSplit/>
        </w:trPr>
        <w:tc>
          <w:tcPr>
            <w:tcW w:type="dxa" w:w="2924"/>
            <w:vAlign w:val="center"/>
            <w:tcMar>
              <w:top w:w="80" w:type="dxa"/>
              <w:bottom w:w="80" w:type="dxa"/>
              <w:left w:w="100" w:type="dxa"/>
              <w:right w:w="100" w:type="dxa"/>
            </w:tcMar>
            <w:shd w:fill="FFFFFF"/>
          </w:tcPr>
          <w:p>
            <w:pPr>
              <w:keepNext w:val="0"/>
              <w:spacing w:after="0" w:before="0" w:line="252" w:lineRule="auto"/>
            </w:pPr>
            <w:r>
              <w:rPr>
                <w:sz w:val="20"/>
              </w:rPr>
              <w:t>Reported net assets</w:t>
            </w:r>
          </w:p>
        </w:tc>
        <w:tc>
          <w:tcPr>
            <w:tcW w:type="dxa" w:w="6822"/>
            <w:vAlign w:val="center"/>
            <w:tcMar>
              <w:top w:w="80" w:type="dxa"/>
              <w:bottom w:w="80" w:type="dxa"/>
              <w:left w:w="100" w:type="dxa"/>
              <w:right w:w="100" w:type="dxa"/>
            </w:tcMar>
            <w:shd w:fill="FFFFFF"/>
          </w:tcPr>
          <w:p>
            <w:pPr>
              <w:keepNext w:val="0"/>
              <w:spacing w:after="0" w:before="0" w:line="252" w:lineRule="auto"/>
            </w:pPr>
            <w:r>
              <w:rPr>
                <w:sz w:val="20"/>
              </w:rPr>
              <w:t>CAD 799,663,992.00 as of 2026-09-22</w:t>
            </w:r>
          </w:p>
        </w:tc>
      </w:tr>
      <w:tr>
        <w:trPr>
          <w:cantSplit/>
        </w:trPr>
        <w:tc>
          <w:tcPr>
            <w:tcW w:type="dxa" w:w="2924"/>
            <w:vAlign w:val="center"/>
            <w:tcMar>
              <w:top w:w="80" w:type="dxa"/>
              <w:bottom w:w="80" w:type="dxa"/>
              <w:left w:w="100" w:type="dxa"/>
              <w:right w:w="100" w:type="dxa"/>
            </w:tcMar>
            <w:shd w:fill="F4F7F8"/>
          </w:tcPr>
          <w:p>
            <w:pPr>
              <w:keepNext w:val="0"/>
              <w:spacing w:after="0" w:before="0" w:line="252" w:lineRule="auto"/>
            </w:pPr>
            <w:r>
              <w:rPr>
                <w:sz w:val="20"/>
              </w:rPr>
              <w:t>Asset basis</w:t>
            </w:r>
          </w:p>
        </w:tc>
        <w:tc>
          <w:tcPr>
            <w:tcW w:type="dxa" w:w="6822"/>
            <w:vAlign w:val="center"/>
            <w:tcMar>
              <w:top w:w="80" w:type="dxa"/>
              <w:bottom w:w="80" w:type="dxa"/>
              <w:left w:w="100" w:type="dxa"/>
              <w:right w:w="100" w:type="dxa"/>
            </w:tcMar>
            <w:shd w:fill="F4F7F8"/>
          </w:tcPr>
          <w:p>
            <w:pPr>
              <w:keepNext w:val="0"/>
              <w:spacing w:after="0" w:before="0" w:line="252" w:lineRule="auto"/>
              <w:jc w:val="center"/>
            </w:pPr>
            <w:r>
              <w:rPr>
                <w:sz w:val="20"/>
              </w:rPr>
              <w:t>Currency unit class</w:t>
            </w:r>
          </w:p>
        </w:tc>
      </w:tr>
      <w:tr>
        <w:trPr>
          <w:cantSplit/>
        </w:trPr>
        <w:tc>
          <w:tcPr>
            <w:tcW w:type="dxa" w:w="2924"/>
            <w:vAlign w:val="center"/>
            <w:tcMar>
              <w:top w:w="80" w:type="dxa"/>
              <w:bottom w:w="80" w:type="dxa"/>
              <w:left w:w="100" w:type="dxa"/>
              <w:right w:w="100" w:type="dxa"/>
            </w:tcMar>
            <w:shd w:fill="FFFFFF"/>
          </w:tcPr>
          <w:p>
            <w:pPr>
              <w:keepNext w:val="0"/>
              <w:spacing w:after="0" w:before="0" w:line="252" w:lineRule="auto"/>
            </w:pPr>
            <w:r>
              <w:rPr>
                <w:sz w:val="20"/>
              </w:rPr>
              <w:t>Currency exposure</w:t>
            </w:r>
          </w:p>
        </w:tc>
        <w:tc>
          <w:tcPr>
            <w:tcW w:type="dxa" w:w="6822"/>
            <w:vAlign w:val="center"/>
            <w:tcMar>
              <w:top w:w="80" w:type="dxa"/>
              <w:bottom w:w="80" w:type="dxa"/>
              <w:left w:w="100" w:type="dxa"/>
              <w:right w:w="100" w:type="dxa"/>
            </w:tcMar>
            <w:shd w:fill="FFFFFF"/>
          </w:tcPr>
          <w:p>
            <w:pPr>
              <w:keepNext w:val="0"/>
              <w:spacing w:after="0" w:before="0" w:line="252" w:lineRule="auto"/>
              <w:jc w:val="center"/>
            </w:pPr>
            <w:r>
              <w:rPr>
                <w:sz w:val="20"/>
              </w:rPr>
              <w:t>Unhedged</w:t>
            </w:r>
          </w:p>
        </w:tc>
      </w:tr>
      <w:tr>
        <w:trPr>
          <w:cantSplit/>
        </w:trPr>
        <w:tc>
          <w:tcPr>
            <w:tcW w:type="dxa" w:w="2924"/>
            <w:vAlign w:val="center"/>
            <w:tcMar>
              <w:top w:w="80" w:type="dxa"/>
              <w:bottom w:w="80" w:type="dxa"/>
              <w:left w:w="100" w:type="dxa"/>
              <w:right w:w="100" w:type="dxa"/>
            </w:tcMar>
            <w:shd w:fill="F4F7F8"/>
          </w:tcPr>
          <w:p>
            <w:pPr>
              <w:keepNext w:val="0"/>
              <w:spacing w:after="0" w:before="0" w:line="252" w:lineRule="auto"/>
            </w:pPr>
            <w:r>
              <w:rPr>
                <w:sz w:val="20"/>
              </w:rPr>
              <w:t>Annual fee</w:t>
            </w:r>
          </w:p>
        </w:tc>
        <w:tc>
          <w:tcPr>
            <w:tcW w:type="dxa" w:w="6822"/>
            <w:vAlign w:val="center"/>
            <w:tcMar>
              <w:top w:w="80" w:type="dxa"/>
              <w:bottom w:w="80" w:type="dxa"/>
              <w:left w:w="100" w:type="dxa"/>
              <w:right w:w="100" w:type="dxa"/>
            </w:tcMar>
            <w:shd w:fill="F4F7F8"/>
          </w:tcPr>
          <w:p>
            <w:pPr>
              <w:keepNext w:val="0"/>
              <w:spacing w:after="0" w:before="0" w:line="252" w:lineRule="auto"/>
              <w:jc w:val="center"/>
            </w:pPr>
            <w:r>
              <w:rPr>
                <w:sz w:val="20"/>
              </w:rPr>
              <w:t>0.55% — Reported MER</w:t>
            </w:r>
          </w:p>
        </w:tc>
      </w:tr>
      <w:tr>
        <w:trPr>
          <w:cantSplit/>
        </w:trPr>
        <w:tc>
          <w:tcPr>
            <w:tcW w:type="dxa" w:w="2924"/>
            <w:vAlign w:val="center"/>
            <w:tcMar>
              <w:top w:w="80" w:type="dxa"/>
              <w:bottom w:w="80" w:type="dxa"/>
              <w:left w:w="100" w:type="dxa"/>
              <w:right w:w="100" w:type="dxa"/>
            </w:tcMar>
            <w:shd w:fill="FFFFFF"/>
          </w:tcPr>
          <w:p>
            <w:pPr>
              <w:keepNext w:val="0"/>
              <w:spacing w:after="0" w:before="0" w:line="252" w:lineRule="auto"/>
            </w:pPr>
            <w:r>
              <w:rPr>
                <w:sz w:val="20"/>
              </w:rPr>
              <w:t>Custodian</w:t>
            </w:r>
          </w:p>
        </w:tc>
        <w:tc>
          <w:tcPr>
            <w:tcW w:type="dxa" w:w="6822"/>
            <w:vAlign w:val="center"/>
            <w:tcMar>
              <w:top w:w="80" w:type="dxa"/>
              <w:bottom w:w="80" w:type="dxa"/>
              <w:left w:w="100" w:type="dxa"/>
              <w:right w:w="100" w:type="dxa"/>
            </w:tcMar>
            <w:shd w:fill="FFFFFF"/>
          </w:tcPr>
          <w:p>
            <w:pPr>
              <w:keepNext w:val="0"/>
              <w:spacing w:after="0" w:before="0" w:line="252" w:lineRule="auto"/>
            </w:pPr>
            <w:r>
              <w:rPr>
                <w:sz w:val="20"/>
              </w:rPr>
              <w:t>CIBC Mellon Trust Company (bullion). Royal Canadian Mint (subcustodian). State Street Trust Company Canada (non-bullion).</w:t>
            </w:r>
          </w:p>
        </w:tc>
      </w:tr>
      <w:tr>
        <w:trPr>
          <w:cantSplit/>
        </w:trPr>
        <w:tc>
          <w:tcPr>
            <w:tcW w:type="dxa" w:w="2924"/>
            <w:vAlign w:val="center"/>
            <w:tcMar>
              <w:top w:w="80" w:type="dxa"/>
              <w:bottom w:w="80" w:type="dxa"/>
              <w:left w:w="100" w:type="dxa"/>
              <w:right w:w="100" w:type="dxa"/>
            </w:tcMar>
            <w:shd w:fill="F4F7F8"/>
          </w:tcPr>
          <w:p>
            <w:pPr>
              <w:keepNext w:val="0"/>
              <w:spacing w:after="0" w:before="0" w:line="252" w:lineRule="auto"/>
            </w:pPr>
            <w:r>
              <w:rPr>
                <w:sz w:val="20"/>
              </w:rPr>
              <w:t>Custody evidence date</w:t>
            </w:r>
          </w:p>
        </w:tc>
        <w:tc>
          <w:tcPr>
            <w:tcW w:type="dxa" w:w="6822"/>
            <w:vAlign w:val="center"/>
            <w:tcMar>
              <w:top w:w="80" w:type="dxa"/>
              <w:bottom w:w="80" w:type="dxa"/>
              <w:left w:w="100" w:type="dxa"/>
              <w:right w:w="100" w:type="dxa"/>
            </w:tcMar>
            <w:shd w:fill="F4F7F8"/>
          </w:tcPr>
          <w:p>
            <w:pPr>
              <w:keepNext w:val="0"/>
              <w:spacing w:after="0" w:before="0" w:line="252" w:lineRule="auto"/>
              <w:jc w:val="center"/>
            </w:pPr>
            <w:r>
              <w:rPr>
                <w:sz w:val="20"/>
              </w:rPr>
              <w:t>2026-09-23</w:t>
            </w:r>
          </w:p>
        </w:tc>
      </w:tr>
      <w:tr>
        <w:trPr>
          <w:cantSplit/>
        </w:trPr>
        <w:tc>
          <w:tcPr>
            <w:tcW w:type="dxa" w:w="2924"/>
            <w:vAlign w:val="center"/>
            <w:tcMar>
              <w:top w:w="80" w:type="dxa"/>
              <w:bottom w:w="80" w:type="dxa"/>
              <w:left w:w="100" w:type="dxa"/>
              <w:right w:w="100" w:type="dxa"/>
            </w:tcMar>
            <w:shd w:fill="FFFFFF"/>
          </w:tcPr>
          <w:p>
            <w:pPr>
              <w:keepNext w:val="0"/>
              <w:spacing w:after="0" w:before="0" w:line="252" w:lineRule="auto"/>
            </w:pPr>
            <w:r>
              <w:rPr>
                <w:sz w:val="20"/>
              </w:rPr>
              <w:t>Reported metal quantity</w:t>
            </w:r>
          </w:p>
        </w:tc>
        <w:tc>
          <w:tcPr>
            <w:tcW w:type="dxa" w:w="6822"/>
            <w:vAlign w:val="center"/>
            <w:tcMar>
              <w:top w:w="80" w:type="dxa"/>
              <w:bottom w:w="80" w:type="dxa"/>
              <w:left w:w="100" w:type="dxa"/>
              <w:right w:w="100" w:type="dxa"/>
            </w:tcMar>
            <w:shd w:fill="FFFFFF"/>
          </w:tcPr>
          <w:p>
            <w:pPr>
              <w:keepNext w:val="0"/>
              <w:spacing w:after="0" w:before="0" w:line="252" w:lineRule="auto"/>
            </w:pPr>
            <w:r>
              <w:rPr>
                <w:sz w:val="20"/>
              </w:rPr>
              <w:t>130,999.68 troy ounces; 4.07 tonnes; dated 2026-09-22 — Quantity attributed to this currency class on its issuer page</w:t>
            </w:r>
          </w:p>
        </w:tc>
      </w:tr>
    </w:tbl>
    <w:p>
      <w:pPr>
        <w:spacing w:after="60" w:before="0" w:line="40" w:lineRule="exact"/>
      </w:pPr>
      <w:r>
        <w:rPr>
          <w:sz w:val="4"/>
        </w:rPr>
      </w:r>
    </w:p>
    <w:p>
      <w:r>
        <w:rPr>
          <w:b/>
        </w:rPr>
        <w:t xml:space="preserve">Fee definition. </w:t>
      </w:r>
      <w:r>
        <w:t>Management fee 0.50% per year. Displayed MER includes management fee and applicable expenses/taxes. MER is the issuer’s reported expense measure, not a guaranteed forward total.</w:t>
      </w:r>
    </w:p>
    <w:p>
      <w:r>
        <w:rPr>
          <w:b/>
        </w:rPr>
        <w:t xml:space="preserve">Allocation. </w:t>
      </w:r>
      <w:r>
        <w:t>Investment restrictions require allocated and segregated storage. The prospectus explicitly permits periods of unallocated exposure between bullion purchase and full allocation, and during redemption.</w:t>
      </w:r>
    </w:p>
    <w:p>
      <w:r>
        <w:rPr>
          <w:b/>
        </w:rPr>
        <w:t xml:space="preserve">Bullion storage. </w:t>
      </w:r>
      <w:r>
        <w:t>Prospectus requires the majority in Canada and permits remaining bullion in the US and/or UK. May 2026 amendment says Loomis will replace IDS as subcustodian to the Royal Canadian Mint; operational completion is not established.</w:t>
      </w:r>
    </w:p>
    <w:p>
      <w:r>
        <w:rPr>
          <w:b/>
        </w:rPr>
        <w:t xml:space="preserve">Location holding limits. </w:t>
      </w:r>
      <w:r>
        <w:t>The prospectus requires the majority of each fund’s bullion to be held in Canada; the remainder may be in the US and/or UK. Read ordinarily, majority implies more than 50% in Canada and less than 50% in the US and UK combined; those percentages are an interpretation of the word majority, not numerical caps printed in the clause. No separate country split between the US and UK, or limit per individual vault, is specified in the reviewed storage clause.</w:t>
      </w:r>
    </w:p>
    <w:p>
      <w:r>
        <w:rPr>
          <w:b/>
        </w:rPr>
        <w:t xml:space="preserve">Limit scope. </w:t>
      </w:r>
      <w:r>
        <w:t>Each legal bullion fund, across its hedged and unhedged unit classes; not an independent quota for each class.</w:t>
      </w:r>
    </w:p>
    <w:p>
      <w:r>
        <w:rPr>
          <w:b w:val="0"/>
        </w:rPr>
        <w:t>This is a unit class of the same legal fund as CGL. Class-level AUM and metal quantities are shown, rather than repeating the whole fund.</w:t>
      </w:r>
    </w:p>
    <w:p>
      <w:r>
        <w:rPr>
          <w:b/>
        </w:rPr>
        <w:t xml:space="preserve">Location clause source. </w:t>
      </w:r>
      <w:hyperlink r:id="rId64">
        <w:r>
          <w:rPr>
            <w:color w:val="235779"/>
            <w:u w:val="single"/>
          </w:rPr>
          <w:t>Prospectus and amendment: custody, storage and unallocated risk</w:t>
        </w:r>
      </w:hyperlink>
      <w:r>
        <w:t xml:space="preserve"> — Investment Strategies, printed p. 13 / PDF page 21</w:t>
      </w:r>
    </w:p>
    <w:p>
      <w:pPr>
        <w:pStyle w:val="Heading2"/>
        <w:pageBreakBefore w:val="0"/>
      </w:pPr>
      <w:r>
        <w:t>Recorded listings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86"/>
        <w:gridCol w:w="1754"/>
        <w:gridCol w:w="1169"/>
        <w:gridCol w:w="2436"/>
      </w:tblGrid>
      <w:tr>
        <w:trPr>
          <w:tblHeader/>
          <w:cantSplit/>
        </w:trPr>
        <w:tc>
          <w:tcPr>
            <w:tcW w:type="dxa" w:w="4386"/>
            <w:vAlign w:val="center"/>
            <w:tcMar>
              <w:top w:w="80" w:type="dxa"/>
              <w:bottom w:w="80" w:type="dxa"/>
              <w:left w:w="100" w:type="dxa"/>
              <w:right w:w="100" w:type="dxa"/>
            </w:tcMar>
            <w:shd w:fill="DCE6EB"/>
          </w:tcPr>
          <w:p>
            <w:pPr>
              <w:keepNext/>
              <w:spacing w:after="0" w:before="0" w:line="252" w:lineRule="auto"/>
            </w:pPr>
            <w:r>
              <w:rPr>
                <w:b/>
                <w:sz w:val="20"/>
              </w:rPr>
              <w:t>Exchange</w:t>
            </w:r>
          </w:p>
        </w:tc>
        <w:tc>
          <w:tcPr>
            <w:tcW w:type="dxa" w:w="1754"/>
            <w:vAlign w:val="center"/>
            <w:tcMar>
              <w:top w:w="80" w:type="dxa"/>
              <w:bottom w:w="80" w:type="dxa"/>
              <w:left w:w="100" w:type="dxa"/>
              <w:right w:w="100" w:type="dxa"/>
            </w:tcMar>
            <w:shd w:fill="DCE6EB"/>
          </w:tcPr>
          <w:p>
            <w:pPr>
              <w:keepNext/>
              <w:spacing w:after="0" w:before="0" w:line="252" w:lineRule="auto"/>
              <w:jc w:val="center"/>
            </w:pPr>
            <w:r>
              <w:rPr>
                <w:b/>
                <w:sz w:val="20"/>
              </w:rPr>
              <w:t>Ticker</w:t>
            </w:r>
          </w:p>
        </w:tc>
        <w:tc>
          <w:tcPr>
            <w:tcW w:type="dxa" w:w="1169"/>
            <w:vAlign w:val="center"/>
            <w:tcMar>
              <w:top w:w="80" w:type="dxa"/>
              <w:bottom w:w="80" w:type="dxa"/>
              <w:left w:w="100" w:type="dxa"/>
              <w:right w:w="100" w:type="dxa"/>
            </w:tcMar>
            <w:shd w:fill="DCE6EB"/>
          </w:tcPr>
          <w:p>
            <w:pPr>
              <w:keepNext/>
              <w:spacing w:after="0" w:before="0" w:line="252" w:lineRule="auto"/>
              <w:jc w:val="center"/>
            </w:pPr>
            <w:r>
              <w:rPr>
                <w:b/>
                <w:sz w:val="20"/>
              </w:rPr>
              <w:t>Currency</w:t>
            </w:r>
          </w:p>
        </w:tc>
        <w:tc>
          <w:tcPr>
            <w:tcW w:type="dxa" w:w="2436"/>
            <w:vAlign w:val="center"/>
            <w:tcMar>
              <w:top w:w="80" w:type="dxa"/>
              <w:bottom w:w="80" w:type="dxa"/>
              <w:left w:w="100" w:type="dxa"/>
              <w:right w:w="100" w:type="dxa"/>
            </w:tcMar>
            <w:shd w:fill="DCE6EB"/>
          </w:tcPr>
          <w:p>
            <w:pPr>
              <w:keepNext/>
              <w:spacing w:after="0" w:before="0" w:line="252" w:lineRule="auto"/>
              <w:jc w:val="center"/>
            </w:pPr>
            <w:r>
              <w:rPr>
                <w:b/>
                <w:sz w:val="20"/>
              </w:rPr>
              <w:t>Listing date</w:t>
            </w:r>
          </w:p>
        </w:tc>
      </w:tr>
      <w:tr>
        <w:trPr>
          <w:cantSplit/>
        </w:trPr>
        <w:tc>
          <w:tcPr>
            <w:tcW w:type="dxa" w:w="4386"/>
            <w:vAlign w:val="center"/>
            <w:tcMar>
              <w:top w:w="80" w:type="dxa"/>
              <w:bottom w:w="80" w:type="dxa"/>
              <w:left w:w="100" w:type="dxa"/>
              <w:right w:w="100" w:type="dxa"/>
            </w:tcMar>
            <w:shd w:fill="FFFFFF"/>
          </w:tcPr>
          <w:p>
            <w:pPr>
              <w:keepNext w:val="0"/>
              <w:spacing w:after="0" w:before="0" w:line="252" w:lineRule="auto"/>
            </w:pPr>
            <w:r>
              <w:rPr>
                <w:sz w:val="20"/>
              </w:rPr>
              <w:t>Toronto Stock Exchange</w:t>
            </w:r>
          </w:p>
        </w:tc>
        <w:tc>
          <w:tcPr>
            <w:tcW w:type="dxa" w:w="1754"/>
            <w:vAlign w:val="center"/>
            <w:tcMar>
              <w:top w:w="80" w:type="dxa"/>
              <w:bottom w:w="80" w:type="dxa"/>
              <w:left w:w="100" w:type="dxa"/>
              <w:right w:w="100" w:type="dxa"/>
            </w:tcMar>
            <w:shd w:fill="FFFFFF"/>
          </w:tcPr>
          <w:p>
            <w:pPr>
              <w:keepNext w:val="0"/>
              <w:spacing w:after="0" w:before="0" w:line="252" w:lineRule="auto"/>
              <w:jc w:val="center"/>
            </w:pPr>
            <w:r>
              <w:rPr>
                <w:sz w:val="20"/>
              </w:rPr>
              <w:t>CGL.C</w:t>
            </w:r>
          </w:p>
        </w:tc>
        <w:tc>
          <w:tcPr>
            <w:tcW w:type="dxa" w:w="1169"/>
            <w:vAlign w:val="center"/>
            <w:tcMar>
              <w:top w:w="80" w:type="dxa"/>
              <w:bottom w:w="80" w:type="dxa"/>
              <w:left w:w="100" w:type="dxa"/>
              <w:right w:w="100" w:type="dxa"/>
            </w:tcMar>
            <w:shd w:fill="FFFFFF"/>
          </w:tcPr>
          <w:p>
            <w:pPr>
              <w:keepNext w:val="0"/>
              <w:spacing w:after="0" w:before="0" w:line="252" w:lineRule="auto"/>
              <w:jc w:val="center"/>
            </w:pPr>
            <w:r>
              <w:rPr>
                <w:sz w:val="20"/>
              </w:rPr>
              <w:t>CAD</w:t>
            </w:r>
          </w:p>
        </w:tc>
        <w:tc>
          <w:tcPr>
            <w:tcW w:type="dxa" w:w="2436"/>
            <w:vAlign w:val="center"/>
            <w:tcMar>
              <w:top w:w="80" w:type="dxa"/>
              <w:bottom w:w="80" w:type="dxa"/>
              <w:left w:w="100" w:type="dxa"/>
              <w:right w:w="100" w:type="dxa"/>
            </w:tcMar>
            <w:shd w:fill="FFFFFF"/>
          </w:tcPr>
          <w:p>
            <w:pPr>
              <w:keepNext w:val="0"/>
              <w:spacing w:after="0" w:before="0" w:line="252" w:lineRule="auto"/>
              <w:jc w:val="center"/>
            </w:pPr>
            <w:r>
              <w:rPr>
                <w:sz w:val="20"/>
              </w:rPr>
              <w:t>See issuer page</w:t>
            </w:r>
          </w:p>
        </w:tc>
      </w:tr>
    </w:tbl>
    <w:p>
      <w:pPr>
        <w:spacing w:after="60" w:before="0" w:line="40" w:lineRule="exact"/>
      </w:pPr>
      <w:r>
        <w:rPr>
          <w:sz w:val="4"/>
        </w:rPr>
      </w:r>
    </w:p>
    <w:p>
      <w:pPr>
        <w:pStyle w:val="Heading2"/>
        <w:pageBreakBefore w:val="0"/>
      </w:pPr>
      <w:r>
        <w:t>Sources</w:t>
      </w:r>
    </w:p>
    <w:p>
      <w:pPr>
        <w:spacing w:after="80"/>
      </w:pPr>
      <w:hyperlink r:id="rId69">
        <w:r>
          <w:rPr>
            <w:color w:val="235779"/>
            <w:u w:val="single"/>
          </w:rPr>
          <w:t>Issuer product page</w:t>
        </w:r>
      </w:hyperlink>
      <w:r>
        <w:t xml:space="preserve">  ·  </w:t>
      </w:r>
      <w:hyperlink r:id="rId70">
        <w:r>
          <w:rPr>
            <w:color w:val="235779"/>
            <w:u w:val="single"/>
          </w:rPr>
          <w:t>Saved source</w:t>
        </w:r>
      </w:hyperlink>
    </w:p>
    <w:p>
      <w:pPr>
        <w:spacing w:after="80"/>
      </w:pPr>
      <w:hyperlink r:id="rId67">
        <w:r>
          <w:rPr>
            <w:color w:val="235779"/>
            <w:u w:val="single"/>
          </w:rPr>
          <w:t>Prospectus and amendment: custody, storage and unallocated risk</w:t>
        </w:r>
      </w:hyperlink>
      <w:r>
        <w:t xml:space="preserve">  ·  </w:t>
      </w:r>
      <w:hyperlink r:id="rId68">
        <w:r>
          <w:rPr>
            <w:color w:val="235779"/>
            <w:u w:val="single"/>
          </w:rPr>
          <w:t>Saved source</w:t>
        </w:r>
      </w:hyperlink>
    </w:p>
    <w:p>
      <w:bookmarkStart w:id="17" w:name="product_15"/>
      <w:pPr>
        <w:pStyle w:val="Heading1"/>
        <w:pageBreakBefore w:val="0"/>
        <w:spacing w:before="360"/>
      </w:pPr>
      <w:r>
        <w:t>15  iShares Silver Bullion ETF hedged units</w:t>
      </w:r>
      <w:bookmarkEnd w:id="17"/>
    </w:p>
    <w:p>
      <w:pPr>
        <w:keepNext/>
      </w:pPr>
      <w:r>
        <w:rPr>
          <w:b/>
        </w:rPr>
        <w:t>SVR  |  Canada  |  Silver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24"/>
        <w:gridCol w:w="6822"/>
      </w:tblGrid>
      <w:tr>
        <w:trPr>
          <w:tblHeader/>
          <w:cantSplit/>
        </w:trPr>
        <w:tc>
          <w:tcPr>
            <w:tcW w:type="dxa" w:w="2924"/>
            <w:vAlign w:val="center"/>
            <w:tcMar>
              <w:top w:w="80" w:type="dxa"/>
              <w:bottom w:w="80" w:type="dxa"/>
              <w:left w:w="100" w:type="dxa"/>
              <w:right w:w="100" w:type="dxa"/>
            </w:tcMar>
            <w:shd w:fill="DCE6EB"/>
          </w:tcPr>
          <w:p>
            <w:pPr>
              <w:keepNext/>
              <w:spacing w:after="0" w:before="0" w:line="252" w:lineRule="auto"/>
            </w:pPr>
            <w:r>
              <w:rPr>
                <w:b/>
                <w:sz w:val="20"/>
              </w:rPr>
              <w:t>Field</w:t>
            </w:r>
          </w:p>
        </w:tc>
        <w:tc>
          <w:tcPr>
            <w:tcW w:type="dxa" w:w="6822"/>
            <w:vAlign w:val="center"/>
            <w:tcMar>
              <w:top w:w="80" w:type="dxa"/>
              <w:bottom w:w="80" w:type="dxa"/>
              <w:left w:w="100" w:type="dxa"/>
              <w:right w:w="100" w:type="dxa"/>
            </w:tcMar>
            <w:shd w:fill="DCE6EB"/>
          </w:tcPr>
          <w:p>
            <w:pPr>
              <w:keepNext/>
              <w:spacing w:after="0" w:before="0" w:line="252" w:lineRule="auto"/>
              <w:jc w:val="center"/>
            </w:pPr>
            <w:r>
              <w:rPr>
                <w:b/>
                <w:sz w:val="20"/>
              </w:rPr>
              <w:t>Detail</w:t>
            </w:r>
          </w:p>
        </w:tc>
      </w:tr>
      <w:tr>
        <w:trPr>
          <w:cantSplit/>
        </w:trPr>
        <w:tc>
          <w:tcPr>
            <w:tcW w:type="dxa" w:w="2924"/>
            <w:vAlign w:val="center"/>
            <w:tcMar>
              <w:top w:w="80" w:type="dxa"/>
              <w:bottom w:w="80" w:type="dxa"/>
              <w:left w:w="100" w:type="dxa"/>
              <w:right w:w="100" w:type="dxa"/>
            </w:tcMar>
            <w:shd w:fill="FFFFFF"/>
          </w:tcPr>
          <w:p>
            <w:pPr>
              <w:keepNext w:val="0"/>
              <w:spacing w:after="0" w:before="0" w:line="252" w:lineRule="auto"/>
            </w:pPr>
            <w:r>
              <w:rPr>
                <w:sz w:val="20"/>
              </w:rPr>
              <w:t>Legal form</w:t>
            </w:r>
          </w:p>
        </w:tc>
        <w:tc>
          <w:tcPr>
            <w:tcW w:type="dxa" w:w="6822"/>
            <w:vAlign w:val="center"/>
            <w:tcMar>
              <w:top w:w="80" w:type="dxa"/>
              <w:bottom w:w="80" w:type="dxa"/>
              <w:left w:w="100" w:type="dxa"/>
              <w:right w:w="100" w:type="dxa"/>
            </w:tcMar>
            <w:shd w:fill="FFFFFF"/>
          </w:tcPr>
          <w:p>
            <w:pPr>
              <w:keepNext w:val="0"/>
              <w:spacing w:after="0" w:before="0" w:line="252" w:lineRule="auto"/>
            </w:pPr>
            <w:r>
              <w:rPr>
                <w:sz w:val="20"/>
              </w:rPr>
              <w:t>Ontario trust; hedged common units</w:t>
            </w:r>
          </w:p>
        </w:tc>
      </w:tr>
      <w:tr>
        <w:trPr>
          <w:cantSplit/>
        </w:trPr>
        <w:tc>
          <w:tcPr>
            <w:tcW w:type="dxa" w:w="2924"/>
            <w:vAlign w:val="center"/>
            <w:tcMar>
              <w:top w:w="80" w:type="dxa"/>
              <w:bottom w:w="80" w:type="dxa"/>
              <w:left w:w="100" w:type="dxa"/>
              <w:right w:w="100" w:type="dxa"/>
            </w:tcMar>
            <w:shd w:fill="F4F7F8"/>
          </w:tcPr>
          <w:p>
            <w:pPr>
              <w:keepNext w:val="0"/>
              <w:spacing w:after="0" w:before="0" w:line="252" w:lineRule="auto"/>
            </w:pPr>
            <w:r>
              <w:rPr>
                <w:sz w:val="20"/>
              </w:rPr>
              <w:t>Issuer or sponsor</w:t>
            </w:r>
          </w:p>
        </w:tc>
        <w:tc>
          <w:tcPr>
            <w:tcW w:type="dxa" w:w="6822"/>
            <w:vAlign w:val="center"/>
            <w:tcMar>
              <w:top w:w="80" w:type="dxa"/>
              <w:bottom w:w="80" w:type="dxa"/>
              <w:left w:w="100" w:type="dxa"/>
              <w:right w:w="100" w:type="dxa"/>
            </w:tcMar>
            <w:shd w:fill="F4F7F8"/>
          </w:tcPr>
          <w:p>
            <w:pPr>
              <w:keepNext w:val="0"/>
              <w:spacing w:after="0" w:before="0" w:line="252" w:lineRule="auto"/>
            </w:pPr>
            <w:r>
              <w:rPr>
                <w:sz w:val="20"/>
              </w:rPr>
              <w:t>BlackRock Asset Management Canada Limited (manager and trustee)</w:t>
            </w:r>
          </w:p>
        </w:tc>
      </w:tr>
      <w:tr>
        <w:trPr>
          <w:cantSplit/>
        </w:trPr>
        <w:tc>
          <w:tcPr>
            <w:tcW w:type="dxa" w:w="2924"/>
            <w:vAlign w:val="center"/>
            <w:tcMar>
              <w:top w:w="80" w:type="dxa"/>
              <w:bottom w:w="80" w:type="dxa"/>
              <w:left w:w="100" w:type="dxa"/>
              <w:right w:w="100" w:type="dxa"/>
            </w:tcMar>
            <w:shd w:fill="FFFFFF"/>
          </w:tcPr>
          <w:p>
            <w:pPr>
              <w:keepNext w:val="0"/>
              <w:spacing w:after="0" w:before="0" w:line="252" w:lineRule="auto"/>
            </w:pPr>
            <w:r>
              <w:rPr>
                <w:sz w:val="20"/>
              </w:rPr>
              <w:t>Launch or class inception</w:t>
            </w:r>
          </w:p>
        </w:tc>
        <w:tc>
          <w:tcPr>
            <w:tcW w:type="dxa" w:w="6822"/>
            <w:vAlign w:val="center"/>
            <w:tcMar>
              <w:top w:w="80" w:type="dxa"/>
              <w:bottom w:w="80" w:type="dxa"/>
              <w:left w:w="100" w:type="dxa"/>
              <w:right w:w="100" w:type="dxa"/>
            </w:tcMar>
            <w:shd w:fill="FFFFFF"/>
          </w:tcPr>
          <w:p>
            <w:pPr>
              <w:keepNext w:val="0"/>
              <w:spacing w:after="0" w:before="0" w:line="252" w:lineRule="auto"/>
              <w:jc w:val="center"/>
            </w:pPr>
            <w:r>
              <w:rPr>
                <w:sz w:val="20"/>
              </w:rPr>
              <w:t>2009-07-15</w:t>
            </w:r>
          </w:p>
        </w:tc>
      </w:tr>
      <w:tr>
        <w:trPr>
          <w:cantSplit/>
        </w:trPr>
        <w:tc>
          <w:tcPr>
            <w:tcW w:type="dxa" w:w="2924"/>
            <w:vAlign w:val="center"/>
            <w:tcMar>
              <w:top w:w="80" w:type="dxa"/>
              <w:bottom w:w="80" w:type="dxa"/>
              <w:left w:w="100" w:type="dxa"/>
              <w:right w:w="100" w:type="dxa"/>
            </w:tcMar>
            <w:shd w:fill="F4F7F8"/>
          </w:tcPr>
          <w:p>
            <w:pPr>
              <w:keepNext w:val="0"/>
              <w:spacing w:after="0" w:before="0" w:line="252" w:lineRule="auto"/>
            </w:pPr>
            <w:r>
              <w:rPr>
                <w:sz w:val="20"/>
              </w:rPr>
              <w:t>ISIN / CUSIP</w:t>
            </w:r>
          </w:p>
        </w:tc>
        <w:tc>
          <w:tcPr>
            <w:tcW w:type="dxa" w:w="6822"/>
            <w:vAlign w:val="center"/>
            <w:tcMar>
              <w:top w:w="80" w:type="dxa"/>
              <w:bottom w:w="80" w:type="dxa"/>
              <w:left w:w="100" w:type="dxa"/>
              <w:right w:w="100" w:type="dxa"/>
            </w:tcMar>
            <w:shd w:fill="F4F7F8"/>
          </w:tcPr>
          <w:p>
            <w:pPr>
              <w:keepNext w:val="0"/>
              <w:spacing w:after="0" w:before="0" w:line="252" w:lineRule="auto"/>
              <w:jc w:val="center"/>
            </w:pPr>
            <w:r>
              <w:rPr>
                <w:sz w:val="20"/>
              </w:rPr>
              <w:t>46434E108</w:t>
            </w:r>
          </w:p>
        </w:tc>
      </w:tr>
      <w:tr>
        <w:trPr>
          <w:cantSplit/>
        </w:trPr>
        <w:tc>
          <w:tcPr>
            <w:tcW w:type="dxa" w:w="2924"/>
            <w:vAlign w:val="center"/>
            <w:tcMar>
              <w:top w:w="80" w:type="dxa"/>
              <w:bottom w:w="80" w:type="dxa"/>
              <w:left w:w="100" w:type="dxa"/>
              <w:right w:w="100" w:type="dxa"/>
            </w:tcMar>
            <w:shd w:fill="FFFFFF"/>
          </w:tcPr>
          <w:p>
            <w:pPr>
              <w:keepNext w:val="0"/>
              <w:spacing w:after="0" w:before="0" w:line="252" w:lineRule="auto"/>
            </w:pPr>
            <w:r>
              <w:rPr>
                <w:sz w:val="20"/>
              </w:rPr>
              <w:t>Reported net assets</w:t>
            </w:r>
          </w:p>
        </w:tc>
        <w:tc>
          <w:tcPr>
            <w:tcW w:type="dxa" w:w="6822"/>
            <w:vAlign w:val="center"/>
            <w:tcMar>
              <w:top w:w="80" w:type="dxa"/>
              <w:bottom w:w="80" w:type="dxa"/>
              <w:left w:w="100" w:type="dxa"/>
              <w:right w:w="100" w:type="dxa"/>
            </w:tcMar>
            <w:shd w:fill="FFFFFF"/>
          </w:tcPr>
          <w:p>
            <w:pPr>
              <w:keepNext w:val="0"/>
              <w:spacing w:after="0" w:before="0" w:line="252" w:lineRule="auto"/>
            </w:pPr>
            <w:r>
              <w:rPr>
                <w:sz w:val="20"/>
              </w:rPr>
              <w:t>CAD 482,785,326.00 as of 2026-09-22</w:t>
            </w:r>
          </w:p>
        </w:tc>
      </w:tr>
      <w:tr>
        <w:trPr>
          <w:cantSplit/>
        </w:trPr>
        <w:tc>
          <w:tcPr>
            <w:tcW w:type="dxa" w:w="2924"/>
            <w:vAlign w:val="center"/>
            <w:tcMar>
              <w:top w:w="80" w:type="dxa"/>
              <w:bottom w:w="80" w:type="dxa"/>
              <w:left w:w="100" w:type="dxa"/>
              <w:right w:w="100" w:type="dxa"/>
            </w:tcMar>
            <w:shd w:fill="F4F7F8"/>
          </w:tcPr>
          <w:p>
            <w:pPr>
              <w:keepNext w:val="0"/>
              <w:spacing w:after="0" w:before="0" w:line="252" w:lineRule="auto"/>
            </w:pPr>
            <w:r>
              <w:rPr>
                <w:sz w:val="20"/>
              </w:rPr>
              <w:t>Asset basis</w:t>
            </w:r>
          </w:p>
        </w:tc>
        <w:tc>
          <w:tcPr>
            <w:tcW w:type="dxa" w:w="6822"/>
            <w:vAlign w:val="center"/>
            <w:tcMar>
              <w:top w:w="80" w:type="dxa"/>
              <w:bottom w:w="80" w:type="dxa"/>
              <w:left w:w="100" w:type="dxa"/>
              <w:right w:w="100" w:type="dxa"/>
            </w:tcMar>
            <w:shd w:fill="F4F7F8"/>
          </w:tcPr>
          <w:p>
            <w:pPr>
              <w:keepNext w:val="0"/>
              <w:spacing w:after="0" w:before="0" w:line="252" w:lineRule="auto"/>
              <w:jc w:val="center"/>
            </w:pPr>
            <w:r>
              <w:rPr>
                <w:sz w:val="20"/>
              </w:rPr>
              <w:t>Currency unit class</w:t>
            </w:r>
          </w:p>
        </w:tc>
      </w:tr>
      <w:tr>
        <w:trPr>
          <w:cantSplit/>
        </w:trPr>
        <w:tc>
          <w:tcPr>
            <w:tcW w:type="dxa" w:w="2924"/>
            <w:vAlign w:val="center"/>
            <w:tcMar>
              <w:top w:w="80" w:type="dxa"/>
              <w:bottom w:w="80" w:type="dxa"/>
              <w:left w:w="100" w:type="dxa"/>
              <w:right w:w="100" w:type="dxa"/>
            </w:tcMar>
            <w:shd w:fill="FFFFFF"/>
          </w:tcPr>
          <w:p>
            <w:pPr>
              <w:keepNext w:val="0"/>
              <w:spacing w:after="0" w:before="0" w:line="252" w:lineRule="auto"/>
            </w:pPr>
            <w:r>
              <w:rPr>
                <w:sz w:val="20"/>
              </w:rPr>
              <w:t>Currency exposure</w:t>
            </w:r>
          </w:p>
        </w:tc>
        <w:tc>
          <w:tcPr>
            <w:tcW w:type="dxa" w:w="6822"/>
            <w:vAlign w:val="center"/>
            <w:tcMar>
              <w:top w:w="80" w:type="dxa"/>
              <w:bottom w:w="80" w:type="dxa"/>
              <w:left w:w="100" w:type="dxa"/>
              <w:right w:w="100" w:type="dxa"/>
            </w:tcMar>
            <w:shd w:fill="FFFFFF"/>
          </w:tcPr>
          <w:p>
            <w:pPr>
              <w:keepNext w:val="0"/>
              <w:spacing w:after="0" w:before="0" w:line="252" w:lineRule="auto"/>
              <w:jc w:val="center"/>
            </w:pPr>
            <w:r>
              <w:rPr>
                <w:sz w:val="20"/>
              </w:rPr>
              <w:t>CAD hedged</w:t>
            </w:r>
          </w:p>
        </w:tc>
      </w:tr>
      <w:tr>
        <w:trPr>
          <w:cantSplit/>
        </w:trPr>
        <w:tc>
          <w:tcPr>
            <w:tcW w:type="dxa" w:w="2924"/>
            <w:vAlign w:val="center"/>
            <w:tcMar>
              <w:top w:w="80" w:type="dxa"/>
              <w:bottom w:w="80" w:type="dxa"/>
              <w:left w:w="100" w:type="dxa"/>
              <w:right w:w="100" w:type="dxa"/>
            </w:tcMar>
            <w:shd w:fill="F4F7F8"/>
          </w:tcPr>
          <w:p>
            <w:pPr>
              <w:keepNext w:val="0"/>
              <w:spacing w:after="0" w:before="0" w:line="252" w:lineRule="auto"/>
            </w:pPr>
            <w:r>
              <w:rPr>
                <w:sz w:val="20"/>
              </w:rPr>
              <w:t>Annual fee</w:t>
            </w:r>
          </w:p>
        </w:tc>
        <w:tc>
          <w:tcPr>
            <w:tcW w:type="dxa" w:w="6822"/>
            <w:vAlign w:val="center"/>
            <w:tcMar>
              <w:top w:w="80" w:type="dxa"/>
              <w:bottom w:w="80" w:type="dxa"/>
              <w:left w:w="100" w:type="dxa"/>
              <w:right w:w="100" w:type="dxa"/>
            </w:tcMar>
            <w:shd w:fill="F4F7F8"/>
          </w:tcPr>
          <w:p>
            <w:pPr>
              <w:keepNext w:val="0"/>
              <w:spacing w:after="0" w:before="0" w:line="252" w:lineRule="auto"/>
              <w:jc w:val="center"/>
            </w:pPr>
            <w:r>
              <w:rPr>
                <w:sz w:val="20"/>
              </w:rPr>
              <w:t>0.66% — Reported MER</w:t>
            </w:r>
          </w:p>
        </w:tc>
      </w:tr>
      <w:tr>
        <w:trPr>
          <w:cantSplit/>
        </w:trPr>
        <w:tc>
          <w:tcPr>
            <w:tcW w:type="dxa" w:w="2924"/>
            <w:vAlign w:val="center"/>
            <w:tcMar>
              <w:top w:w="80" w:type="dxa"/>
              <w:bottom w:w="80" w:type="dxa"/>
              <w:left w:w="100" w:type="dxa"/>
              <w:right w:w="100" w:type="dxa"/>
            </w:tcMar>
            <w:shd w:fill="FFFFFF"/>
          </w:tcPr>
          <w:p>
            <w:pPr>
              <w:keepNext w:val="0"/>
              <w:spacing w:after="0" w:before="0" w:line="252" w:lineRule="auto"/>
            </w:pPr>
            <w:r>
              <w:rPr>
                <w:sz w:val="20"/>
              </w:rPr>
              <w:t>Custodian</w:t>
            </w:r>
          </w:p>
        </w:tc>
        <w:tc>
          <w:tcPr>
            <w:tcW w:type="dxa" w:w="6822"/>
            <w:vAlign w:val="center"/>
            <w:tcMar>
              <w:top w:w="80" w:type="dxa"/>
              <w:bottom w:w="80" w:type="dxa"/>
              <w:left w:w="100" w:type="dxa"/>
              <w:right w:w="100" w:type="dxa"/>
            </w:tcMar>
            <w:shd w:fill="FFFFFF"/>
          </w:tcPr>
          <w:p>
            <w:pPr>
              <w:keepNext w:val="0"/>
              <w:spacing w:after="0" w:before="0" w:line="252" w:lineRule="auto"/>
            </w:pPr>
            <w:r>
              <w:rPr>
                <w:sz w:val="20"/>
              </w:rPr>
              <w:t>CIBC Mellon Trust Company (bullion). Royal Canadian Mint (subcustodian). State Street Trust Company Canada (non-bullion).</w:t>
            </w:r>
          </w:p>
        </w:tc>
      </w:tr>
      <w:tr>
        <w:trPr>
          <w:cantSplit/>
        </w:trPr>
        <w:tc>
          <w:tcPr>
            <w:tcW w:type="dxa" w:w="2924"/>
            <w:vAlign w:val="center"/>
            <w:tcMar>
              <w:top w:w="80" w:type="dxa"/>
              <w:bottom w:w="80" w:type="dxa"/>
              <w:left w:w="100" w:type="dxa"/>
              <w:right w:w="100" w:type="dxa"/>
            </w:tcMar>
            <w:shd w:fill="F4F7F8"/>
          </w:tcPr>
          <w:p>
            <w:pPr>
              <w:keepNext w:val="0"/>
              <w:spacing w:after="0" w:before="0" w:line="252" w:lineRule="auto"/>
            </w:pPr>
            <w:r>
              <w:rPr>
                <w:sz w:val="20"/>
              </w:rPr>
              <w:t>Custody evidence date</w:t>
            </w:r>
          </w:p>
        </w:tc>
        <w:tc>
          <w:tcPr>
            <w:tcW w:type="dxa" w:w="6822"/>
            <w:vAlign w:val="center"/>
            <w:tcMar>
              <w:top w:w="80" w:type="dxa"/>
              <w:bottom w:w="80" w:type="dxa"/>
              <w:left w:w="100" w:type="dxa"/>
              <w:right w:w="100" w:type="dxa"/>
            </w:tcMar>
            <w:shd w:fill="F4F7F8"/>
          </w:tcPr>
          <w:p>
            <w:pPr>
              <w:keepNext w:val="0"/>
              <w:spacing w:after="0" w:before="0" w:line="252" w:lineRule="auto"/>
              <w:jc w:val="center"/>
            </w:pPr>
            <w:r>
              <w:rPr>
                <w:sz w:val="20"/>
              </w:rPr>
              <w:t>2026-09-23</w:t>
            </w:r>
          </w:p>
        </w:tc>
      </w:tr>
      <w:tr>
        <w:trPr>
          <w:cantSplit/>
        </w:trPr>
        <w:tc>
          <w:tcPr>
            <w:tcW w:type="dxa" w:w="2924"/>
            <w:vAlign w:val="center"/>
            <w:tcMar>
              <w:top w:w="80" w:type="dxa"/>
              <w:bottom w:w="80" w:type="dxa"/>
              <w:left w:w="100" w:type="dxa"/>
              <w:right w:w="100" w:type="dxa"/>
            </w:tcMar>
            <w:shd w:fill="FFFFFF"/>
          </w:tcPr>
          <w:p>
            <w:pPr>
              <w:keepNext w:val="0"/>
              <w:spacing w:after="0" w:before="0" w:line="252" w:lineRule="auto"/>
            </w:pPr>
            <w:r>
              <w:rPr>
                <w:sz w:val="20"/>
              </w:rPr>
              <w:t>Reported metal quantity</w:t>
            </w:r>
          </w:p>
        </w:tc>
        <w:tc>
          <w:tcPr>
            <w:tcW w:type="dxa" w:w="6822"/>
            <w:vAlign w:val="center"/>
            <w:tcMar>
              <w:top w:w="80" w:type="dxa"/>
              <w:bottom w:w="80" w:type="dxa"/>
              <w:left w:w="100" w:type="dxa"/>
              <w:right w:w="100" w:type="dxa"/>
            </w:tcMar>
            <w:shd w:fill="FFFFFF"/>
          </w:tcPr>
          <w:p>
            <w:pPr>
              <w:keepNext w:val="0"/>
              <w:spacing w:after="0" w:before="0" w:line="252" w:lineRule="auto"/>
            </w:pPr>
            <w:r>
              <w:rPr>
                <w:sz w:val="20"/>
              </w:rPr>
              <w:t>5,300,045.02 troy ounces; 164.85 tonnes; dated 2026-09-22 — Quantity attributed to this currency class on its issuer page</w:t>
            </w:r>
          </w:p>
        </w:tc>
      </w:tr>
    </w:tbl>
    <w:p>
      <w:pPr>
        <w:spacing w:after="60" w:before="0" w:line="40" w:lineRule="exact"/>
      </w:pPr>
      <w:r>
        <w:rPr>
          <w:sz w:val="4"/>
        </w:rPr>
      </w:r>
    </w:p>
    <w:p>
      <w:r>
        <w:rPr>
          <w:b/>
        </w:rPr>
        <w:t xml:space="preserve">Fee definition. </w:t>
      </w:r>
      <w:r>
        <w:t>Management fee 0.60% per year. Displayed MER includes management fee and applicable expenses/taxes. MER is the issuer’s reported expense measure, not a guaranteed forward total.</w:t>
      </w:r>
    </w:p>
    <w:p>
      <w:r>
        <w:rPr>
          <w:b/>
        </w:rPr>
        <w:t xml:space="preserve">Allocation. </w:t>
      </w:r>
      <w:r>
        <w:t>Investment restrictions require allocated and segregated storage. The prospectus explicitly permits periods of unallocated exposure between bullion purchase and full allocation, and during redemption.</w:t>
      </w:r>
    </w:p>
    <w:p>
      <w:r>
        <w:rPr>
          <w:b/>
        </w:rPr>
        <w:t xml:space="preserve">Bullion storage. </w:t>
      </w:r>
      <w:r>
        <w:t>Prospectus requires the majority in Canada and permits remaining bullion in the US and/or UK. May 2026 amendment says Loomis will replace IDS as subcustodian to the Royal Canadian Mint; operational completion is not established.</w:t>
      </w:r>
    </w:p>
    <w:p>
      <w:r>
        <w:rPr>
          <w:b/>
        </w:rPr>
        <w:t xml:space="preserve">Location holding limits. </w:t>
      </w:r>
      <w:r>
        <w:t>The prospectus requires the majority of each fund’s bullion to be held in Canada; the remainder may be in the US and/or UK. Read ordinarily, majority implies more than 50% in Canada and less than 50% in the US and UK combined; those percentages are an interpretation of the word majority, not numerical caps printed in the clause. No separate country split between the US and UK, or limit per individual vault, is specified in the reviewed storage clause.</w:t>
      </w:r>
    </w:p>
    <w:p>
      <w:r>
        <w:rPr>
          <w:b/>
        </w:rPr>
        <w:t xml:space="preserve">Limit scope. </w:t>
      </w:r>
      <w:r>
        <w:t>Each legal bullion fund, across its hedged and unhedged unit classes; not an independent quota for each class.</w:t>
      </w:r>
    </w:p>
    <w:p>
      <w:r>
        <w:rPr>
          <w:b w:val="0"/>
        </w:rPr>
        <w:t>This is a unit class of the same legal fund as SVR. Class-level AUM and metal quantities are shown, rather than repeating the whole fund.</w:t>
      </w:r>
    </w:p>
    <w:p>
      <w:r>
        <w:rPr>
          <w:b/>
        </w:rPr>
        <w:t xml:space="preserve">Location clause source. </w:t>
      </w:r>
      <w:hyperlink r:id="rId64">
        <w:r>
          <w:rPr>
            <w:color w:val="235779"/>
            <w:u w:val="single"/>
          </w:rPr>
          <w:t>Prospectus and amendment: custody, storage and unallocated risk</w:t>
        </w:r>
      </w:hyperlink>
      <w:r>
        <w:t xml:space="preserve"> — Investment Strategies, printed p. 13 / PDF page 21</w:t>
      </w:r>
    </w:p>
    <w:p>
      <w:pPr>
        <w:pStyle w:val="Heading2"/>
        <w:pageBreakBefore w:val="0"/>
      </w:pPr>
      <w:r>
        <w:t>Recorded listings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86"/>
        <w:gridCol w:w="1754"/>
        <w:gridCol w:w="1169"/>
        <w:gridCol w:w="2436"/>
      </w:tblGrid>
      <w:tr>
        <w:trPr>
          <w:tblHeader/>
          <w:cantSplit/>
        </w:trPr>
        <w:tc>
          <w:tcPr>
            <w:tcW w:type="dxa" w:w="4386"/>
            <w:vAlign w:val="center"/>
            <w:tcMar>
              <w:top w:w="80" w:type="dxa"/>
              <w:bottom w:w="80" w:type="dxa"/>
              <w:left w:w="100" w:type="dxa"/>
              <w:right w:w="100" w:type="dxa"/>
            </w:tcMar>
            <w:shd w:fill="DCE6EB"/>
          </w:tcPr>
          <w:p>
            <w:pPr>
              <w:keepNext/>
              <w:spacing w:after="0" w:before="0" w:line="252" w:lineRule="auto"/>
            </w:pPr>
            <w:r>
              <w:rPr>
                <w:b/>
                <w:sz w:val="20"/>
              </w:rPr>
              <w:t>Exchange</w:t>
            </w:r>
          </w:p>
        </w:tc>
        <w:tc>
          <w:tcPr>
            <w:tcW w:type="dxa" w:w="1754"/>
            <w:vAlign w:val="center"/>
            <w:tcMar>
              <w:top w:w="80" w:type="dxa"/>
              <w:bottom w:w="80" w:type="dxa"/>
              <w:left w:w="100" w:type="dxa"/>
              <w:right w:w="100" w:type="dxa"/>
            </w:tcMar>
            <w:shd w:fill="DCE6EB"/>
          </w:tcPr>
          <w:p>
            <w:pPr>
              <w:keepNext/>
              <w:spacing w:after="0" w:before="0" w:line="252" w:lineRule="auto"/>
              <w:jc w:val="center"/>
            </w:pPr>
            <w:r>
              <w:rPr>
                <w:b/>
                <w:sz w:val="20"/>
              </w:rPr>
              <w:t>Ticker</w:t>
            </w:r>
          </w:p>
        </w:tc>
        <w:tc>
          <w:tcPr>
            <w:tcW w:type="dxa" w:w="1169"/>
            <w:vAlign w:val="center"/>
            <w:tcMar>
              <w:top w:w="80" w:type="dxa"/>
              <w:bottom w:w="80" w:type="dxa"/>
              <w:left w:w="100" w:type="dxa"/>
              <w:right w:w="100" w:type="dxa"/>
            </w:tcMar>
            <w:shd w:fill="DCE6EB"/>
          </w:tcPr>
          <w:p>
            <w:pPr>
              <w:keepNext/>
              <w:spacing w:after="0" w:before="0" w:line="252" w:lineRule="auto"/>
              <w:jc w:val="center"/>
            </w:pPr>
            <w:r>
              <w:rPr>
                <w:b/>
                <w:sz w:val="20"/>
              </w:rPr>
              <w:t>Currency</w:t>
            </w:r>
          </w:p>
        </w:tc>
        <w:tc>
          <w:tcPr>
            <w:tcW w:type="dxa" w:w="2436"/>
            <w:vAlign w:val="center"/>
            <w:tcMar>
              <w:top w:w="80" w:type="dxa"/>
              <w:bottom w:w="80" w:type="dxa"/>
              <w:left w:w="100" w:type="dxa"/>
              <w:right w:w="100" w:type="dxa"/>
            </w:tcMar>
            <w:shd w:fill="DCE6EB"/>
          </w:tcPr>
          <w:p>
            <w:pPr>
              <w:keepNext/>
              <w:spacing w:after="0" w:before="0" w:line="252" w:lineRule="auto"/>
              <w:jc w:val="center"/>
            </w:pPr>
            <w:r>
              <w:rPr>
                <w:b/>
                <w:sz w:val="20"/>
              </w:rPr>
              <w:t>Listing date</w:t>
            </w:r>
          </w:p>
        </w:tc>
      </w:tr>
      <w:tr>
        <w:trPr>
          <w:cantSplit/>
        </w:trPr>
        <w:tc>
          <w:tcPr>
            <w:tcW w:type="dxa" w:w="4386"/>
            <w:vAlign w:val="center"/>
            <w:tcMar>
              <w:top w:w="80" w:type="dxa"/>
              <w:bottom w:w="80" w:type="dxa"/>
              <w:left w:w="100" w:type="dxa"/>
              <w:right w:w="100" w:type="dxa"/>
            </w:tcMar>
            <w:shd w:fill="FFFFFF"/>
          </w:tcPr>
          <w:p>
            <w:pPr>
              <w:keepNext w:val="0"/>
              <w:spacing w:after="0" w:before="0" w:line="252" w:lineRule="auto"/>
            </w:pPr>
            <w:r>
              <w:rPr>
                <w:sz w:val="20"/>
              </w:rPr>
              <w:t>Toronto Stock Exchange</w:t>
            </w:r>
          </w:p>
        </w:tc>
        <w:tc>
          <w:tcPr>
            <w:tcW w:type="dxa" w:w="1754"/>
            <w:vAlign w:val="center"/>
            <w:tcMar>
              <w:top w:w="80" w:type="dxa"/>
              <w:bottom w:w="80" w:type="dxa"/>
              <w:left w:w="100" w:type="dxa"/>
              <w:right w:w="100" w:type="dxa"/>
            </w:tcMar>
            <w:shd w:fill="FFFFFF"/>
          </w:tcPr>
          <w:p>
            <w:pPr>
              <w:keepNext w:val="0"/>
              <w:spacing w:after="0" w:before="0" w:line="252" w:lineRule="auto"/>
              <w:jc w:val="center"/>
            </w:pPr>
            <w:r>
              <w:rPr>
                <w:sz w:val="20"/>
              </w:rPr>
              <w:t>SVR</w:t>
            </w:r>
          </w:p>
        </w:tc>
        <w:tc>
          <w:tcPr>
            <w:tcW w:type="dxa" w:w="1169"/>
            <w:vAlign w:val="center"/>
            <w:tcMar>
              <w:top w:w="80" w:type="dxa"/>
              <w:bottom w:w="80" w:type="dxa"/>
              <w:left w:w="100" w:type="dxa"/>
              <w:right w:w="100" w:type="dxa"/>
            </w:tcMar>
            <w:shd w:fill="FFFFFF"/>
          </w:tcPr>
          <w:p>
            <w:pPr>
              <w:keepNext w:val="0"/>
              <w:spacing w:after="0" w:before="0" w:line="252" w:lineRule="auto"/>
              <w:jc w:val="center"/>
            </w:pPr>
            <w:r>
              <w:rPr>
                <w:sz w:val="20"/>
              </w:rPr>
              <w:t>CAD</w:t>
            </w:r>
          </w:p>
        </w:tc>
        <w:tc>
          <w:tcPr>
            <w:tcW w:type="dxa" w:w="2436"/>
            <w:vAlign w:val="center"/>
            <w:tcMar>
              <w:top w:w="80" w:type="dxa"/>
              <w:bottom w:w="80" w:type="dxa"/>
              <w:left w:w="100" w:type="dxa"/>
              <w:right w:w="100" w:type="dxa"/>
            </w:tcMar>
            <w:shd w:fill="FFFFFF"/>
          </w:tcPr>
          <w:p>
            <w:pPr>
              <w:keepNext w:val="0"/>
              <w:spacing w:after="0" w:before="0" w:line="252" w:lineRule="auto"/>
              <w:jc w:val="center"/>
            </w:pPr>
            <w:r>
              <w:rPr>
                <w:sz w:val="20"/>
              </w:rPr>
              <w:t>See issuer page</w:t>
            </w:r>
          </w:p>
        </w:tc>
      </w:tr>
    </w:tbl>
    <w:p>
      <w:pPr>
        <w:spacing w:after="60" w:before="0" w:line="40" w:lineRule="exact"/>
      </w:pPr>
      <w:r>
        <w:rPr>
          <w:sz w:val="4"/>
        </w:rPr>
      </w:r>
    </w:p>
    <w:p>
      <w:pPr>
        <w:pStyle w:val="Heading2"/>
        <w:pageBreakBefore w:val="0"/>
      </w:pPr>
      <w:r>
        <w:t>Sources</w:t>
      </w:r>
    </w:p>
    <w:p>
      <w:pPr>
        <w:spacing w:after="80"/>
      </w:pPr>
      <w:hyperlink r:id="rId71">
        <w:r>
          <w:rPr>
            <w:color w:val="235779"/>
            <w:u w:val="single"/>
          </w:rPr>
          <w:t>Issuer product page</w:t>
        </w:r>
      </w:hyperlink>
      <w:r>
        <w:t xml:space="preserve">  ·  </w:t>
      </w:r>
      <w:hyperlink r:id="rId72">
        <w:r>
          <w:rPr>
            <w:color w:val="235779"/>
            <w:u w:val="single"/>
          </w:rPr>
          <w:t>Saved source</w:t>
        </w:r>
      </w:hyperlink>
    </w:p>
    <w:p>
      <w:pPr>
        <w:spacing w:after="80"/>
      </w:pPr>
      <w:hyperlink r:id="rId67">
        <w:r>
          <w:rPr>
            <w:color w:val="235779"/>
            <w:u w:val="single"/>
          </w:rPr>
          <w:t>Prospectus and amendment: custody, storage and unallocated risk</w:t>
        </w:r>
      </w:hyperlink>
      <w:r>
        <w:t xml:space="preserve">  ·  </w:t>
      </w:r>
      <w:hyperlink r:id="rId68">
        <w:r>
          <w:rPr>
            <w:color w:val="235779"/>
            <w:u w:val="single"/>
          </w:rPr>
          <w:t>Saved source</w:t>
        </w:r>
      </w:hyperlink>
    </w:p>
    <w:p>
      <w:bookmarkStart w:id="18" w:name="product_16"/>
      <w:pPr>
        <w:pStyle w:val="Heading1"/>
        <w:pageBreakBefore w:val="0"/>
        <w:spacing w:before="360"/>
      </w:pPr>
      <w:r>
        <w:t>16  iShares Silver Bullion ETF unhedged units</w:t>
      </w:r>
      <w:bookmarkEnd w:id="18"/>
    </w:p>
    <w:p>
      <w:pPr>
        <w:keepNext/>
      </w:pPr>
      <w:r>
        <w:rPr>
          <w:b/>
        </w:rPr>
        <w:t>SVR.C  |  Canada  |  Silver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24"/>
        <w:gridCol w:w="6822"/>
      </w:tblGrid>
      <w:tr>
        <w:trPr>
          <w:tblHeader/>
          <w:cantSplit/>
        </w:trPr>
        <w:tc>
          <w:tcPr>
            <w:tcW w:type="dxa" w:w="2924"/>
            <w:vAlign w:val="center"/>
            <w:tcMar>
              <w:top w:w="80" w:type="dxa"/>
              <w:bottom w:w="80" w:type="dxa"/>
              <w:left w:w="100" w:type="dxa"/>
              <w:right w:w="100" w:type="dxa"/>
            </w:tcMar>
            <w:shd w:fill="DCE6EB"/>
          </w:tcPr>
          <w:p>
            <w:pPr>
              <w:keepNext/>
              <w:spacing w:after="0" w:before="0" w:line="252" w:lineRule="auto"/>
            </w:pPr>
            <w:r>
              <w:rPr>
                <w:b/>
                <w:sz w:val="20"/>
              </w:rPr>
              <w:t>Field</w:t>
            </w:r>
          </w:p>
        </w:tc>
        <w:tc>
          <w:tcPr>
            <w:tcW w:type="dxa" w:w="6822"/>
            <w:vAlign w:val="center"/>
            <w:tcMar>
              <w:top w:w="80" w:type="dxa"/>
              <w:bottom w:w="80" w:type="dxa"/>
              <w:left w:w="100" w:type="dxa"/>
              <w:right w:w="100" w:type="dxa"/>
            </w:tcMar>
            <w:shd w:fill="DCE6EB"/>
          </w:tcPr>
          <w:p>
            <w:pPr>
              <w:keepNext/>
              <w:spacing w:after="0" w:before="0" w:line="252" w:lineRule="auto"/>
              <w:jc w:val="center"/>
            </w:pPr>
            <w:r>
              <w:rPr>
                <w:b/>
                <w:sz w:val="20"/>
              </w:rPr>
              <w:t>Detail</w:t>
            </w:r>
          </w:p>
        </w:tc>
      </w:tr>
      <w:tr>
        <w:trPr>
          <w:cantSplit/>
        </w:trPr>
        <w:tc>
          <w:tcPr>
            <w:tcW w:type="dxa" w:w="2924"/>
            <w:vAlign w:val="center"/>
            <w:tcMar>
              <w:top w:w="80" w:type="dxa"/>
              <w:bottom w:w="80" w:type="dxa"/>
              <w:left w:w="100" w:type="dxa"/>
              <w:right w:w="100" w:type="dxa"/>
            </w:tcMar>
            <w:shd w:fill="FFFFFF"/>
          </w:tcPr>
          <w:p>
            <w:pPr>
              <w:keepNext w:val="0"/>
              <w:spacing w:after="0" w:before="0" w:line="252" w:lineRule="auto"/>
            </w:pPr>
            <w:r>
              <w:rPr>
                <w:sz w:val="20"/>
              </w:rPr>
              <w:t>Legal form</w:t>
            </w:r>
          </w:p>
        </w:tc>
        <w:tc>
          <w:tcPr>
            <w:tcW w:type="dxa" w:w="6822"/>
            <w:vAlign w:val="center"/>
            <w:tcMar>
              <w:top w:w="80" w:type="dxa"/>
              <w:bottom w:w="80" w:type="dxa"/>
              <w:left w:w="100" w:type="dxa"/>
              <w:right w:w="100" w:type="dxa"/>
            </w:tcMar>
            <w:shd w:fill="FFFFFF"/>
          </w:tcPr>
          <w:p>
            <w:pPr>
              <w:keepNext w:val="0"/>
              <w:spacing w:after="0" w:before="0" w:line="252" w:lineRule="auto"/>
            </w:pPr>
            <w:r>
              <w:rPr>
                <w:sz w:val="20"/>
              </w:rPr>
              <w:t>Ontario trust; non-hedged common units</w:t>
            </w:r>
          </w:p>
        </w:tc>
      </w:tr>
      <w:tr>
        <w:trPr>
          <w:cantSplit/>
        </w:trPr>
        <w:tc>
          <w:tcPr>
            <w:tcW w:type="dxa" w:w="2924"/>
            <w:vAlign w:val="center"/>
            <w:tcMar>
              <w:top w:w="80" w:type="dxa"/>
              <w:bottom w:w="80" w:type="dxa"/>
              <w:left w:w="100" w:type="dxa"/>
              <w:right w:w="100" w:type="dxa"/>
            </w:tcMar>
            <w:shd w:fill="F4F7F8"/>
          </w:tcPr>
          <w:p>
            <w:pPr>
              <w:keepNext w:val="0"/>
              <w:spacing w:after="0" w:before="0" w:line="252" w:lineRule="auto"/>
            </w:pPr>
            <w:r>
              <w:rPr>
                <w:sz w:val="20"/>
              </w:rPr>
              <w:t>Issuer or sponsor</w:t>
            </w:r>
          </w:p>
        </w:tc>
        <w:tc>
          <w:tcPr>
            <w:tcW w:type="dxa" w:w="6822"/>
            <w:vAlign w:val="center"/>
            <w:tcMar>
              <w:top w:w="80" w:type="dxa"/>
              <w:bottom w:w="80" w:type="dxa"/>
              <w:left w:w="100" w:type="dxa"/>
              <w:right w:w="100" w:type="dxa"/>
            </w:tcMar>
            <w:shd w:fill="F4F7F8"/>
          </w:tcPr>
          <w:p>
            <w:pPr>
              <w:keepNext w:val="0"/>
              <w:spacing w:after="0" w:before="0" w:line="252" w:lineRule="auto"/>
            </w:pPr>
            <w:r>
              <w:rPr>
                <w:sz w:val="20"/>
              </w:rPr>
              <w:t>BlackRock Asset Management Canada Limited (manager and trustee)</w:t>
            </w:r>
          </w:p>
        </w:tc>
      </w:tr>
      <w:tr>
        <w:trPr>
          <w:cantSplit/>
        </w:trPr>
        <w:tc>
          <w:tcPr>
            <w:tcW w:type="dxa" w:w="2924"/>
            <w:vAlign w:val="center"/>
            <w:tcMar>
              <w:top w:w="80" w:type="dxa"/>
              <w:bottom w:w="80" w:type="dxa"/>
              <w:left w:w="100" w:type="dxa"/>
              <w:right w:w="100" w:type="dxa"/>
            </w:tcMar>
            <w:shd w:fill="FFFFFF"/>
          </w:tcPr>
          <w:p>
            <w:pPr>
              <w:keepNext w:val="0"/>
              <w:spacing w:after="0" w:before="0" w:line="252" w:lineRule="auto"/>
            </w:pPr>
            <w:r>
              <w:rPr>
                <w:sz w:val="20"/>
              </w:rPr>
              <w:t>Launch or class inception</w:t>
            </w:r>
          </w:p>
        </w:tc>
        <w:tc>
          <w:tcPr>
            <w:tcW w:type="dxa" w:w="6822"/>
            <w:vAlign w:val="center"/>
            <w:tcMar>
              <w:top w:w="80" w:type="dxa"/>
              <w:bottom w:w="80" w:type="dxa"/>
              <w:left w:w="100" w:type="dxa"/>
              <w:right w:w="100" w:type="dxa"/>
            </w:tcMar>
            <w:shd w:fill="FFFFFF"/>
          </w:tcPr>
          <w:p>
            <w:pPr>
              <w:keepNext w:val="0"/>
              <w:spacing w:after="0" w:before="0" w:line="252" w:lineRule="auto"/>
              <w:jc w:val="center"/>
            </w:pPr>
            <w:r>
              <w:rPr>
                <w:sz w:val="20"/>
              </w:rPr>
              <w:t>2011-03-04</w:t>
            </w:r>
          </w:p>
        </w:tc>
      </w:tr>
      <w:tr>
        <w:trPr>
          <w:cantSplit/>
        </w:trPr>
        <w:tc>
          <w:tcPr>
            <w:tcW w:type="dxa" w:w="2924"/>
            <w:vAlign w:val="center"/>
            <w:tcMar>
              <w:top w:w="80" w:type="dxa"/>
              <w:bottom w:w="80" w:type="dxa"/>
              <w:left w:w="100" w:type="dxa"/>
              <w:right w:w="100" w:type="dxa"/>
            </w:tcMar>
            <w:shd w:fill="F4F7F8"/>
          </w:tcPr>
          <w:p>
            <w:pPr>
              <w:keepNext w:val="0"/>
              <w:spacing w:after="0" w:before="0" w:line="252" w:lineRule="auto"/>
            </w:pPr>
            <w:r>
              <w:rPr>
                <w:sz w:val="20"/>
              </w:rPr>
              <w:t>ISIN / CUSIP</w:t>
            </w:r>
          </w:p>
        </w:tc>
        <w:tc>
          <w:tcPr>
            <w:tcW w:type="dxa" w:w="6822"/>
            <w:vAlign w:val="center"/>
            <w:tcMar>
              <w:top w:w="80" w:type="dxa"/>
              <w:bottom w:w="80" w:type="dxa"/>
              <w:left w:w="100" w:type="dxa"/>
              <w:right w:w="100" w:type="dxa"/>
            </w:tcMar>
            <w:shd w:fill="F4F7F8"/>
          </w:tcPr>
          <w:p>
            <w:pPr>
              <w:keepNext w:val="0"/>
              <w:spacing w:after="0" w:before="0" w:line="252" w:lineRule="auto"/>
              <w:jc w:val="center"/>
            </w:pPr>
            <w:r>
              <w:rPr>
                <w:sz w:val="20"/>
              </w:rPr>
              <w:t>46434E116</w:t>
            </w:r>
          </w:p>
        </w:tc>
      </w:tr>
      <w:tr>
        <w:trPr>
          <w:cantSplit/>
        </w:trPr>
        <w:tc>
          <w:tcPr>
            <w:tcW w:type="dxa" w:w="2924"/>
            <w:vAlign w:val="center"/>
            <w:tcMar>
              <w:top w:w="80" w:type="dxa"/>
              <w:bottom w:w="80" w:type="dxa"/>
              <w:left w:w="100" w:type="dxa"/>
              <w:right w:w="100" w:type="dxa"/>
            </w:tcMar>
            <w:shd w:fill="FFFFFF"/>
          </w:tcPr>
          <w:p>
            <w:pPr>
              <w:keepNext w:val="0"/>
              <w:spacing w:after="0" w:before="0" w:line="252" w:lineRule="auto"/>
            </w:pPr>
            <w:r>
              <w:rPr>
                <w:sz w:val="20"/>
              </w:rPr>
              <w:t>Reported net assets</w:t>
            </w:r>
          </w:p>
        </w:tc>
        <w:tc>
          <w:tcPr>
            <w:tcW w:type="dxa" w:w="6822"/>
            <w:vAlign w:val="center"/>
            <w:tcMar>
              <w:top w:w="80" w:type="dxa"/>
              <w:bottom w:w="80" w:type="dxa"/>
              <w:left w:w="100" w:type="dxa"/>
              <w:right w:w="100" w:type="dxa"/>
            </w:tcMar>
            <w:shd w:fill="FFFFFF"/>
          </w:tcPr>
          <w:p>
            <w:pPr>
              <w:keepNext w:val="0"/>
              <w:spacing w:after="0" w:before="0" w:line="252" w:lineRule="auto"/>
            </w:pPr>
            <w:r>
              <w:rPr>
                <w:sz w:val="20"/>
              </w:rPr>
              <w:t>CAD 142,759,158.00 as of 2026-09-22</w:t>
            </w:r>
          </w:p>
        </w:tc>
      </w:tr>
      <w:tr>
        <w:trPr>
          <w:cantSplit/>
        </w:trPr>
        <w:tc>
          <w:tcPr>
            <w:tcW w:type="dxa" w:w="2924"/>
            <w:vAlign w:val="center"/>
            <w:tcMar>
              <w:top w:w="80" w:type="dxa"/>
              <w:bottom w:w="80" w:type="dxa"/>
              <w:left w:w="100" w:type="dxa"/>
              <w:right w:w="100" w:type="dxa"/>
            </w:tcMar>
            <w:shd w:fill="F4F7F8"/>
          </w:tcPr>
          <w:p>
            <w:pPr>
              <w:keepNext w:val="0"/>
              <w:spacing w:after="0" w:before="0" w:line="252" w:lineRule="auto"/>
            </w:pPr>
            <w:r>
              <w:rPr>
                <w:sz w:val="20"/>
              </w:rPr>
              <w:t>Asset basis</w:t>
            </w:r>
          </w:p>
        </w:tc>
        <w:tc>
          <w:tcPr>
            <w:tcW w:type="dxa" w:w="6822"/>
            <w:vAlign w:val="center"/>
            <w:tcMar>
              <w:top w:w="80" w:type="dxa"/>
              <w:bottom w:w="80" w:type="dxa"/>
              <w:left w:w="100" w:type="dxa"/>
              <w:right w:w="100" w:type="dxa"/>
            </w:tcMar>
            <w:shd w:fill="F4F7F8"/>
          </w:tcPr>
          <w:p>
            <w:pPr>
              <w:keepNext w:val="0"/>
              <w:spacing w:after="0" w:before="0" w:line="252" w:lineRule="auto"/>
              <w:jc w:val="center"/>
            </w:pPr>
            <w:r>
              <w:rPr>
                <w:sz w:val="20"/>
              </w:rPr>
              <w:t>Currency unit class</w:t>
            </w:r>
          </w:p>
        </w:tc>
      </w:tr>
      <w:tr>
        <w:trPr>
          <w:cantSplit/>
        </w:trPr>
        <w:tc>
          <w:tcPr>
            <w:tcW w:type="dxa" w:w="2924"/>
            <w:vAlign w:val="center"/>
            <w:tcMar>
              <w:top w:w="80" w:type="dxa"/>
              <w:bottom w:w="80" w:type="dxa"/>
              <w:left w:w="100" w:type="dxa"/>
              <w:right w:w="100" w:type="dxa"/>
            </w:tcMar>
            <w:shd w:fill="FFFFFF"/>
          </w:tcPr>
          <w:p>
            <w:pPr>
              <w:keepNext w:val="0"/>
              <w:spacing w:after="0" w:before="0" w:line="252" w:lineRule="auto"/>
            </w:pPr>
            <w:r>
              <w:rPr>
                <w:sz w:val="20"/>
              </w:rPr>
              <w:t>Currency exposure</w:t>
            </w:r>
          </w:p>
        </w:tc>
        <w:tc>
          <w:tcPr>
            <w:tcW w:type="dxa" w:w="6822"/>
            <w:vAlign w:val="center"/>
            <w:tcMar>
              <w:top w:w="80" w:type="dxa"/>
              <w:bottom w:w="80" w:type="dxa"/>
              <w:left w:w="100" w:type="dxa"/>
              <w:right w:w="100" w:type="dxa"/>
            </w:tcMar>
            <w:shd w:fill="FFFFFF"/>
          </w:tcPr>
          <w:p>
            <w:pPr>
              <w:keepNext w:val="0"/>
              <w:spacing w:after="0" w:before="0" w:line="252" w:lineRule="auto"/>
              <w:jc w:val="center"/>
            </w:pPr>
            <w:r>
              <w:rPr>
                <w:sz w:val="20"/>
              </w:rPr>
              <w:t>Unhedged</w:t>
            </w:r>
          </w:p>
        </w:tc>
      </w:tr>
      <w:tr>
        <w:trPr>
          <w:cantSplit/>
        </w:trPr>
        <w:tc>
          <w:tcPr>
            <w:tcW w:type="dxa" w:w="2924"/>
            <w:vAlign w:val="center"/>
            <w:tcMar>
              <w:top w:w="80" w:type="dxa"/>
              <w:bottom w:w="80" w:type="dxa"/>
              <w:left w:w="100" w:type="dxa"/>
              <w:right w:w="100" w:type="dxa"/>
            </w:tcMar>
            <w:shd w:fill="F4F7F8"/>
          </w:tcPr>
          <w:p>
            <w:pPr>
              <w:keepNext w:val="0"/>
              <w:spacing w:after="0" w:before="0" w:line="252" w:lineRule="auto"/>
            </w:pPr>
            <w:r>
              <w:rPr>
                <w:sz w:val="20"/>
              </w:rPr>
              <w:t>Annual fee</w:t>
            </w:r>
          </w:p>
        </w:tc>
        <w:tc>
          <w:tcPr>
            <w:tcW w:type="dxa" w:w="6822"/>
            <w:vAlign w:val="center"/>
            <w:tcMar>
              <w:top w:w="80" w:type="dxa"/>
              <w:bottom w:w="80" w:type="dxa"/>
              <w:left w:w="100" w:type="dxa"/>
              <w:right w:w="100" w:type="dxa"/>
            </w:tcMar>
            <w:shd w:fill="F4F7F8"/>
          </w:tcPr>
          <w:p>
            <w:pPr>
              <w:keepNext w:val="0"/>
              <w:spacing w:after="0" w:before="0" w:line="252" w:lineRule="auto"/>
              <w:jc w:val="center"/>
            </w:pPr>
            <w:r>
              <w:rPr>
                <w:sz w:val="20"/>
              </w:rPr>
              <w:t>0.66% — Reported MER</w:t>
            </w:r>
          </w:p>
        </w:tc>
      </w:tr>
      <w:tr>
        <w:trPr>
          <w:cantSplit/>
        </w:trPr>
        <w:tc>
          <w:tcPr>
            <w:tcW w:type="dxa" w:w="2924"/>
            <w:vAlign w:val="center"/>
            <w:tcMar>
              <w:top w:w="80" w:type="dxa"/>
              <w:bottom w:w="80" w:type="dxa"/>
              <w:left w:w="100" w:type="dxa"/>
              <w:right w:w="100" w:type="dxa"/>
            </w:tcMar>
            <w:shd w:fill="FFFFFF"/>
          </w:tcPr>
          <w:p>
            <w:pPr>
              <w:keepNext w:val="0"/>
              <w:spacing w:after="0" w:before="0" w:line="252" w:lineRule="auto"/>
            </w:pPr>
            <w:r>
              <w:rPr>
                <w:sz w:val="20"/>
              </w:rPr>
              <w:t>Custodian</w:t>
            </w:r>
          </w:p>
        </w:tc>
        <w:tc>
          <w:tcPr>
            <w:tcW w:type="dxa" w:w="6822"/>
            <w:vAlign w:val="center"/>
            <w:tcMar>
              <w:top w:w="80" w:type="dxa"/>
              <w:bottom w:w="80" w:type="dxa"/>
              <w:left w:w="100" w:type="dxa"/>
              <w:right w:w="100" w:type="dxa"/>
            </w:tcMar>
            <w:shd w:fill="FFFFFF"/>
          </w:tcPr>
          <w:p>
            <w:pPr>
              <w:keepNext w:val="0"/>
              <w:spacing w:after="0" w:before="0" w:line="252" w:lineRule="auto"/>
            </w:pPr>
            <w:r>
              <w:rPr>
                <w:sz w:val="20"/>
              </w:rPr>
              <w:t>CIBC Mellon Trust Company (bullion). Royal Canadian Mint (subcustodian). State Street Trust Company Canada (non-bullion).</w:t>
            </w:r>
          </w:p>
        </w:tc>
      </w:tr>
      <w:tr>
        <w:trPr>
          <w:cantSplit/>
        </w:trPr>
        <w:tc>
          <w:tcPr>
            <w:tcW w:type="dxa" w:w="2924"/>
            <w:vAlign w:val="center"/>
            <w:tcMar>
              <w:top w:w="80" w:type="dxa"/>
              <w:bottom w:w="80" w:type="dxa"/>
              <w:left w:w="100" w:type="dxa"/>
              <w:right w:w="100" w:type="dxa"/>
            </w:tcMar>
            <w:shd w:fill="F4F7F8"/>
          </w:tcPr>
          <w:p>
            <w:pPr>
              <w:keepNext w:val="0"/>
              <w:spacing w:after="0" w:before="0" w:line="252" w:lineRule="auto"/>
            </w:pPr>
            <w:r>
              <w:rPr>
                <w:sz w:val="20"/>
              </w:rPr>
              <w:t>Custody evidence date</w:t>
            </w:r>
          </w:p>
        </w:tc>
        <w:tc>
          <w:tcPr>
            <w:tcW w:type="dxa" w:w="6822"/>
            <w:vAlign w:val="center"/>
            <w:tcMar>
              <w:top w:w="80" w:type="dxa"/>
              <w:bottom w:w="80" w:type="dxa"/>
              <w:left w:w="100" w:type="dxa"/>
              <w:right w:w="100" w:type="dxa"/>
            </w:tcMar>
            <w:shd w:fill="F4F7F8"/>
          </w:tcPr>
          <w:p>
            <w:pPr>
              <w:keepNext w:val="0"/>
              <w:spacing w:after="0" w:before="0" w:line="252" w:lineRule="auto"/>
              <w:jc w:val="center"/>
            </w:pPr>
            <w:r>
              <w:rPr>
                <w:sz w:val="20"/>
              </w:rPr>
              <w:t>2026-09-23</w:t>
            </w:r>
          </w:p>
        </w:tc>
      </w:tr>
      <w:tr>
        <w:trPr>
          <w:cantSplit/>
        </w:trPr>
        <w:tc>
          <w:tcPr>
            <w:tcW w:type="dxa" w:w="2924"/>
            <w:vAlign w:val="center"/>
            <w:tcMar>
              <w:top w:w="80" w:type="dxa"/>
              <w:bottom w:w="80" w:type="dxa"/>
              <w:left w:w="100" w:type="dxa"/>
              <w:right w:w="100" w:type="dxa"/>
            </w:tcMar>
            <w:shd w:fill="FFFFFF"/>
          </w:tcPr>
          <w:p>
            <w:pPr>
              <w:keepNext w:val="0"/>
              <w:spacing w:after="0" w:before="0" w:line="252" w:lineRule="auto"/>
            </w:pPr>
            <w:r>
              <w:rPr>
                <w:sz w:val="20"/>
              </w:rPr>
              <w:t>Reported metal quantity</w:t>
            </w:r>
          </w:p>
        </w:tc>
        <w:tc>
          <w:tcPr>
            <w:tcW w:type="dxa" w:w="6822"/>
            <w:vAlign w:val="center"/>
            <w:tcMar>
              <w:top w:w="80" w:type="dxa"/>
              <w:bottom w:w="80" w:type="dxa"/>
              <w:left w:w="100" w:type="dxa"/>
              <w:right w:w="100" w:type="dxa"/>
            </w:tcMar>
            <w:shd w:fill="FFFFFF"/>
          </w:tcPr>
          <w:p>
            <w:pPr>
              <w:keepNext w:val="0"/>
              <w:spacing w:after="0" w:before="0" w:line="252" w:lineRule="auto"/>
            </w:pPr>
            <w:r>
              <w:rPr>
                <w:sz w:val="20"/>
              </w:rPr>
              <w:t>1,543,515.73 troy ounces; 48.01 tonnes; dated 2026-09-22 — Quantity attributed to this currency class on its issuer page</w:t>
            </w:r>
          </w:p>
        </w:tc>
      </w:tr>
    </w:tbl>
    <w:p>
      <w:pPr>
        <w:spacing w:after="60" w:before="0" w:line="40" w:lineRule="exact"/>
      </w:pPr>
      <w:r>
        <w:rPr>
          <w:sz w:val="4"/>
        </w:rPr>
      </w:r>
    </w:p>
    <w:p>
      <w:r>
        <w:rPr>
          <w:b/>
        </w:rPr>
        <w:t xml:space="preserve">Fee definition. </w:t>
      </w:r>
      <w:r>
        <w:t>Management fee 0.60% per year. Displayed MER includes management fee and applicable expenses/taxes. MER is the issuer’s reported expense measure, not a guaranteed forward total.</w:t>
      </w:r>
    </w:p>
    <w:p>
      <w:r>
        <w:rPr>
          <w:b/>
        </w:rPr>
        <w:t xml:space="preserve">Allocation. </w:t>
      </w:r>
      <w:r>
        <w:t>Investment restrictions require allocated and segregated storage. The prospectus explicitly permits periods of unallocated exposure between bullion purchase and full allocation, and during redemption.</w:t>
      </w:r>
    </w:p>
    <w:p>
      <w:r>
        <w:rPr>
          <w:b/>
        </w:rPr>
        <w:t xml:space="preserve">Bullion storage. </w:t>
      </w:r>
      <w:r>
        <w:t>Prospectus requires the majority in Canada and permits remaining bullion in the US and/or UK. May 2026 amendment says Loomis will replace IDS as subcustodian to the Royal Canadian Mint; operational completion is not established.</w:t>
      </w:r>
    </w:p>
    <w:p>
      <w:r>
        <w:rPr>
          <w:b/>
        </w:rPr>
        <w:t xml:space="preserve">Location holding limits. </w:t>
      </w:r>
      <w:r>
        <w:t>The prospectus requires the majority of each fund’s bullion to be held in Canada; the remainder may be in the US and/or UK. Read ordinarily, majority implies more than 50% in Canada and less than 50% in the US and UK combined; those percentages are an interpretation of the word majority, not numerical caps printed in the clause. No separate country split between the US and UK, or limit per individual vault, is specified in the reviewed storage clause.</w:t>
      </w:r>
    </w:p>
    <w:p>
      <w:r>
        <w:rPr>
          <w:b/>
        </w:rPr>
        <w:t xml:space="preserve">Limit scope. </w:t>
      </w:r>
      <w:r>
        <w:t>Each legal bullion fund, across its hedged and unhedged unit classes; not an independent quota for each class.</w:t>
      </w:r>
    </w:p>
    <w:p>
      <w:r>
        <w:rPr>
          <w:b w:val="0"/>
        </w:rPr>
        <w:t>This is a unit class of the same legal fund as SVR. Class-level AUM and metal quantities are shown, rather than repeating the whole fund.</w:t>
      </w:r>
    </w:p>
    <w:p>
      <w:r>
        <w:rPr>
          <w:b/>
        </w:rPr>
        <w:t xml:space="preserve">Location clause source. </w:t>
      </w:r>
      <w:hyperlink r:id="rId64">
        <w:r>
          <w:rPr>
            <w:color w:val="235779"/>
            <w:u w:val="single"/>
          </w:rPr>
          <w:t>Prospectus and amendment: custody, storage and unallocated risk</w:t>
        </w:r>
      </w:hyperlink>
      <w:r>
        <w:t xml:space="preserve"> — Investment Strategies, printed p. 13 / PDF page 21</w:t>
      </w:r>
    </w:p>
    <w:p>
      <w:pPr>
        <w:pStyle w:val="Heading2"/>
        <w:pageBreakBefore w:val="0"/>
      </w:pPr>
      <w:r>
        <w:t>Recorded listings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86"/>
        <w:gridCol w:w="1754"/>
        <w:gridCol w:w="1169"/>
        <w:gridCol w:w="2436"/>
      </w:tblGrid>
      <w:tr>
        <w:trPr>
          <w:tblHeader/>
          <w:cantSplit/>
        </w:trPr>
        <w:tc>
          <w:tcPr>
            <w:tcW w:type="dxa" w:w="4386"/>
            <w:vAlign w:val="center"/>
            <w:tcMar>
              <w:top w:w="80" w:type="dxa"/>
              <w:bottom w:w="80" w:type="dxa"/>
              <w:left w:w="100" w:type="dxa"/>
              <w:right w:w="100" w:type="dxa"/>
            </w:tcMar>
            <w:shd w:fill="DCE6EB"/>
          </w:tcPr>
          <w:p>
            <w:pPr>
              <w:keepNext/>
              <w:spacing w:after="0" w:before="0" w:line="252" w:lineRule="auto"/>
            </w:pPr>
            <w:r>
              <w:rPr>
                <w:b/>
                <w:sz w:val="20"/>
              </w:rPr>
              <w:t>Exchange</w:t>
            </w:r>
          </w:p>
        </w:tc>
        <w:tc>
          <w:tcPr>
            <w:tcW w:type="dxa" w:w="1754"/>
            <w:vAlign w:val="center"/>
            <w:tcMar>
              <w:top w:w="80" w:type="dxa"/>
              <w:bottom w:w="80" w:type="dxa"/>
              <w:left w:w="100" w:type="dxa"/>
              <w:right w:w="100" w:type="dxa"/>
            </w:tcMar>
            <w:shd w:fill="DCE6EB"/>
          </w:tcPr>
          <w:p>
            <w:pPr>
              <w:keepNext/>
              <w:spacing w:after="0" w:before="0" w:line="252" w:lineRule="auto"/>
              <w:jc w:val="center"/>
            </w:pPr>
            <w:r>
              <w:rPr>
                <w:b/>
                <w:sz w:val="20"/>
              </w:rPr>
              <w:t>Ticker</w:t>
            </w:r>
          </w:p>
        </w:tc>
        <w:tc>
          <w:tcPr>
            <w:tcW w:type="dxa" w:w="1169"/>
            <w:vAlign w:val="center"/>
            <w:tcMar>
              <w:top w:w="80" w:type="dxa"/>
              <w:bottom w:w="80" w:type="dxa"/>
              <w:left w:w="100" w:type="dxa"/>
              <w:right w:w="100" w:type="dxa"/>
            </w:tcMar>
            <w:shd w:fill="DCE6EB"/>
          </w:tcPr>
          <w:p>
            <w:pPr>
              <w:keepNext/>
              <w:spacing w:after="0" w:before="0" w:line="252" w:lineRule="auto"/>
              <w:jc w:val="center"/>
            </w:pPr>
            <w:r>
              <w:rPr>
                <w:b/>
                <w:sz w:val="20"/>
              </w:rPr>
              <w:t>Currency</w:t>
            </w:r>
          </w:p>
        </w:tc>
        <w:tc>
          <w:tcPr>
            <w:tcW w:type="dxa" w:w="2436"/>
            <w:vAlign w:val="center"/>
            <w:tcMar>
              <w:top w:w="80" w:type="dxa"/>
              <w:bottom w:w="80" w:type="dxa"/>
              <w:left w:w="100" w:type="dxa"/>
              <w:right w:w="100" w:type="dxa"/>
            </w:tcMar>
            <w:shd w:fill="DCE6EB"/>
          </w:tcPr>
          <w:p>
            <w:pPr>
              <w:keepNext/>
              <w:spacing w:after="0" w:before="0" w:line="252" w:lineRule="auto"/>
              <w:jc w:val="center"/>
            </w:pPr>
            <w:r>
              <w:rPr>
                <w:b/>
                <w:sz w:val="20"/>
              </w:rPr>
              <w:t>Listing date</w:t>
            </w:r>
          </w:p>
        </w:tc>
      </w:tr>
      <w:tr>
        <w:trPr>
          <w:cantSplit/>
        </w:trPr>
        <w:tc>
          <w:tcPr>
            <w:tcW w:type="dxa" w:w="4386"/>
            <w:vAlign w:val="center"/>
            <w:tcMar>
              <w:top w:w="80" w:type="dxa"/>
              <w:bottom w:w="80" w:type="dxa"/>
              <w:left w:w="100" w:type="dxa"/>
              <w:right w:w="100" w:type="dxa"/>
            </w:tcMar>
            <w:shd w:fill="FFFFFF"/>
          </w:tcPr>
          <w:p>
            <w:pPr>
              <w:keepNext w:val="0"/>
              <w:spacing w:after="0" w:before="0" w:line="252" w:lineRule="auto"/>
            </w:pPr>
            <w:r>
              <w:rPr>
                <w:sz w:val="20"/>
              </w:rPr>
              <w:t>Toronto Stock Exchange</w:t>
            </w:r>
          </w:p>
        </w:tc>
        <w:tc>
          <w:tcPr>
            <w:tcW w:type="dxa" w:w="1754"/>
            <w:vAlign w:val="center"/>
            <w:tcMar>
              <w:top w:w="80" w:type="dxa"/>
              <w:bottom w:w="80" w:type="dxa"/>
              <w:left w:w="100" w:type="dxa"/>
              <w:right w:w="100" w:type="dxa"/>
            </w:tcMar>
            <w:shd w:fill="FFFFFF"/>
          </w:tcPr>
          <w:p>
            <w:pPr>
              <w:keepNext w:val="0"/>
              <w:spacing w:after="0" w:before="0" w:line="252" w:lineRule="auto"/>
              <w:jc w:val="center"/>
            </w:pPr>
            <w:r>
              <w:rPr>
                <w:sz w:val="20"/>
              </w:rPr>
              <w:t>SVR.C</w:t>
            </w:r>
          </w:p>
        </w:tc>
        <w:tc>
          <w:tcPr>
            <w:tcW w:type="dxa" w:w="1169"/>
            <w:vAlign w:val="center"/>
            <w:tcMar>
              <w:top w:w="80" w:type="dxa"/>
              <w:bottom w:w="80" w:type="dxa"/>
              <w:left w:w="100" w:type="dxa"/>
              <w:right w:w="100" w:type="dxa"/>
            </w:tcMar>
            <w:shd w:fill="FFFFFF"/>
          </w:tcPr>
          <w:p>
            <w:pPr>
              <w:keepNext w:val="0"/>
              <w:spacing w:after="0" w:before="0" w:line="252" w:lineRule="auto"/>
              <w:jc w:val="center"/>
            </w:pPr>
            <w:r>
              <w:rPr>
                <w:sz w:val="20"/>
              </w:rPr>
              <w:t>CAD</w:t>
            </w:r>
          </w:p>
        </w:tc>
        <w:tc>
          <w:tcPr>
            <w:tcW w:type="dxa" w:w="2436"/>
            <w:vAlign w:val="center"/>
            <w:tcMar>
              <w:top w:w="80" w:type="dxa"/>
              <w:bottom w:w="80" w:type="dxa"/>
              <w:left w:w="100" w:type="dxa"/>
              <w:right w:w="100" w:type="dxa"/>
            </w:tcMar>
            <w:shd w:fill="FFFFFF"/>
          </w:tcPr>
          <w:p>
            <w:pPr>
              <w:keepNext w:val="0"/>
              <w:spacing w:after="0" w:before="0" w:line="252" w:lineRule="auto"/>
              <w:jc w:val="center"/>
            </w:pPr>
            <w:r>
              <w:rPr>
                <w:sz w:val="20"/>
              </w:rPr>
              <w:t>See issuer page</w:t>
            </w:r>
          </w:p>
        </w:tc>
      </w:tr>
    </w:tbl>
    <w:p>
      <w:pPr>
        <w:spacing w:after="60" w:before="0" w:line="40" w:lineRule="exact"/>
      </w:pPr>
      <w:r>
        <w:rPr>
          <w:sz w:val="4"/>
        </w:rPr>
      </w:r>
    </w:p>
    <w:p>
      <w:pPr>
        <w:pStyle w:val="Heading2"/>
        <w:pageBreakBefore w:val="0"/>
      </w:pPr>
      <w:r>
        <w:t>Sources</w:t>
      </w:r>
    </w:p>
    <w:p>
      <w:pPr>
        <w:spacing w:after="80"/>
      </w:pPr>
      <w:hyperlink r:id="rId73">
        <w:r>
          <w:rPr>
            <w:color w:val="235779"/>
            <w:u w:val="single"/>
          </w:rPr>
          <w:t>Issuer product page</w:t>
        </w:r>
      </w:hyperlink>
      <w:r>
        <w:t xml:space="preserve">  ·  </w:t>
      </w:r>
      <w:hyperlink r:id="rId74">
        <w:r>
          <w:rPr>
            <w:color w:val="235779"/>
            <w:u w:val="single"/>
          </w:rPr>
          <w:t>Saved source</w:t>
        </w:r>
      </w:hyperlink>
    </w:p>
    <w:p>
      <w:pPr>
        <w:spacing w:after="80"/>
      </w:pPr>
      <w:hyperlink r:id="rId67">
        <w:r>
          <w:rPr>
            <w:color w:val="235779"/>
            <w:u w:val="single"/>
          </w:rPr>
          <w:t>Prospectus and amendment: custody, storage and unallocated risk</w:t>
        </w:r>
      </w:hyperlink>
      <w:r>
        <w:t xml:space="preserve">  ·  </w:t>
      </w:r>
      <w:hyperlink r:id="rId68">
        <w:r>
          <w:rPr>
            <w:color w:val="235779"/>
            <w:u w:val="single"/>
          </w:rPr>
          <w:t>Saved source</w:t>
        </w:r>
      </w:hyperlink>
    </w:p>
    <w:p>
      <w:bookmarkStart w:id="19" w:name="product_17"/>
      <w:pPr>
        <w:pStyle w:val="Heading1"/>
        <w:pageBreakBefore w:val="0"/>
        <w:spacing w:before="360"/>
      </w:pPr>
      <w:r>
        <w:t>17  iShares Physical Gold ETF</w:t>
      </w:r>
      <w:bookmarkEnd w:id="19"/>
    </w:p>
    <w:p>
      <w:pPr>
        <w:keepNext/>
      </w:pPr>
      <w:r>
        <w:rPr>
          <w:b/>
        </w:rPr>
        <w:t>GLDN  |  Australia  |  Gold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24"/>
        <w:gridCol w:w="6822"/>
      </w:tblGrid>
      <w:tr>
        <w:trPr>
          <w:tblHeader/>
          <w:cantSplit/>
        </w:trPr>
        <w:tc>
          <w:tcPr>
            <w:tcW w:type="dxa" w:w="2924"/>
            <w:vAlign w:val="center"/>
            <w:tcMar>
              <w:top w:w="80" w:type="dxa"/>
              <w:bottom w:w="80" w:type="dxa"/>
              <w:left w:w="100" w:type="dxa"/>
              <w:right w:w="100" w:type="dxa"/>
            </w:tcMar>
            <w:shd w:fill="DCE6EB"/>
          </w:tcPr>
          <w:p>
            <w:pPr>
              <w:keepNext/>
              <w:spacing w:after="0" w:before="0" w:line="252" w:lineRule="auto"/>
            </w:pPr>
            <w:r>
              <w:rPr>
                <w:b/>
                <w:sz w:val="20"/>
              </w:rPr>
              <w:t>Field</w:t>
            </w:r>
          </w:p>
        </w:tc>
        <w:tc>
          <w:tcPr>
            <w:tcW w:type="dxa" w:w="6822"/>
            <w:vAlign w:val="center"/>
            <w:tcMar>
              <w:top w:w="80" w:type="dxa"/>
              <w:bottom w:w="80" w:type="dxa"/>
              <w:left w:w="100" w:type="dxa"/>
              <w:right w:w="100" w:type="dxa"/>
            </w:tcMar>
            <w:shd w:fill="DCE6EB"/>
          </w:tcPr>
          <w:p>
            <w:pPr>
              <w:keepNext/>
              <w:spacing w:after="0" w:before="0" w:line="252" w:lineRule="auto"/>
              <w:jc w:val="center"/>
            </w:pPr>
            <w:r>
              <w:rPr>
                <w:b/>
                <w:sz w:val="20"/>
              </w:rPr>
              <w:t>Detail</w:t>
            </w:r>
          </w:p>
        </w:tc>
      </w:tr>
      <w:tr>
        <w:trPr>
          <w:cantSplit/>
        </w:trPr>
        <w:tc>
          <w:tcPr>
            <w:tcW w:type="dxa" w:w="2924"/>
            <w:vAlign w:val="center"/>
            <w:tcMar>
              <w:top w:w="80" w:type="dxa"/>
              <w:bottom w:w="80" w:type="dxa"/>
              <w:left w:w="100" w:type="dxa"/>
              <w:right w:w="100" w:type="dxa"/>
            </w:tcMar>
            <w:shd w:fill="FFFFFF"/>
          </w:tcPr>
          <w:p>
            <w:pPr>
              <w:keepNext w:val="0"/>
              <w:spacing w:after="0" w:before="0" w:line="252" w:lineRule="auto"/>
            </w:pPr>
            <w:r>
              <w:rPr>
                <w:sz w:val="20"/>
              </w:rPr>
              <w:t>Legal form</w:t>
            </w:r>
          </w:p>
        </w:tc>
        <w:tc>
          <w:tcPr>
            <w:tcW w:type="dxa" w:w="6822"/>
            <w:vAlign w:val="center"/>
            <w:tcMar>
              <w:top w:w="80" w:type="dxa"/>
              <w:bottom w:w="80" w:type="dxa"/>
              <w:left w:w="100" w:type="dxa"/>
              <w:right w:w="100" w:type="dxa"/>
            </w:tcMar>
            <w:shd w:fill="FFFFFF"/>
          </w:tcPr>
          <w:p>
            <w:pPr>
              <w:keepNext w:val="0"/>
              <w:spacing w:after="0" w:before="0" w:line="252" w:lineRule="auto"/>
            </w:pPr>
            <w:r>
              <w:rPr>
                <w:sz w:val="20"/>
              </w:rPr>
              <w:t>Australian managed investment scheme ETF</w:t>
            </w:r>
          </w:p>
        </w:tc>
      </w:tr>
      <w:tr>
        <w:trPr>
          <w:cantSplit/>
        </w:trPr>
        <w:tc>
          <w:tcPr>
            <w:tcW w:type="dxa" w:w="2924"/>
            <w:vAlign w:val="center"/>
            <w:tcMar>
              <w:top w:w="80" w:type="dxa"/>
              <w:bottom w:w="80" w:type="dxa"/>
              <w:left w:w="100" w:type="dxa"/>
              <w:right w:w="100" w:type="dxa"/>
            </w:tcMar>
            <w:shd w:fill="F4F7F8"/>
          </w:tcPr>
          <w:p>
            <w:pPr>
              <w:keepNext w:val="0"/>
              <w:spacing w:after="0" w:before="0" w:line="252" w:lineRule="auto"/>
            </w:pPr>
            <w:r>
              <w:rPr>
                <w:sz w:val="20"/>
              </w:rPr>
              <w:t>Issuer or sponsor</w:t>
            </w:r>
          </w:p>
        </w:tc>
        <w:tc>
          <w:tcPr>
            <w:tcW w:type="dxa" w:w="6822"/>
            <w:vAlign w:val="center"/>
            <w:tcMar>
              <w:top w:w="80" w:type="dxa"/>
              <w:bottom w:w="80" w:type="dxa"/>
              <w:left w:w="100" w:type="dxa"/>
              <w:right w:w="100" w:type="dxa"/>
            </w:tcMar>
            <w:shd w:fill="F4F7F8"/>
          </w:tcPr>
          <w:p>
            <w:pPr>
              <w:keepNext w:val="0"/>
              <w:spacing w:after="0" w:before="0" w:line="252" w:lineRule="auto"/>
            </w:pPr>
            <w:r>
              <w:rPr>
                <w:sz w:val="20"/>
              </w:rPr>
              <w:t>BlackRock Investment Management (Australia) Limited (responsible entity)</w:t>
            </w:r>
          </w:p>
        </w:tc>
      </w:tr>
      <w:tr>
        <w:trPr>
          <w:cantSplit/>
        </w:trPr>
        <w:tc>
          <w:tcPr>
            <w:tcW w:type="dxa" w:w="2924"/>
            <w:vAlign w:val="center"/>
            <w:tcMar>
              <w:top w:w="80" w:type="dxa"/>
              <w:bottom w:w="80" w:type="dxa"/>
              <w:left w:w="100" w:type="dxa"/>
              <w:right w:w="100" w:type="dxa"/>
            </w:tcMar>
            <w:shd w:fill="FFFFFF"/>
          </w:tcPr>
          <w:p>
            <w:pPr>
              <w:keepNext w:val="0"/>
              <w:spacing w:after="0" w:before="0" w:line="252" w:lineRule="auto"/>
            </w:pPr>
            <w:r>
              <w:rPr>
                <w:sz w:val="20"/>
              </w:rPr>
              <w:t>Launch or class inception</w:t>
            </w:r>
          </w:p>
        </w:tc>
        <w:tc>
          <w:tcPr>
            <w:tcW w:type="dxa" w:w="6822"/>
            <w:vAlign w:val="center"/>
            <w:tcMar>
              <w:top w:w="80" w:type="dxa"/>
              <w:bottom w:w="80" w:type="dxa"/>
              <w:left w:w="100" w:type="dxa"/>
              <w:right w:w="100" w:type="dxa"/>
            </w:tcMar>
            <w:shd w:fill="FFFFFF"/>
          </w:tcPr>
          <w:p>
            <w:pPr>
              <w:keepNext w:val="0"/>
              <w:spacing w:after="0" w:before="0" w:line="252" w:lineRule="auto"/>
              <w:jc w:val="center"/>
            </w:pPr>
            <w:r>
              <w:rPr>
                <w:sz w:val="20"/>
              </w:rPr>
              <w:t>2023-10-27</w:t>
            </w:r>
          </w:p>
        </w:tc>
      </w:tr>
      <w:tr>
        <w:trPr>
          <w:cantSplit/>
        </w:trPr>
        <w:tc>
          <w:tcPr>
            <w:tcW w:type="dxa" w:w="2924"/>
            <w:vAlign w:val="center"/>
            <w:tcMar>
              <w:top w:w="80" w:type="dxa"/>
              <w:bottom w:w="80" w:type="dxa"/>
              <w:left w:w="100" w:type="dxa"/>
              <w:right w:w="100" w:type="dxa"/>
            </w:tcMar>
            <w:shd w:fill="F4F7F8"/>
          </w:tcPr>
          <w:p>
            <w:pPr>
              <w:keepNext w:val="0"/>
              <w:spacing w:after="0" w:before="0" w:line="252" w:lineRule="auto"/>
            </w:pPr>
            <w:r>
              <w:rPr>
                <w:sz w:val="20"/>
              </w:rPr>
              <w:t>ISIN / CUSIP</w:t>
            </w:r>
          </w:p>
        </w:tc>
        <w:tc>
          <w:tcPr>
            <w:tcW w:type="dxa" w:w="6822"/>
            <w:vAlign w:val="center"/>
            <w:tcMar>
              <w:top w:w="80" w:type="dxa"/>
              <w:bottom w:w="80" w:type="dxa"/>
              <w:left w:w="100" w:type="dxa"/>
              <w:right w:w="100" w:type="dxa"/>
            </w:tcMar>
            <w:shd w:fill="F4F7F8"/>
          </w:tcPr>
          <w:p>
            <w:pPr>
              <w:keepNext w:val="0"/>
              <w:spacing w:after="0" w:before="0" w:line="252" w:lineRule="auto"/>
              <w:jc w:val="center"/>
            </w:pPr>
            <w:r>
              <w:rPr>
                <w:sz w:val="20"/>
              </w:rPr>
              <w:t>AU0000292930</w:t>
            </w:r>
          </w:p>
        </w:tc>
      </w:tr>
      <w:tr>
        <w:trPr>
          <w:cantSplit/>
        </w:trPr>
        <w:tc>
          <w:tcPr>
            <w:tcW w:type="dxa" w:w="2924"/>
            <w:vAlign w:val="center"/>
            <w:tcMar>
              <w:top w:w="80" w:type="dxa"/>
              <w:bottom w:w="80" w:type="dxa"/>
              <w:left w:w="100" w:type="dxa"/>
              <w:right w:w="100" w:type="dxa"/>
            </w:tcMar>
            <w:shd w:fill="FFFFFF"/>
          </w:tcPr>
          <w:p>
            <w:pPr>
              <w:keepNext w:val="0"/>
              <w:spacing w:after="0" w:before="0" w:line="252" w:lineRule="auto"/>
            </w:pPr>
            <w:r>
              <w:rPr>
                <w:sz w:val="20"/>
              </w:rPr>
              <w:t>Reported net assets</w:t>
            </w:r>
          </w:p>
        </w:tc>
        <w:tc>
          <w:tcPr>
            <w:tcW w:type="dxa" w:w="6822"/>
            <w:vAlign w:val="center"/>
            <w:tcMar>
              <w:top w:w="80" w:type="dxa"/>
              <w:bottom w:w="80" w:type="dxa"/>
              <w:left w:w="100" w:type="dxa"/>
              <w:right w:w="100" w:type="dxa"/>
            </w:tcMar>
            <w:shd w:fill="FFFFFF"/>
          </w:tcPr>
          <w:p>
            <w:pPr>
              <w:keepNext w:val="0"/>
              <w:spacing w:after="0" w:before="0" w:line="252" w:lineRule="auto"/>
            </w:pPr>
            <w:r>
              <w:rPr>
                <w:sz w:val="20"/>
              </w:rPr>
              <w:t>AUD 461,275,190.67 as of 2026-09-22</w:t>
            </w:r>
          </w:p>
        </w:tc>
      </w:tr>
      <w:tr>
        <w:trPr>
          <w:cantSplit/>
        </w:trPr>
        <w:tc>
          <w:tcPr>
            <w:tcW w:type="dxa" w:w="2924"/>
            <w:vAlign w:val="center"/>
            <w:tcMar>
              <w:top w:w="80" w:type="dxa"/>
              <w:bottom w:w="80" w:type="dxa"/>
              <w:left w:w="100" w:type="dxa"/>
              <w:right w:w="100" w:type="dxa"/>
            </w:tcMar>
            <w:shd w:fill="F4F7F8"/>
          </w:tcPr>
          <w:p>
            <w:pPr>
              <w:keepNext w:val="0"/>
              <w:spacing w:after="0" w:before="0" w:line="252" w:lineRule="auto"/>
            </w:pPr>
            <w:r>
              <w:rPr>
                <w:sz w:val="20"/>
              </w:rPr>
              <w:t>Asset basis</w:t>
            </w:r>
          </w:p>
        </w:tc>
        <w:tc>
          <w:tcPr>
            <w:tcW w:type="dxa" w:w="6822"/>
            <w:vAlign w:val="center"/>
            <w:tcMar>
              <w:top w:w="80" w:type="dxa"/>
              <w:bottom w:w="80" w:type="dxa"/>
              <w:left w:w="100" w:type="dxa"/>
              <w:right w:w="100" w:type="dxa"/>
            </w:tcMar>
            <w:shd w:fill="F4F7F8"/>
          </w:tcPr>
          <w:p>
            <w:pPr>
              <w:keepNext w:val="0"/>
              <w:spacing w:after="0" w:before="0" w:line="252" w:lineRule="auto"/>
              <w:jc w:val="center"/>
            </w:pPr>
            <w:r>
              <w:rPr>
                <w:sz w:val="20"/>
              </w:rPr>
              <w:t>Feeder ETF net assets</w:t>
            </w:r>
          </w:p>
        </w:tc>
      </w:tr>
      <w:tr>
        <w:trPr>
          <w:cantSplit/>
        </w:trPr>
        <w:tc>
          <w:tcPr>
            <w:tcW w:type="dxa" w:w="2924"/>
            <w:vAlign w:val="center"/>
            <w:tcMar>
              <w:top w:w="80" w:type="dxa"/>
              <w:bottom w:w="80" w:type="dxa"/>
              <w:left w:w="100" w:type="dxa"/>
              <w:right w:w="100" w:type="dxa"/>
            </w:tcMar>
            <w:shd w:fill="FFFFFF"/>
          </w:tcPr>
          <w:p>
            <w:pPr>
              <w:keepNext w:val="0"/>
              <w:spacing w:after="0" w:before="0" w:line="252" w:lineRule="auto"/>
            </w:pPr>
            <w:r>
              <w:rPr>
                <w:sz w:val="20"/>
              </w:rPr>
              <w:t>Currency exposure</w:t>
            </w:r>
          </w:p>
        </w:tc>
        <w:tc>
          <w:tcPr>
            <w:tcW w:type="dxa" w:w="6822"/>
            <w:vAlign w:val="center"/>
            <w:tcMar>
              <w:top w:w="80" w:type="dxa"/>
              <w:bottom w:w="80" w:type="dxa"/>
              <w:left w:w="100" w:type="dxa"/>
              <w:right w:w="100" w:type="dxa"/>
            </w:tcMar>
            <w:shd w:fill="FFFFFF"/>
          </w:tcPr>
          <w:p>
            <w:pPr>
              <w:keepNext w:val="0"/>
              <w:spacing w:after="0" w:before="0" w:line="252" w:lineRule="auto"/>
              <w:jc w:val="center"/>
            </w:pPr>
            <w:r>
              <w:rPr>
                <w:sz w:val="20"/>
              </w:rPr>
              <w:t>Unhedged</w:t>
            </w:r>
          </w:p>
        </w:tc>
      </w:tr>
      <w:tr>
        <w:trPr>
          <w:cantSplit/>
        </w:trPr>
        <w:tc>
          <w:tcPr>
            <w:tcW w:type="dxa" w:w="2924"/>
            <w:vAlign w:val="center"/>
            <w:tcMar>
              <w:top w:w="80" w:type="dxa"/>
              <w:bottom w:w="80" w:type="dxa"/>
              <w:left w:w="100" w:type="dxa"/>
              <w:right w:w="100" w:type="dxa"/>
            </w:tcMar>
            <w:shd w:fill="F4F7F8"/>
          </w:tcPr>
          <w:p>
            <w:pPr>
              <w:keepNext w:val="0"/>
              <w:spacing w:after="0" w:before="0" w:line="252" w:lineRule="auto"/>
            </w:pPr>
            <w:r>
              <w:rPr>
                <w:sz w:val="20"/>
              </w:rPr>
              <w:t>Annual fee</w:t>
            </w:r>
          </w:p>
        </w:tc>
        <w:tc>
          <w:tcPr>
            <w:tcW w:type="dxa" w:w="6822"/>
            <w:vAlign w:val="center"/>
            <w:tcMar>
              <w:top w:w="80" w:type="dxa"/>
              <w:bottom w:w="80" w:type="dxa"/>
              <w:left w:w="100" w:type="dxa"/>
              <w:right w:w="100" w:type="dxa"/>
            </w:tcMar>
            <w:shd w:fill="F4F7F8"/>
          </w:tcPr>
          <w:p>
            <w:pPr>
              <w:keepNext w:val="0"/>
              <w:spacing w:after="0" w:before="0" w:line="252" w:lineRule="auto"/>
            </w:pPr>
            <w:r>
              <w:rPr>
                <w:sz w:val="20"/>
              </w:rPr>
              <w:t>0.18% — Management fees and costs</w:t>
            </w:r>
          </w:p>
        </w:tc>
      </w:tr>
      <w:tr>
        <w:trPr>
          <w:cantSplit/>
        </w:trPr>
        <w:tc>
          <w:tcPr>
            <w:tcW w:type="dxa" w:w="2924"/>
            <w:vAlign w:val="center"/>
            <w:tcMar>
              <w:top w:w="80" w:type="dxa"/>
              <w:bottom w:w="80" w:type="dxa"/>
              <w:left w:w="100" w:type="dxa"/>
              <w:right w:w="100" w:type="dxa"/>
            </w:tcMar>
            <w:shd w:fill="FFFFFF"/>
          </w:tcPr>
          <w:p>
            <w:pPr>
              <w:keepNext w:val="0"/>
              <w:spacing w:after="0" w:before="0" w:line="252" w:lineRule="auto"/>
            </w:pPr>
            <w:r>
              <w:rPr>
                <w:sz w:val="20"/>
              </w:rPr>
              <w:t>Custodian</w:t>
            </w:r>
          </w:p>
        </w:tc>
        <w:tc>
          <w:tcPr>
            <w:tcW w:type="dxa" w:w="6822"/>
            <w:vAlign w:val="center"/>
            <w:tcMar>
              <w:top w:w="80" w:type="dxa"/>
              <w:bottom w:w="80" w:type="dxa"/>
              <w:left w:w="100" w:type="dxa"/>
              <w:right w:w="100" w:type="dxa"/>
            </w:tcMar>
            <w:shd w:fill="FFFFFF"/>
          </w:tcPr>
          <w:p>
            <w:pPr>
              <w:keepNext w:val="0"/>
              <w:spacing w:after="0" w:before="0" w:line="252" w:lineRule="auto"/>
            </w:pPr>
            <w:r>
              <w:rPr>
                <w:sz w:val="20"/>
              </w:rPr>
              <w:t>JPMorgan Chase Bank N.A., Sydney branch (fund). Underlying bullion: JPMorgan, London.</w:t>
            </w:r>
          </w:p>
        </w:tc>
      </w:tr>
      <w:tr>
        <w:trPr>
          <w:cantSplit/>
        </w:trPr>
        <w:tc>
          <w:tcPr>
            <w:tcW w:type="dxa" w:w="2924"/>
            <w:vAlign w:val="center"/>
            <w:tcMar>
              <w:top w:w="80" w:type="dxa"/>
              <w:bottom w:w="80" w:type="dxa"/>
              <w:left w:w="100" w:type="dxa"/>
              <w:right w:w="100" w:type="dxa"/>
            </w:tcMar>
            <w:shd w:fill="F4F7F8"/>
          </w:tcPr>
          <w:p>
            <w:pPr>
              <w:keepNext w:val="0"/>
              <w:spacing w:after="0" w:before="0" w:line="252" w:lineRule="auto"/>
            </w:pPr>
            <w:r>
              <w:rPr>
                <w:sz w:val="20"/>
              </w:rPr>
              <w:t>Custody evidence date</w:t>
            </w:r>
          </w:p>
        </w:tc>
        <w:tc>
          <w:tcPr>
            <w:tcW w:type="dxa" w:w="6822"/>
            <w:vAlign w:val="center"/>
            <w:tcMar>
              <w:top w:w="80" w:type="dxa"/>
              <w:bottom w:w="80" w:type="dxa"/>
              <w:left w:w="100" w:type="dxa"/>
              <w:right w:w="100" w:type="dxa"/>
            </w:tcMar>
            <w:shd w:fill="F4F7F8"/>
          </w:tcPr>
          <w:p>
            <w:pPr>
              <w:keepNext w:val="0"/>
              <w:spacing w:after="0" w:before="0" w:line="252" w:lineRule="auto"/>
              <w:jc w:val="center"/>
            </w:pPr>
            <w:r>
              <w:rPr>
                <w:sz w:val="20"/>
              </w:rPr>
              <w:t>2026-09-23</w:t>
            </w:r>
          </w:p>
        </w:tc>
      </w:tr>
      <w:tr>
        <w:trPr>
          <w:cantSplit/>
        </w:trPr>
        <w:tc>
          <w:tcPr>
            <w:tcW w:type="dxa" w:w="2924"/>
            <w:vAlign w:val="center"/>
            <w:tcMar>
              <w:top w:w="80" w:type="dxa"/>
              <w:bottom w:w="80" w:type="dxa"/>
              <w:left w:w="100" w:type="dxa"/>
              <w:right w:w="100" w:type="dxa"/>
            </w:tcMar>
            <w:shd w:fill="FFFFFF"/>
          </w:tcPr>
          <w:p>
            <w:pPr>
              <w:keepNext w:val="0"/>
              <w:spacing w:after="0" w:before="0" w:line="252" w:lineRule="auto"/>
            </w:pPr>
            <w:r>
              <w:rPr>
                <w:sz w:val="20"/>
              </w:rPr>
              <w:t>Underlying security ISIN</w:t>
            </w:r>
          </w:p>
        </w:tc>
        <w:tc>
          <w:tcPr>
            <w:tcW w:type="dxa" w:w="6822"/>
            <w:vAlign w:val="center"/>
            <w:tcMar>
              <w:top w:w="80" w:type="dxa"/>
              <w:bottom w:w="80" w:type="dxa"/>
              <w:left w:w="100" w:type="dxa"/>
              <w:right w:w="100" w:type="dxa"/>
            </w:tcMar>
            <w:shd w:fill="FFFFFF"/>
          </w:tcPr>
          <w:p>
            <w:pPr>
              <w:keepNext w:val="0"/>
              <w:spacing w:after="0" w:before="0" w:line="252" w:lineRule="auto"/>
              <w:jc w:val="center"/>
            </w:pPr>
            <w:r>
              <w:rPr>
                <w:sz w:val="20"/>
              </w:rPr>
              <w:t>IE00B4ND3602</w:t>
            </w:r>
          </w:p>
        </w:tc>
      </w:tr>
    </w:tbl>
    <w:p>
      <w:pPr>
        <w:spacing w:after="60" w:before="0" w:line="40" w:lineRule="exact"/>
      </w:pPr>
      <w:r>
        <w:rPr>
          <w:sz w:val="4"/>
        </w:rPr>
      </w:r>
    </w:p>
    <w:p>
      <w:r>
        <w:rPr>
          <w:b/>
        </w:rPr>
        <w:t xml:space="preserve">Fee definition. </w:t>
      </w:r>
      <w:r>
        <w:t>PDS discloses total management fees and costs of 0.18% per year, including 0.00% indirect costs. BlackRock underlying-fund charges are generally rebated or not charged. Do not add the Irish ETC TER again.</w:t>
      </w:r>
    </w:p>
    <w:p>
      <w:r>
        <w:rPr>
          <w:b/>
        </w:rPr>
        <w:t xml:space="preserve">Allocation. </w:t>
      </w:r>
      <w:r>
        <w:t>The ETF holds securities of the Irish physical gold ETC. Allocated bullion backs that ETC, with interim unallocated accounts as described in its prospectus. The local ETF’s portfolio asset is the ETC security.</w:t>
      </w:r>
    </w:p>
    <w:p>
      <w:r>
        <w:rPr>
          <w:b/>
        </w:rPr>
        <w:t xml:space="preserve">Bullion storage. </w:t>
      </w:r>
      <w:r>
        <w:t>Look-through location policy of the Irish gold ETC: London. This is not a separate local bullion pool.</w:t>
      </w:r>
    </w:p>
    <w:p>
      <w:r>
        <w:rPr>
          <w:b/>
        </w:rPr>
        <w:t xml:space="preserve">Location holding limits. </w:t>
      </w:r>
      <w:r>
        <w:t>The Irish base prospectus places all underlying allocated gold and silver in London custodian/subcustodian vaults. It does not specify a numerical limit per individual London vault in the reviewed location clause. This is a location requirement for allocated bullion, not a requirement that every fund asset or hedge be physically in London. This rule applies to the Irish ETC’s underlying bullion. The Australian/Japanese ETF holds ETC securities and does not have a separate local bullion pool. The custody-agreement summary on PDF pages 145–146 specifies London for gold/silver subcustody and London or a Swiss fiscal warehouse in Zurich for platinum/palladium. No US location is permitted in these reviewed provisions. The executed series agreements and complete later-document chain remain to be confirmed.</w:t>
      </w:r>
    </w:p>
    <w:p>
      <w:r>
        <w:rPr>
          <w:b/>
        </w:rPr>
        <w:t xml:space="preserve">Limit scope. </w:t>
      </w:r>
      <w:r>
        <w:t>Underlying Irish ETC allocated bullion</w:t>
      </w:r>
    </w:p>
    <w:p>
      <w:r>
        <w:rPr>
          <w:b/>
        </w:rPr>
        <w:t xml:space="preserve">Custody verification. </w:t>
      </w:r>
      <w:r>
        <w:t>Published base prospectus dated 11 May 2026, including custody summary, reviewed. US storage permission is not established. Executed series custody agreements and a complete post-base supplement/final-terms chain have not been obtained.</w:t>
      </w:r>
    </w:p>
    <w:p>
      <w:r>
        <w:rPr>
          <w:b w:val="0"/>
        </w:rPr>
        <w:t>Look-through bullion overlaps the Irish ETC. Do not add feeder AUM to the underlying ETC when estimating unique bullion exposure.</w:t>
      </w:r>
    </w:p>
    <w:p>
      <w:r>
        <w:rPr>
          <w:b/>
        </w:rPr>
        <w:t xml:space="preserve">Location clause source. </w:t>
      </w:r>
      <w:hyperlink r:id="rId12">
        <w:r>
          <w:rPr>
            <w:color w:val="235779"/>
            <w:u w:val="single"/>
          </w:rPr>
          <w:t>Underlying Irish ETC base prospectus</w:t>
        </w:r>
      </w:hyperlink>
      <w:r>
        <w:t xml:space="preserve"> — Custody and Insurance, PDF page 56; Custody Agreement summary, PDF pages 145–148 (especially 146(iii))</w:t>
      </w:r>
    </w:p>
    <w:p>
      <w:pPr>
        <w:pStyle w:val="Heading2"/>
        <w:pageBreakBefore w:val="0"/>
      </w:pPr>
      <w:r>
        <w:t>Recorded listings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86"/>
        <w:gridCol w:w="1754"/>
        <w:gridCol w:w="1169"/>
        <w:gridCol w:w="2436"/>
      </w:tblGrid>
      <w:tr>
        <w:trPr>
          <w:tblHeader/>
          <w:cantSplit/>
        </w:trPr>
        <w:tc>
          <w:tcPr>
            <w:tcW w:type="dxa" w:w="4386"/>
            <w:vAlign w:val="center"/>
            <w:tcMar>
              <w:top w:w="80" w:type="dxa"/>
              <w:bottom w:w="80" w:type="dxa"/>
              <w:left w:w="100" w:type="dxa"/>
              <w:right w:w="100" w:type="dxa"/>
            </w:tcMar>
            <w:shd w:fill="DCE6EB"/>
          </w:tcPr>
          <w:p>
            <w:pPr>
              <w:keepNext/>
              <w:spacing w:after="0" w:before="0" w:line="252" w:lineRule="auto"/>
            </w:pPr>
            <w:r>
              <w:rPr>
                <w:b/>
                <w:sz w:val="20"/>
              </w:rPr>
              <w:t>Exchange</w:t>
            </w:r>
          </w:p>
        </w:tc>
        <w:tc>
          <w:tcPr>
            <w:tcW w:type="dxa" w:w="1754"/>
            <w:vAlign w:val="center"/>
            <w:tcMar>
              <w:top w:w="80" w:type="dxa"/>
              <w:bottom w:w="80" w:type="dxa"/>
              <w:left w:w="100" w:type="dxa"/>
              <w:right w:w="100" w:type="dxa"/>
            </w:tcMar>
            <w:shd w:fill="DCE6EB"/>
          </w:tcPr>
          <w:p>
            <w:pPr>
              <w:keepNext/>
              <w:spacing w:after="0" w:before="0" w:line="252" w:lineRule="auto"/>
              <w:jc w:val="center"/>
            </w:pPr>
            <w:r>
              <w:rPr>
                <w:b/>
                <w:sz w:val="20"/>
              </w:rPr>
              <w:t>Ticker</w:t>
            </w:r>
          </w:p>
        </w:tc>
        <w:tc>
          <w:tcPr>
            <w:tcW w:type="dxa" w:w="1169"/>
            <w:vAlign w:val="center"/>
            <w:tcMar>
              <w:top w:w="80" w:type="dxa"/>
              <w:bottom w:w="80" w:type="dxa"/>
              <w:left w:w="100" w:type="dxa"/>
              <w:right w:w="100" w:type="dxa"/>
            </w:tcMar>
            <w:shd w:fill="DCE6EB"/>
          </w:tcPr>
          <w:p>
            <w:pPr>
              <w:keepNext/>
              <w:spacing w:after="0" w:before="0" w:line="252" w:lineRule="auto"/>
              <w:jc w:val="center"/>
            </w:pPr>
            <w:r>
              <w:rPr>
                <w:b/>
                <w:sz w:val="20"/>
              </w:rPr>
              <w:t>Currency</w:t>
            </w:r>
          </w:p>
        </w:tc>
        <w:tc>
          <w:tcPr>
            <w:tcW w:type="dxa" w:w="2436"/>
            <w:vAlign w:val="center"/>
            <w:tcMar>
              <w:top w:w="80" w:type="dxa"/>
              <w:bottom w:w="80" w:type="dxa"/>
              <w:left w:w="100" w:type="dxa"/>
              <w:right w:w="100" w:type="dxa"/>
            </w:tcMar>
            <w:shd w:fill="DCE6EB"/>
          </w:tcPr>
          <w:p>
            <w:pPr>
              <w:keepNext/>
              <w:spacing w:after="0" w:before="0" w:line="252" w:lineRule="auto"/>
              <w:jc w:val="center"/>
            </w:pPr>
            <w:r>
              <w:rPr>
                <w:b/>
                <w:sz w:val="20"/>
              </w:rPr>
              <w:t>Listing date</w:t>
            </w:r>
          </w:p>
        </w:tc>
      </w:tr>
      <w:tr>
        <w:trPr>
          <w:cantSplit/>
        </w:trPr>
        <w:tc>
          <w:tcPr>
            <w:tcW w:type="dxa" w:w="4386"/>
            <w:vAlign w:val="center"/>
            <w:tcMar>
              <w:top w:w="80" w:type="dxa"/>
              <w:bottom w:w="80" w:type="dxa"/>
              <w:left w:w="100" w:type="dxa"/>
              <w:right w:w="100" w:type="dxa"/>
            </w:tcMar>
            <w:shd w:fill="FFFFFF"/>
          </w:tcPr>
          <w:p>
            <w:pPr>
              <w:keepNext w:val="0"/>
              <w:spacing w:after="0" w:before="0" w:line="252" w:lineRule="auto"/>
            </w:pPr>
            <w:r>
              <w:rPr>
                <w:sz w:val="20"/>
              </w:rPr>
              <w:t>ASX</w:t>
            </w:r>
          </w:p>
        </w:tc>
        <w:tc>
          <w:tcPr>
            <w:tcW w:type="dxa" w:w="1754"/>
            <w:vAlign w:val="center"/>
            <w:tcMar>
              <w:top w:w="80" w:type="dxa"/>
              <w:bottom w:w="80" w:type="dxa"/>
              <w:left w:w="100" w:type="dxa"/>
              <w:right w:w="100" w:type="dxa"/>
            </w:tcMar>
            <w:shd w:fill="FFFFFF"/>
          </w:tcPr>
          <w:p>
            <w:pPr>
              <w:keepNext w:val="0"/>
              <w:spacing w:after="0" w:before="0" w:line="252" w:lineRule="auto"/>
              <w:jc w:val="center"/>
            </w:pPr>
            <w:r>
              <w:rPr>
                <w:sz w:val="20"/>
              </w:rPr>
              <w:t>GLDN</w:t>
            </w:r>
          </w:p>
        </w:tc>
        <w:tc>
          <w:tcPr>
            <w:tcW w:type="dxa" w:w="1169"/>
            <w:vAlign w:val="center"/>
            <w:tcMar>
              <w:top w:w="80" w:type="dxa"/>
              <w:bottom w:w="80" w:type="dxa"/>
              <w:left w:w="100" w:type="dxa"/>
              <w:right w:w="100" w:type="dxa"/>
            </w:tcMar>
            <w:shd w:fill="FFFFFF"/>
          </w:tcPr>
          <w:p>
            <w:pPr>
              <w:keepNext w:val="0"/>
              <w:spacing w:after="0" w:before="0" w:line="252" w:lineRule="auto"/>
              <w:jc w:val="center"/>
            </w:pPr>
            <w:r>
              <w:rPr>
                <w:sz w:val="20"/>
              </w:rPr>
              <w:t>AUD</w:t>
            </w:r>
          </w:p>
        </w:tc>
        <w:tc>
          <w:tcPr>
            <w:tcW w:type="dxa" w:w="2436"/>
            <w:vAlign w:val="center"/>
            <w:tcMar>
              <w:top w:w="80" w:type="dxa"/>
              <w:bottom w:w="80" w:type="dxa"/>
              <w:left w:w="100" w:type="dxa"/>
              <w:right w:w="100" w:type="dxa"/>
            </w:tcMar>
            <w:shd w:fill="FFFFFF"/>
          </w:tcPr>
          <w:p>
            <w:pPr>
              <w:keepNext w:val="0"/>
              <w:spacing w:after="0" w:before="0" w:line="252" w:lineRule="auto"/>
              <w:jc w:val="center"/>
            </w:pPr>
            <w:r>
              <w:rPr>
                <w:sz w:val="20"/>
              </w:rPr>
              <w:t>2023-11-01</w:t>
            </w:r>
          </w:p>
        </w:tc>
      </w:tr>
    </w:tbl>
    <w:p>
      <w:pPr>
        <w:spacing w:after="60" w:before="0" w:line="40" w:lineRule="exact"/>
      </w:pPr>
      <w:r>
        <w:rPr>
          <w:sz w:val="4"/>
        </w:rPr>
      </w:r>
    </w:p>
    <w:p>
      <w:pPr>
        <w:pStyle w:val="Heading2"/>
        <w:pageBreakBefore w:val="0"/>
      </w:pPr>
      <w:r>
        <w:t>Sources</w:t>
      </w:r>
    </w:p>
    <w:p>
      <w:pPr>
        <w:spacing w:after="80"/>
      </w:pPr>
      <w:hyperlink r:id="rId75">
        <w:r>
          <w:rPr>
            <w:color w:val="235779"/>
            <w:u w:val="single"/>
          </w:rPr>
          <w:t>Issuer product page</w:t>
        </w:r>
      </w:hyperlink>
      <w:r>
        <w:t xml:space="preserve">  ·  </w:t>
      </w:r>
      <w:hyperlink r:id="rId76">
        <w:r>
          <w:rPr>
            <w:color w:val="235779"/>
            <w:u w:val="single"/>
          </w:rPr>
          <w:t>Saved source</w:t>
        </w:r>
      </w:hyperlink>
    </w:p>
    <w:p>
      <w:pPr>
        <w:spacing w:after="80"/>
      </w:pPr>
      <w:hyperlink r:id="rId77">
        <w:r>
          <w:rPr>
            <w:color w:val="235779"/>
            <w:u w:val="single"/>
          </w:rPr>
          <w:t>Product disclosure statement: fees, custody and structure</w:t>
        </w:r>
      </w:hyperlink>
      <w:r>
        <w:t xml:space="preserve">  ·  </w:t>
      </w:r>
      <w:hyperlink r:id="rId78">
        <w:r>
          <w:rPr>
            <w:color w:val="235779"/>
            <w:u w:val="single"/>
          </w:rPr>
          <w:t>Saved source</w:t>
        </w:r>
      </w:hyperlink>
    </w:p>
    <w:p>
      <w:pPr>
        <w:spacing w:after="80"/>
      </w:pPr>
      <w:hyperlink r:id="rId15">
        <w:r>
          <w:rPr>
            <w:color w:val="235779"/>
            <w:u w:val="single"/>
          </w:rPr>
          <w:t>Underlying Irish ETC base prospectus</w:t>
        </w:r>
      </w:hyperlink>
      <w:r>
        <w:t xml:space="preserve">  ·  </w:t>
      </w:r>
      <w:hyperlink r:id="rId16">
        <w:r>
          <w:rPr>
            <w:color w:val="235779"/>
            <w:u w:val="single"/>
          </w:rPr>
          <w:t>Saved source</w:t>
        </w:r>
      </w:hyperlink>
    </w:p>
    <w:p>
      <w:bookmarkStart w:id="20" w:name="product_18"/>
      <w:pPr>
        <w:pStyle w:val="Heading1"/>
        <w:pageBreakBefore w:val="0"/>
        <w:spacing w:before="360"/>
      </w:pPr>
      <w:r>
        <w:t>18  iShares Gold ETF</w:t>
      </w:r>
      <w:bookmarkEnd w:id="20"/>
    </w:p>
    <w:p>
      <w:pPr>
        <w:keepNext/>
      </w:pPr>
      <w:r>
        <w:rPr>
          <w:b/>
        </w:rPr>
        <w:t>314A  |  Japan  |  Gold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24"/>
        <w:gridCol w:w="6822"/>
      </w:tblGrid>
      <w:tr>
        <w:trPr>
          <w:tblHeader/>
          <w:cantSplit/>
        </w:trPr>
        <w:tc>
          <w:tcPr>
            <w:tcW w:type="dxa" w:w="2924"/>
            <w:vAlign w:val="center"/>
            <w:tcMar>
              <w:top w:w="80" w:type="dxa"/>
              <w:bottom w:w="80" w:type="dxa"/>
              <w:left w:w="100" w:type="dxa"/>
              <w:right w:w="100" w:type="dxa"/>
            </w:tcMar>
            <w:shd w:fill="DCE6EB"/>
          </w:tcPr>
          <w:p>
            <w:pPr>
              <w:keepNext/>
              <w:spacing w:after="0" w:before="0" w:line="252" w:lineRule="auto"/>
            </w:pPr>
            <w:r>
              <w:rPr>
                <w:b/>
                <w:sz w:val="20"/>
              </w:rPr>
              <w:t>Field</w:t>
            </w:r>
          </w:p>
        </w:tc>
        <w:tc>
          <w:tcPr>
            <w:tcW w:type="dxa" w:w="6822"/>
            <w:vAlign w:val="center"/>
            <w:tcMar>
              <w:top w:w="80" w:type="dxa"/>
              <w:bottom w:w="80" w:type="dxa"/>
              <w:left w:w="100" w:type="dxa"/>
              <w:right w:w="100" w:type="dxa"/>
            </w:tcMar>
            <w:shd w:fill="DCE6EB"/>
          </w:tcPr>
          <w:p>
            <w:pPr>
              <w:keepNext/>
              <w:spacing w:after="0" w:before="0" w:line="252" w:lineRule="auto"/>
              <w:jc w:val="center"/>
            </w:pPr>
            <w:r>
              <w:rPr>
                <w:b/>
                <w:sz w:val="20"/>
              </w:rPr>
              <w:t>Detail</w:t>
            </w:r>
          </w:p>
        </w:tc>
      </w:tr>
      <w:tr>
        <w:trPr>
          <w:cantSplit/>
        </w:trPr>
        <w:tc>
          <w:tcPr>
            <w:tcW w:type="dxa" w:w="2924"/>
            <w:vAlign w:val="center"/>
            <w:tcMar>
              <w:top w:w="80" w:type="dxa"/>
              <w:bottom w:w="80" w:type="dxa"/>
              <w:left w:w="100" w:type="dxa"/>
              <w:right w:w="100" w:type="dxa"/>
            </w:tcMar>
            <w:shd w:fill="FFFFFF"/>
          </w:tcPr>
          <w:p>
            <w:pPr>
              <w:keepNext w:val="0"/>
              <w:spacing w:after="0" w:before="0" w:line="252" w:lineRule="auto"/>
            </w:pPr>
            <w:r>
              <w:rPr>
                <w:sz w:val="20"/>
              </w:rPr>
              <w:t>Legal form</w:t>
            </w:r>
          </w:p>
        </w:tc>
        <w:tc>
          <w:tcPr>
            <w:tcW w:type="dxa" w:w="6822"/>
            <w:vAlign w:val="center"/>
            <w:tcMar>
              <w:top w:w="80" w:type="dxa"/>
              <w:bottom w:w="80" w:type="dxa"/>
              <w:left w:w="100" w:type="dxa"/>
              <w:right w:w="100" w:type="dxa"/>
            </w:tcMar>
            <w:shd w:fill="FFFFFF"/>
          </w:tcPr>
          <w:p>
            <w:pPr>
              <w:keepNext w:val="0"/>
              <w:spacing w:after="0" w:before="0" w:line="252" w:lineRule="auto"/>
              <w:jc w:val="center"/>
            </w:pPr>
            <w:r>
              <w:rPr>
                <w:sz w:val="20"/>
              </w:rPr>
              <w:t>Japanese ETF</w:t>
            </w:r>
          </w:p>
        </w:tc>
      </w:tr>
      <w:tr>
        <w:trPr>
          <w:cantSplit/>
        </w:trPr>
        <w:tc>
          <w:tcPr>
            <w:tcW w:type="dxa" w:w="2924"/>
            <w:vAlign w:val="center"/>
            <w:tcMar>
              <w:top w:w="80" w:type="dxa"/>
              <w:bottom w:w="80" w:type="dxa"/>
              <w:left w:w="100" w:type="dxa"/>
              <w:right w:w="100" w:type="dxa"/>
            </w:tcMar>
            <w:shd w:fill="F4F7F8"/>
          </w:tcPr>
          <w:p>
            <w:pPr>
              <w:keepNext w:val="0"/>
              <w:spacing w:after="0" w:before="0" w:line="252" w:lineRule="auto"/>
            </w:pPr>
            <w:r>
              <w:rPr>
                <w:sz w:val="20"/>
              </w:rPr>
              <w:t>Issuer or sponsor</w:t>
            </w:r>
          </w:p>
        </w:tc>
        <w:tc>
          <w:tcPr>
            <w:tcW w:type="dxa" w:w="6822"/>
            <w:vAlign w:val="center"/>
            <w:tcMar>
              <w:top w:w="80" w:type="dxa"/>
              <w:bottom w:w="80" w:type="dxa"/>
              <w:left w:w="100" w:type="dxa"/>
              <w:right w:w="100" w:type="dxa"/>
            </w:tcMar>
            <w:shd w:fill="F4F7F8"/>
          </w:tcPr>
          <w:p>
            <w:pPr>
              <w:keepNext w:val="0"/>
              <w:spacing w:after="0" w:before="0" w:line="252" w:lineRule="auto"/>
            </w:pPr>
            <w:r>
              <w:rPr>
                <w:sz w:val="20"/>
              </w:rPr>
              <w:t>BlackRock Japan Co., Ltd.</w:t>
            </w:r>
          </w:p>
        </w:tc>
      </w:tr>
      <w:tr>
        <w:trPr>
          <w:cantSplit/>
        </w:trPr>
        <w:tc>
          <w:tcPr>
            <w:tcW w:type="dxa" w:w="2924"/>
            <w:vAlign w:val="center"/>
            <w:tcMar>
              <w:top w:w="80" w:type="dxa"/>
              <w:bottom w:w="80" w:type="dxa"/>
              <w:left w:w="100" w:type="dxa"/>
              <w:right w:w="100" w:type="dxa"/>
            </w:tcMar>
            <w:shd w:fill="FFFFFF"/>
          </w:tcPr>
          <w:p>
            <w:pPr>
              <w:keepNext w:val="0"/>
              <w:spacing w:after="0" w:before="0" w:line="252" w:lineRule="auto"/>
            </w:pPr>
            <w:r>
              <w:rPr>
                <w:sz w:val="20"/>
              </w:rPr>
              <w:t>Launch or class inception</w:t>
            </w:r>
          </w:p>
        </w:tc>
        <w:tc>
          <w:tcPr>
            <w:tcW w:type="dxa" w:w="6822"/>
            <w:vAlign w:val="center"/>
            <w:tcMar>
              <w:top w:w="80" w:type="dxa"/>
              <w:bottom w:w="80" w:type="dxa"/>
              <w:left w:w="100" w:type="dxa"/>
              <w:right w:w="100" w:type="dxa"/>
            </w:tcMar>
            <w:shd w:fill="FFFFFF"/>
          </w:tcPr>
          <w:p>
            <w:pPr>
              <w:keepNext w:val="0"/>
              <w:spacing w:after="0" w:before="0" w:line="252" w:lineRule="auto"/>
              <w:jc w:val="center"/>
            </w:pPr>
            <w:r>
              <w:rPr>
                <w:sz w:val="20"/>
              </w:rPr>
              <w:t>2025-01-14</w:t>
            </w:r>
          </w:p>
        </w:tc>
      </w:tr>
      <w:tr>
        <w:trPr>
          <w:cantSplit/>
        </w:trPr>
        <w:tc>
          <w:tcPr>
            <w:tcW w:type="dxa" w:w="2924"/>
            <w:vAlign w:val="center"/>
            <w:tcMar>
              <w:top w:w="80" w:type="dxa"/>
              <w:bottom w:w="80" w:type="dxa"/>
              <w:left w:w="100" w:type="dxa"/>
              <w:right w:w="100" w:type="dxa"/>
            </w:tcMar>
            <w:shd w:fill="F4F7F8"/>
          </w:tcPr>
          <w:p>
            <w:pPr>
              <w:keepNext w:val="0"/>
              <w:spacing w:after="0" w:before="0" w:line="252" w:lineRule="auto"/>
            </w:pPr>
            <w:r>
              <w:rPr>
                <w:sz w:val="20"/>
              </w:rPr>
              <w:t>ISIN / CUSIP</w:t>
            </w:r>
          </w:p>
        </w:tc>
        <w:tc>
          <w:tcPr>
            <w:tcW w:type="dxa" w:w="6822"/>
            <w:vAlign w:val="center"/>
            <w:tcMar>
              <w:top w:w="80" w:type="dxa"/>
              <w:bottom w:w="80" w:type="dxa"/>
              <w:left w:w="100" w:type="dxa"/>
              <w:right w:w="100" w:type="dxa"/>
            </w:tcMar>
            <w:shd w:fill="F4F7F8"/>
          </w:tcPr>
          <w:p>
            <w:pPr>
              <w:keepNext w:val="0"/>
              <w:spacing w:after="0" w:before="0" w:line="252" w:lineRule="auto"/>
              <w:jc w:val="center"/>
            </w:pPr>
            <w:r>
              <w:rPr>
                <w:sz w:val="20"/>
              </w:rPr>
              <w:t>JP3050630007</w:t>
            </w:r>
          </w:p>
        </w:tc>
      </w:tr>
      <w:tr>
        <w:trPr>
          <w:cantSplit/>
        </w:trPr>
        <w:tc>
          <w:tcPr>
            <w:tcW w:type="dxa" w:w="2924"/>
            <w:vAlign w:val="center"/>
            <w:tcMar>
              <w:top w:w="80" w:type="dxa"/>
              <w:bottom w:w="80" w:type="dxa"/>
              <w:left w:w="100" w:type="dxa"/>
              <w:right w:w="100" w:type="dxa"/>
            </w:tcMar>
            <w:shd w:fill="FFFFFF"/>
          </w:tcPr>
          <w:p>
            <w:pPr>
              <w:keepNext w:val="0"/>
              <w:spacing w:after="0" w:before="0" w:line="252" w:lineRule="auto"/>
            </w:pPr>
            <w:r>
              <w:rPr>
                <w:sz w:val="20"/>
              </w:rPr>
              <w:t>Reported net assets</w:t>
            </w:r>
          </w:p>
        </w:tc>
        <w:tc>
          <w:tcPr>
            <w:tcW w:type="dxa" w:w="6822"/>
            <w:vAlign w:val="center"/>
            <w:tcMar>
              <w:top w:w="80" w:type="dxa"/>
              <w:bottom w:w="80" w:type="dxa"/>
              <w:left w:w="100" w:type="dxa"/>
              <w:right w:w="100" w:type="dxa"/>
            </w:tcMar>
            <w:shd w:fill="FFFFFF"/>
          </w:tcPr>
          <w:p>
            <w:pPr>
              <w:keepNext w:val="0"/>
              <w:spacing w:after="0" w:before="0" w:line="252" w:lineRule="auto"/>
            </w:pPr>
            <w:r>
              <w:rPr>
                <w:sz w:val="20"/>
              </w:rPr>
              <w:t>JPY 80,288,564,301.00 as of 2026-09-18</w:t>
            </w:r>
          </w:p>
        </w:tc>
      </w:tr>
      <w:tr>
        <w:trPr>
          <w:cantSplit/>
        </w:trPr>
        <w:tc>
          <w:tcPr>
            <w:tcW w:type="dxa" w:w="2924"/>
            <w:vAlign w:val="center"/>
            <w:tcMar>
              <w:top w:w="80" w:type="dxa"/>
              <w:bottom w:w="80" w:type="dxa"/>
              <w:left w:w="100" w:type="dxa"/>
              <w:right w:w="100" w:type="dxa"/>
            </w:tcMar>
            <w:shd w:fill="F4F7F8"/>
          </w:tcPr>
          <w:p>
            <w:pPr>
              <w:keepNext w:val="0"/>
              <w:spacing w:after="0" w:before="0" w:line="252" w:lineRule="auto"/>
            </w:pPr>
            <w:r>
              <w:rPr>
                <w:sz w:val="20"/>
              </w:rPr>
              <w:t>Asset basis</w:t>
            </w:r>
          </w:p>
        </w:tc>
        <w:tc>
          <w:tcPr>
            <w:tcW w:type="dxa" w:w="6822"/>
            <w:vAlign w:val="center"/>
            <w:tcMar>
              <w:top w:w="80" w:type="dxa"/>
              <w:bottom w:w="80" w:type="dxa"/>
              <w:left w:w="100" w:type="dxa"/>
              <w:right w:w="100" w:type="dxa"/>
            </w:tcMar>
            <w:shd w:fill="F4F7F8"/>
          </w:tcPr>
          <w:p>
            <w:pPr>
              <w:keepNext w:val="0"/>
              <w:spacing w:after="0" w:before="0" w:line="252" w:lineRule="auto"/>
              <w:jc w:val="center"/>
            </w:pPr>
            <w:r>
              <w:rPr>
                <w:sz w:val="20"/>
              </w:rPr>
              <w:t>Feeder ETF net assets</w:t>
            </w:r>
          </w:p>
        </w:tc>
      </w:tr>
      <w:tr>
        <w:trPr>
          <w:cantSplit/>
        </w:trPr>
        <w:tc>
          <w:tcPr>
            <w:tcW w:type="dxa" w:w="2924"/>
            <w:vAlign w:val="center"/>
            <w:tcMar>
              <w:top w:w="80" w:type="dxa"/>
              <w:bottom w:w="80" w:type="dxa"/>
              <w:left w:w="100" w:type="dxa"/>
              <w:right w:w="100" w:type="dxa"/>
            </w:tcMar>
            <w:shd w:fill="FFFFFF"/>
          </w:tcPr>
          <w:p>
            <w:pPr>
              <w:keepNext w:val="0"/>
              <w:spacing w:after="0" w:before="0" w:line="252" w:lineRule="auto"/>
            </w:pPr>
            <w:r>
              <w:rPr>
                <w:sz w:val="20"/>
              </w:rPr>
              <w:t>Currency exposure</w:t>
            </w:r>
          </w:p>
        </w:tc>
        <w:tc>
          <w:tcPr>
            <w:tcW w:type="dxa" w:w="6822"/>
            <w:vAlign w:val="center"/>
            <w:tcMar>
              <w:top w:w="80" w:type="dxa"/>
              <w:bottom w:w="80" w:type="dxa"/>
              <w:left w:w="100" w:type="dxa"/>
              <w:right w:w="100" w:type="dxa"/>
            </w:tcMar>
            <w:shd w:fill="FFFFFF"/>
          </w:tcPr>
          <w:p>
            <w:pPr>
              <w:keepNext w:val="0"/>
              <w:spacing w:after="0" w:before="0" w:line="252" w:lineRule="auto"/>
              <w:jc w:val="center"/>
            </w:pPr>
            <w:r>
              <w:rPr>
                <w:sz w:val="20"/>
              </w:rPr>
              <w:t>Unhedged</w:t>
            </w:r>
          </w:p>
        </w:tc>
      </w:tr>
      <w:tr>
        <w:trPr>
          <w:cantSplit/>
        </w:trPr>
        <w:tc>
          <w:tcPr>
            <w:tcW w:type="dxa" w:w="2924"/>
            <w:vAlign w:val="center"/>
            <w:tcMar>
              <w:top w:w="80" w:type="dxa"/>
              <w:bottom w:w="80" w:type="dxa"/>
              <w:left w:w="100" w:type="dxa"/>
              <w:right w:w="100" w:type="dxa"/>
            </w:tcMar>
            <w:shd w:fill="F4F7F8"/>
          </w:tcPr>
          <w:p>
            <w:pPr>
              <w:keepNext w:val="0"/>
              <w:spacing w:after="0" w:before="0" w:line="252" w:lineRule="auto"/>
            </w:pPr>
            <w:r>
              <w:rPr>
                <w:sz w:val="20"/>
              </w:rPr>
              <w:t>Annual fee</w:t>
            </w:r>
          </w:p>
        </w:tc>
        <w:tc>
          <w:tcPr>
            <w:tcW w:type="dxa" w:w="6822"/>
            <w:vAlign w:val="center"/>
            <w:tcMar>
              <w:top w:w="80" w:type="dxa"/>
              <w:bottom w:w="80" w:type="dxa"/>
              <w:left w:w="100" w:type="dxa"/>
              <w:right w:w="100" w:type="dxa"/>
            </w:tcMar>
            <w:shd w:fill="F4F7F8"/>
          </w:tcPr>
          <w:p>
            <w:pPr>
              <w:keepNext w:val="0"/>
              <w:spacing w:after="0" w:before="0" w:line="252" w:lineRule="auto"/>
            </w:pPr>
            <w:r>
              <w:rPr>
                <w:sz w:val="20"/>
              </w:rPr>
              <w:t>0.22% — Effective trust fee incl. tax</w:t>
            </w:r>
          </w:p>
        </w:tc>
      </w:tr>
      <w:tr>
        <w:trPr>
          <w:cantSplit/>
        </w:trPr>
        <w:tc>
          <w:tcPr>
            <w:tcW w:type="dxa" w:w="2924"/>
            <w:vAlign w:val="center"/>
            <w:tcMar>
              <w:top w:w="80" w:type="dxa"/>
              <w:bottom w:w="80" w:type="dxa"/>
              <w:left w:w="100" w:type="dxa"/>
              <w:right w:w="100" w:type="dxa"/>
            </w:tcMar>
            <w:shd w:fill="FFFFFF"/>
          </w:tcPr>
          <w:p>
            <w:pPr>
              <w:keepNext w:val="0"/>
              <w:spacing w:after="0" w:before="0" w:line="252" w:lineRule="auto"/>
            </w:pPr>
            <w:r>
              <w:rPr>
                <w:sz w:val="20"/>
              </w:rPr>
              <w:t>Custodian</w:t>
            </w:r>
          </w:p>
        </w:tc>
        <w:tc>
          <w:tcPr>
            <w:tcW w:type="dxa" w:w="6822"/>
            <w:vAlign w:val="center"/>
            <w:tcMar>
              <w:top w:w="80" w:type="dxa"/>
              <w:bottom w:w="80" w:type="dxa"/>
              <w:left w:w="100" w:type="dxa"/>
              <w:right w:w="100" w:type="dxa"/>
            </w:tcMar>
            <w:shd w:fill="FFFFFF"/>
          </w:tcPr>
          <w:p>
            <w:pPr>
              <w:keepNext w:val="0"/>
              <w:spacing w:after="0" w:before="0" w:line="252" w:lineRule="auto"/>
            </w:pPr>
            <w:r>
              <w:rPr>
                <w:sz w:val="20"/>
              </w:rPr>
              <w:t>Mizuho Trust &amp; Banking Co., Ltd. (trustee). Underlying bullion: JPMorgan, London.</w:t>
            </w:r>
          </w:p>
        </w:tc>
      </w:tr>
      <w:tr>
        <w:trPr>
          <w:cantSplit/>
        </w:trPr>
        <w:tc>
          <w:tcPr>
            <w:tcW w:type="dxa" w:w="2924"/>
            <w:vAlign w:val="center"/>
            <w:tcMar>
              <w:top w:w="80" w:type="dxa"/>
              <w:bottom w:w="80" w:type="dxa"/>
              <w:left w:w="100" w:type="dxa"/>
              <w:right w:w="100" w:type="dxa"/>
            </w:tcMar>
            <w:shd w:fill="F4F7F8"/>
          </w:tcPr>
          <w:p>
            <w:pPr>
              <w:keepNext w:val="0"/>
              <w:spacing w:after="0" w:before="0" w:line="252" w:lineRule="auto"/>
            </w:pPr>
            <w:r>
              <w:rPr>
                <w:sz w:val="20"/>
              </w:rPr>
              <w:t>Custody evidence date</w:t>
            </w:r>
          </w:p>
        </w:tc>
        <w:tc>
          <w:tcPr>
            <w:tcW w:type="dxa" w:w="6822"/>
            <w:vAlign w:val="center"/>
            <w:tcMar>
              <w:top w:w="80" w:type="dxa"/>
              <w:bottom w:w="80" w:type="dxa"/>
              <w:left w:w="100" w:type="dxa"/>
              <w:right w:w="100" w:type="dxa"/>
            </w:tcMar>
            <w:shd w:fill="F4F7F8"/>
          </w:tcPr>
          <w:p>
            <w:pPr>
              <w:keepNext w:val="0"/>
              <w:spacing w:after="0" w:before="0" w:line="252" w:lineRule="auto"/>
              <w:jc w:val="center"/>
            </w:pPr>
            <w:r>
              <w:rPr>
                <w:sz w:val="20"/>
              </w:rPr>
              <w:t>2026-09-23</w:t>
            </w:r>
          </w:p>
        </w:tc>
      </w:tr>
      <w:tr>
        <w:trPr>
          <w:cantSplit/>
        </w:trPr>
        <w:tc>
          <w:tcPr>
            <w:tcW w:type="dxa" w:w="2924"/>
            <w:vAlign w:val="center"/>
            <w:tcMar>
              <w:top w:w="80" w:type="dxa"/>
              <w:bottom w:w="80" w:type="dxa"/>
              <w:left w:w="100" w:type="dxa"/>
              <w:right w:w="100" w:type="dxa"/>
            </w:tcMar>
            <w:shd w:fill="FFFFFF"/>
          </w:tcPr>
          <w:p>
            <w:pPr>
              <w:keepNext w:val="0"/>
              <w:spacing w:after="0" w:before="0" w:line="252" w:lineRule="auto"/>
            </w:pPr>
            <w:r>
              <w:rPr>
                <w:sz w:val="20"/>
              </w:rPr>
              <w:t>Underlying security ISIN</w:t>
            </w:r>
          </w:p>
        </w:tc>
        <w:tc>
          <w:tcPr>
            <w:tcW w:type="dxa" w:w="6822"/>
            <w:vAlign w:val="center"/>
            <w:tcMar>
              <w:top w:w="80" w:type="dxa"/>
              <w:bottom w:w="80" w:type="dxa"/>
              <w:left w:w="100" w:type="dxa"/>
              <w:right w:w="100" w:type="dxa"/>
            </w:tcMar>
            <w:shd w:fill="FFFFFF"/>
          </w:tcPr>
          <w:p>
            <w:pPr>
              <w:keepNext w:val="0"/>
              <w:spacing w:after="0" w:before="0" w:line="252" w:lineRule="auto"/>
              <w:jc w:val="center"/>
            </w:pPr>
            <w:r>
              <w:rPr>
                <w:sz w:val="20"/>
              </w:rPr>
              <w:t>IE00B4ND3602</w:t>
            </w:r>
          </w:p>
        </w:tc>
      </w:tr>
    </w:tbl>
    <w:p>
      <w:pPr>
        <w:spacing w:after="60" w:before="0" w:line="40" w:lineRule="exact"/>
      </w:pPr>
      <w:r>
        <w:rPr>
          <w:sz w:val="4"/>
        </w:rPr>
      </w:r>
    </w:p>
    <w:p>
      <w:r>
        <w:rPr>
          <w:b/>
        </w:rPr>
        <w:t xml:space="preserve">Fee definition. </w:t>
      </w:r>
      <w:r>
        <w:t>Approximate effective annual management cost including tax and underlying ETC/ETF management cost. The local fee adjusts for underlying charges. Other expenses may apply. Do not add the Irish ETC TER again.</w:t>
      </w:r>
    </w:p>
    <w:p>
      <w:r>
        <w:rPr>
          <w:b/>
        </w:rPr>
        <w:t xml:space="preserve">Allocation. </w:t>
      </w:r>
      <w:r>
        <w:t>The ETF holds securities of the Irish physical gold ETC. Allocated bullion backs that ETC, with interim unallocated accounts as described in its prospectus. The local ETF’s portfolio asset is the ETC security.</w:t>
      </w:r>
    </w:p>
    <w:p>
      <w:r>
        <w:rPr>
          <w:b/>
        </w:rPr>
        <w:t xml:space="preserve">Bullion storage. </w:t>
      </w:r>
      <w:r>
        <w:t>Look-through location policy of the Irish gold ETC: London. This is not a separate local bullion pool.</w:t>
      </w:r>
    </w:p>
    <w:p>
      <w:r>
        <w:rPr>
          <w:b/>
        </w:rPr>
        <w:t xml:space="preserve">Location holding limits. </w:t>
      </w:r>
      <w:r>
        <w:t>The Irish base prospectus places all underlying allocated gold and silver in London custodian/subcustodian vaults. It does not specify a numerical limit per individual London vault in the reviewed location clause. This is a location requirement for allocated bullion, not a requirement that every fund asset or hedge be physically in London. This rule applies to the Irish ETC’s underlying bullion. The Australian/Japanese ETF holds ETC securities and does not have a separate local bullion pool. The custody-agreement summary on PDF pages 145–146 specifies London for gold/silver subcustody and London or a Swiss fiscal warehouse in Zurich for platinum/palladium. No US location is permitted in these reviewed provisions. The executed series agreements and complete later-document chain remain to be confirmed.</w:t>
      </w:r>
    </w:p>
    <w:p>
      <w:r>
        <w:rPr>
          <w:b/>
        </w:rPr>
        <w:t xml:space="preserve">Limit scope. </w:t>
      </w:r>
      <w:r>
        <w:t>Underlying Irish ETC allocated bullion</w:t>
      </w:r>
    </w:p>
    <w:p>
      <w:r>
        <w:rPr>
          <w:b/>
        </w:rPr>
        <w:t xml:space="preserve">Custody verification. </w:t>
      </w:r>
      <w:r>
        <w:t>Published base prospectus dated 11 May 2026, including custody summary, reviewed. US storage permission is not established. Executed series custody agreements and a complete post-base supplement/final-terms chain have not been obtained.</w:t>
      </w:r>
    </w:p>
    <w:p>
      <w:r>
        <w:rPr>
          <w:b w:val="0"/>
        </w:rPr>
        <w:t>Look-through bullion overlaps the Irish ETC. Do not add feeder AUM to the underlying ETC when estimating unique bullion exposure.</w:t>
      </w:r>
    </w:p>
    <w:p>
      <w:r>
        <w:rPr>
          <w:b/>
        </w:rPr>
        <w:t xml:space="preserve">Location clause source. </w:t>
      </w:r>
      <w:hyperlink r:id="rId12">
        <w:r>
          <w:rPr>
            <w:color w:val="235779"/>
            <w:u w:val="single"/>
          </w:rPr>
          <w:t>Underlying Irish ETC base prospectus</w:t>
        </w:r>
      </w:hyperlink>
      <w:r>
        <w:t xml:space="preserve"> — Custody and Insurance, PDF page 56; Custody Agreement summary, PDF pages 145–148 (especially 146(iii))</w:t>
      </w:r>
    </w:p>
    <w:p>
      <w:pPr>
        <w:pStyle w:val="Heading2"/>
        <w:pageBreakBefore w:val="0"/>
      </w:pPr>
      <w:r>
        <w:t>Recorded listings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86"/>
        <w:gridCol w:w="1754"/>
        <w:gridCol w:w="1169"/>
        <w:gridCol w:w="2436"/>
      </w:tblGrid>
      <w:tr>
        <w:trPr>
          <w:tblHeader/>
          <w:cantSplit/>
        </w:trPr>
        <w:tc>
          <w:tcPr>
            <w:tcW w:type="dxa" w:w="4386"/>
            <w:vAlign w:val="center"/>
            <w:tcMar>
              <w:top w:w="80" w:type="dxa"/>
              <w:bottom w:w="80" w:type="dxa"/>
              <w:left w:w="100" w:type="dxa"/>
              <w:right w:w="100" w:type="dxa"/>
            </w:tcMar>
            <w:shd w:fill="DCE6EB"/>
          </w:tcPr>
          <w:p>
            <w:pPr>
              <w:keepNext/>
              <w:spacing w:after="0" w:before="0" w:line="252" w:lineRule="auto"/>
            </w:pPr>
            <w:r>
              <w:rPr>
                <w:b/>
                <w:sz w:val="20"/>
              </w:rPr>
              <w:t>Exchange</w:t>
            </w:r>
          </w:p>
        </w:tc>
        <w:tc>
          <w:tcPr>
            <w:tcW w:type="dxa" w:w="1754"/>
            <w:vAlign w:val="center"/>
            <w:tcMar>
              <w:top w:w="80" w:type="dxa"/>
              <w:bottom w:w="80" w:type="dxa"/>
              <w:left w:w="100" w:type="dxa"/>
              <w:right w:w="100" w:type="dxa"/>
            </w:tcMar>
            <w:shd w:fill="DCE6EB"/>
          </w:tcPr>
          <w:p>
            <w:pPr>
              <w:keepNext/>
              <w:spacing w:after="0" w:before="0" w:line="252" w:lineRule="auto"/>
              <w:jc w:val="center"/>
            </w:pPr>
            <w:r>
              <w:rPr>
                <w:b/>
                <w:sz w:val="20"/>
              </w:rPr>
              <w:t>Ticker</w:t>
            </w:r>
          </w:p>
        </w:tc>
        <w:tc>
          <w:tcPr>
            <w:tcW w:type="dxa" w:w="1169"/>
            <w:vAlign w:val="center"/>
            <w:tcMar>
              <w:top w:w="80" w:type="dxa"/>
              <w:bottom w:w="80" w:type="dxa"/>
              <w:left w:w="100" w:type="dxa"/>
              <w:right w:w="100" w:type="dxa"/>
            </w:tcMar>
            <w:shd w:fill="DCE6EB"/>
          </w:tcPr>
          <w:p>
            <w:pPr>
              <w:keepNext/>
              <w:spacing w:after="0" w:before="0" w:line="252" w:lineRule="auto"/>
              <w:jc w:val="center"/>
            </w:pPr>
            <w:r>
              <w:rPr>
                <w:b/>
                <w:sz w:val="20"/>
              </w:rPr>
              <w:t>Currency</w:t>
            </w:r>
          </w:p>
        </w:tc>
        <w:tc>
          <w:tcPr>
            <w:tcW w:type="dxa" w:w="2436"/>
            <w:vAlign w:val="center"/>
            <w:tcMar>
              <w:top w:w="80" w:type="dxa"/>
              <w:bottom w:w="80" w:type="dxa"/>
              <w:left w:w="100" w:type="dxa"/>
              <w:right w:w="100" w:type="dxa"/>
            </w:tcMar>
            <w:shd w:fill="DCE6EB"/>
          </w:tcPr>
          <w:p>
            <w:pPr>
              <w:keepNext/>
              <w:spacing w:after="0" w:before="0" w:line="252" w:lineRule="auto"/>
              <w:jc w:val="center"/>
            </w:pPr>
            <w:r>
              <w:rPr>
                <w:b/>
                <w:sz w:val="20"/>
              </w:rPr>
              <w:t>Listing date</w:t>
            </w:r>
          </w:p>
        </w:tc>
      </w:tr>
      <w:tr>
        <w:trPr>
          <w:cantSplit/>
        </w:trPr>
        <w:tc>
          <w:tcPr>
            <w:tcW w:type="dxa" w:w="4386"/>
            <w:vAlign w:val="center"/>
            <w:tcMar>
              <w:top w:w="80" w:type="dxa"/>
              <w:bottom w:w="80" w:type="dxa"/>
              <w:left w:w="100" w:type="dxa"/>
              <w:right w:w="100" w:type="dxa"/>
            </w:tcMar>
            <w:shd w:fill="FFFFFF"/>
          </w:tcPr>
          <w:p>
            <w:pPr>
              <w:keepNext w:val="0"/>
              <w:spacing w:after="0" w:before="0" w:line="252" w:lineRule="auto"/>
            </w:pPr>
            <w:r>
              <w:rPr>
                <w:sz w:val="20"/>
              </w:rPr>
              <w:t>Tokyo Stock Exchange</w:t>
            </w:r>
          </w:p>
        </w:tc>
        <w:tc>
          <w:tcPr>
            <w:tcW w:type="dxa" w:w="1754"/>
            <w:vAlign w:val="center"/>
            <w:tcMar>
              <w:top w:w="80" w:type="dxa"/>
              <w:bottom w:w="80" w:type="dxa"/>
              <w:left w:w="100" w:type="dxa"/>
              <w:right w:w="100" w:type="dxa"/>
            </w:tcMar>
            <w:shd w:fill="FFFFFF"/>
          </w:tcPr>
          <w:p>
            <w:pPr>
              <w:keepNext w:val="0"/>
              <w:spacing w:after="0" w:before="0" w:line="252" w:lineRule="auto"/>
              <w:jc w:val="center"/>
            </w:pPr>
            <w:r>
              <w:rPr>
                <w:sz w:val="20"/>
              </w:rPr>
              <w:t>314A</w:t>
            </w:r>
          </w:p>
        </w:tc>
        <w:tc>
          <w:tcPr>
            <w:tcW w:type="dxa" w:w="1169"/>
            <w:vAlign w:val="center"/>
            <w:tcMar>
              <w:top w:w="80" w:type="dxa"/>
              <w:bottom w:w="80" w:type="dxa"/>
              <w:left w:w="100" w:type="dxa"/>
              <w:right w:w="100" w:type="dxa"/>
            </w:tcMar>
            <w:shd w:fill="FFFFFF"/>
          </w:tcPr>
          <w:p>
            <w:pPr>
              <w:keepNext w:val="0"/>
              <w:spacing w:after="0" w:before="0" w:line="252" w:lineRule="auto"/>
              <w:jc w:val="center"/>
            </w:pPr>
            <w:r>
              <w:rPr>
                <w:sz w:val="20"/>
              </w:rPr>
              <w:t>JPY</w:t>
            </w:r>
          </w:p>
        </w:tc>
        <w:tc>
          <w:tcPr>
            <w:tcW w:type="dxa" w:w="2436"/>
            <w:vAlign w:val="center"/>
            <w:tcMar>
              <w:top w:w="80" w:type="dxa"/>
              <w:bottom w:w="80" w:type="dxa"/>
              <w:left w:w="100" w:type="dxa"/>
              <w:right w:w="100" w:type="dxa"/>
            </w:tcMar>
            <w:shd w:fill="FFFFFF"/>
          </w:tcPr>
          <w:p>
            <w:pPr>
              <w:keepNext w:val="0"/>
              <w:spacing w:after="0" w:before="0" w:line="252" w:lineRule="auto"/>
              <w:jc w:val="center"/>
            </w:pPr>
            <w:r>
              <w:rPr>
                <w:sz w:val="20"/>
              </w:rPr>
              <w:t>2025-01-16</w:t>
            </w:r>
          </w:p>
        </w:tc>
      </w:tr>
    </w:tbl>
    <w:p>
      <w:pPr>
        <w:spacing w:after="60" w:before="0" w:line="40" w:lineRule="exact"/>
      </w:pPr>
      <w:r>
        <w:rPr>
          <w:sz w:val="4"/>
        </w:rPr>
      </w:r>
    </w:p>
    <w:p>
      <w:pPr>
        <w:pStyle w:val="Heading2"/>
        <w:pageBreakBefore w:val="0"/>
      </w:pPr>
      <w:r>
        <w:t>Sources</w:t>
      </w:r>
    </w:p>
    <w:p>
      <w:pPr>
        <w:spacing w:after="80"/>
      </w:pPr>
      <w:hyperlink r:id="rId79">
        <w:r>
          <w:rPr>
            <w:color w:val="235779"/>
            <w:u w:val="single"/>
          </w:rPr>
          <w:t>Issuer product page</w:t>
        </w:r>
      </w:hyperlink>
      <w:r>
        <w:t xml:space="preserve">  ·  </w:t>
      </w:r>
      <w:hyperlink r:id="rId80">
        <w:r>
          <w:rPr>
            <w:color w:val="235779"/>
            <w:u w:val="single"/>
          </w:rPr>
          <w:t>Saved source</w:t>
        </w:r>
      </w:hyperlink>
    </w:p>
    <w:p>
      <w:pPr>
        <w:spacing w:after="80"/>
      </w:pPr>
      <w:hyperlink r:id="rId81">
        <w:r>
          <w:rPr>
            <w:color w:val="235779"/>
            <w:u w:val="single"/>
          </w:rPr>
          <w:t>Japanese prospectus: fees and trustee</w:t>
        </w:r>
      </w:hyperlink>
      <w:r>
        <w:t xml:space="preserve">  ·  </w:t>
      </w:r>
      <w:hyperlink r:id="rId82">
        <w:r>
          <w:rPr>
            <w:color w:val="235779"/>
            <w:u w:val="single"/>
          </w:rPr>
          <w:t>Saved source</w:t>
        </w:r>
      </w:hyperlink>
    </w:p>
    <w:p>
      <w:pPr>
        <w:spacing w:after="80"/>
      </w:pPr>
      <w:hyperlink r:id="rId15">
        <w:r>
          <w:rPr>
            <w:color w:val="235779"/>
            <w:u w:val="single"/>
          </w:rPr>
          <w:t>Underlying Irish ETC base prospectus</w:t>
        </w:r>
      </w:hyperlink>
      <w:r>
        <w:t xml:space="preserve">  ·  </w:t>
      </w:r>
      <w:hyperlink r:id="rId16">
        <w:r>
          <w:rPr>
            <w:color w:val="235779"/>
            <w:u w:val="single"/>
          </w:rPr>
          <w:t>Saved source</w:t>
        </w:r>
      </w:hyperlink>
    </w:p>
    <w:p>
      <w:bookmarkStart w:id="21" w:name="product_19"/>
      <w:pPr>
        <w:pStyle w:val="Heading1"/>
        <w:pageBreakBefore w:val="0"/>
        <w:spacing w:before="360"/>
      </w:pPr>
      <w:r>
        <w:t>19  iShares Silver ETF</w:t>
      </w:r>
      <w:bookmarkEnd w:id="21"/>
    </w:p>
    <w:p>
      <w:pPr>
        <w:keepNext/>
      </w:pPr>
      <w:r>
        <w:rPr>
          <w:b/>
        </w:rPr>
        <w:t>568A  |  Japan  |  Silver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24"/>
        <w:gridCol w:w="6822"/>
      </w:tblGrid>
      <w:tr>
        <w:trPr>
          <w:tblHeader/>
          <w:cantSplit/>
        </w:trPr>
        <w:tc>
          <w:tcPr>
            <w:tcW w:type="dxa" w:w="2924"/>
            <w:vAlign w:val="center"/>
            <w:tcMar>
              <w:top w:w="80" w:type="dxa"/>
              <w:bottom w:w="80" w:type="dxa"/>
              <w:left w:w="100" w:type="dxa"/>
              <w:right w:w="100" w:type="dxa"/>
            </w:tcMar>
            <w:shd w:fill="DCE6EB"/>
          </w:tcPr>
          <w:p>
            <w:pPr>
              <w:keepNext/>
              <w:spacing w:after="0" w:before="0" w:line="252" w:lineRule="auto"/>
            </w:pPr>
            <w:r>
              <w:rPr>
                <w:b/>
                <w:sz w:val="20"/>
              </w:rPr>
              <w:t>Field</w:t>
            </w:r>
          </w:p>
        </w:tc>
        <w:tc>
          <w:tcPr>
            <w:tcW w:type="dxa" w:w="6822"/>
            <w:vAlign w:val="center"/>
            <w:tcMar>
              <w:top w:w="80" w:type="dxa"/>
              <w:bottom w:w="80" w:type="dxa"/>
              <w:left w:w="100" w:type="dxa"/>
              <w:right w:w="100" w:type="dxa"/>
            </w:tcMar>
            <w:shd w:fill="DCE6EB"/>
          </w:tcPr>
          <w:p>
            <w:pPr>
              <w:keepNext/>
              <w:spacing w:after="0" w:before="0" w:line="252" w:lineRule="auto"/>
              <w:jc w:val="center"/>
            </w:pPr>
            <w:r>
              <w:rPr>
                <w:b/>
                <w:sz w:val="20"/>
              </w:rPr>
              <w:t>Detail</w:t>
            </w:r>
          </w:p>
        </w:tc>
      </w:tr>
      <w:tr>
        <w:trPr>
          <w:cantSplit/>
        </w:trPr>
        <w:tc>
          <w:tcPr>
            <w:tcW w:type="dxa" w:w="2924"/>
            <w:vAlign w:val="center"/>
            <w:tcMar>
              <w:top w:w="80" w:type="dxa"/>
              <w:bottom w:w="80" w:type="dxa"/>
              <w:left w:w="100" w:type="dxa"/>
              <w:right w:w="100" w:type="dxa"/>
            </w:tcMar>
            <w:shd w:fill="FFFFFF"/>
          </w:tcPr>
          <w:p>
            <w:pPr>
              <w:keepNext w:val="0"/>
              <w:spacing w:after="0" w:before="0" w:line="252" w:lineRule="auto"/>
            </w:pPr>
            <w:r>
              <w:rPr>
                <w:sz w:val="20"/>
              </w:rPr>
              <w:t>Legal form</w:t>
            </w:r>
          </w:p>
        </w:tc>
        <w:tc>
          <w:tcPr>
            <w:tcW w:type="dxa" w:w="6822"/>
            <w:vAlign w:val="center"/>
            <w:tcMar>
              <w:top w:w="80" w:type="dxa"/>
              <w:bottom w:w="80" w:type="dxa"/>
              <w:left w:w="100" w:type="dxa"/>
              <w:right w:w="100" w:type="dxa"/>
            </w:tcMar>
            <w:shd w:fill="FFFFFF"/>
          </w:tcPr>
          <w:p>
            <w:pPr>
              <w:keepNext w:val="0"/>
              <w:spacing w:after="0" w:before="0" w:line="252" w:lineRule="auto"/>
              <w:jc w:val="center"/>
            </w:pPr>
            <w:r>
              <w:rPr>
                <w:sz w:val="20"/>
              </w:rPr>
              <w:t>Japanese ETF</w:t>
            </w:r>
          </w:p>
        </w:tc>
      </w:tr>
      <w:tr>
        <w:trPr>
          <w:cantSplit/>
        </w:trPr>
        <w:tc>
          <w:tcPr>
            <w:tcW w:type="dxa" w:w="2924"/>
            <w:vAlign w:val="center"/>
            <w:tcMar>
              <w:top w:w="80" w:type="dxa"/>
              <w:bottom w:w="80" w:type="dxa"/>
              <w:left w:w="100" w:type="dxa"/>
              <w:right w:w="100" w:type="dxa"/>
            </w:tcMar>
            <w:shd w:fill="F4F7F8"/>
          </w:tcPr>
          <w:p>
            <w:pPr>
              <w:keepNext w:val="0"/>
              <w:spacing w:after="0" w:before="0" w:line="252" w:lineRule="auto"/>
            </w:pPr>
            <w:r>
              <w:rPr>
                <w:sz w:val="20"/>
              </w:rPr>
              <w:t>Issuer or sponsor</w:t>
            </w:r>
          </w:p>
        </w:tc>
        <w:tc>
          <w:tcPr>
            <w:tcW w:type="dxa" w:w="6822"/>
            <w:vAlign w:val="center"/>
            <w:tcMar>
              <w:top w:w="80" w:type="dxa"/>
              <w:bottom w:w="80" w:type="dxa"/>
              <w:left w:w="100" w:type="dxa"/>
              <w:right w:w="100" w:type="dxa"/>
            </w:tcMar>
            <w:shd w:fill="F4F7F8"/>
          </w:tcPr>
          <w:p>
            <w:pPr>
              <w:keepNext w:val="0"/>
              <w:spacing w:after="0" w:before="0" w:line="252" w:lineRule="auto"/>
            </w:pPr>
            <w:r>
              <w:rPr>
                <w:sz w:val="20"/>
              </w:rPr>
              <w:t>BlackRock Japan Co., Ltd.</w:t>
            </w:r>
          </w:p>
        </w:tc>
      </w:tr>
      <w:tr>
        <w:trPr>
          <w:cantSplit/>
        </w:trPr>
        <w:tc>
          <w:tcPr>
            <w:tcW w:type="dxa" w:w="2924"/>
            <w:vAlign w:val="center"/>
            <w:tcMar>
              <w:top w:w="80" w:type="dxa"/>
              <w:bottom w:w="80" w:type="dxa"/>
              <w:left w:w="100" w:type="dxa"/>
              <w:right w:w="100" w:type="dxa"/>
            </w:tcMar>
            <w:shd w:fill="FFFFFF"/>
          </w:tcPr>
          <w:p>
            <w:pPr>
              <w:keepNext w:val="0"/>
              <w:spacing w:after="0" w:before="0" w:line="252" w:lineRule="auto"/>
            </w:pPr>
            <w:r>
              <w:rPr>
                <w:sz w:val="20"/>
              </w:rPr>
              <w:t>Launch or class inception</w:t>
            </w:r>
          </w:p>
        </w:tc>
        <w:tc>
          <w:tcPr>
            <w:tcW w:type="dxa" w:w="6822"/>
            <w:vAlign w:val="center"/>
            <w:tcMar>
              <w:top w:w="80" w:type="dxa"/>
              <w:bottom w:w="80" w:type="dxa"/>
              <w:left w:w="100" w:type="dxa"/>
              <w:right w:w="100" w:type="dxa"/>
            </w:tcMar>
            <w:shd w:fill="FFFFFF"/>
          </w:tcPr>
          <w:p>
            <w:pPr>
              <w:keepNext w:val="0"/>
              <w:spacing w:after="0" w:before="0" w:line="252" w:lineRule="auto"/>
              <w:jc w:val="center"/>
            </w:pPr>
            <w:r>
              <w:rPr>
                <w:sz w:val="20"/>
              </w:rPr>
              <w:t>2026-05-18</w:t>
            </w:r>
          </w:p>
        </w:tc>
      </w:tr>
      <w:tr>
        <w:trPr>
          <w:cantSplit/>
        </w:trPr>
        <w:tc>
          <w:tcPr>
            <w:tcW w:type="dxa" w:w="2924"/>
            <w:vAlign w:val="center"/>
            <w:tcMar>
              <w:top w:w="80" w:type="dxa"/>
              <w:bottom w:w="80" w:type="dxa"/>
              <w:left w:w="100" w:type="dxa"/>
              <w:right w:w="100" w:type="dxa"/>
            </w:tcMar>
            <w:shd w:fill="F4F7F8"/>
          </w:tcPr>
          <w:p>
            <w:pPr>
              <w:keepNext w:val="0"/>
              <w:spacing w:after="0" w:before="0" w:line="252" w:lineRule="auto"/>
            </w:pPr>
            <w:r>
              <w:rPr>
                <w:sz w:val="20"/>
              </w:rPr>
              <w:t>ISIN / CUSIP</w:t>
            </w:r>
          </w:p>
        </w:tc>
        <w:tc>
          <w:tcPr>
            <w:tcW w:type="dxa" w:w="6822"/>
            <w:vAlign w:val="center"/>
            <w:tcMar>
              <w:top w:w="80" w:type="dxa"/>
              <w:bottom w:w="80" w:type="dxa"/>
              <w:left w:w="100" w:type="dxa"/>
              <w:right w:w="100" w:type="dxa"/>
            </w:tcMar>
            <w:shd w:fill="F4F7F8"/>
          </w:tcPr>
          <w:p>
            <w:pPr>
              <w:keepNext w:val="0"/>
              <w:spacing w:after="0" w:before="0" w:line="252" w:lineRule="auto"/>
              <w:jc w:val="center"/>
            </w:pPr>
            <w:r>
              <w:rPr>
                <w:sz w:val="20"/>
              </w:rPr>
              <w:t>JP3051470007</w:t>
            </w:r>
          </w:p>
        </w:tc>
      </w:tr>
      <w:tr>
        <w:trPr>
          <w:cantSplit/>
        </w:trPr>
        <w:tc>
          <w:tcPr>
            <w:tcW w:type="dxa" w:w="2924"/>
            <w:vAlign w:val="center"/>
            <w:tcMar>
              <w:top w:w="80" w:type="dxa"/>
              <w:bottom w:w="80" w:type="dxa"/>
              <w:left w:w="100" w:type="dxa"/>
              <w:right w:w="100" w:type="dxa"/>
            </w:tcMar>
            <w:shd w:fill="FFFFFF"/>
          </w:tcPr>
          <w:p>
            <w:pPr>
              <w:keepNext w:val="0"/>
              <w:spacing w:after="0" w:before="0" w:line="252" w:lineRule="auto"/>
            </w:pPr>
            <w:r>
              <w:rPr>
                <w:sz w:val="20"/>
              </w:rPr>
              <w:t>Reported net assets</w:t>
            </w:r>
          </w:p>
        </w:tc>
        <w:tc>
          <w:tcPr>
            <w:tcW w:type="dxa" w:w="6822"/>
            <w:vAlign w:val="center"/>
            <w:tcMar>
              <w:top w:w="80" w:type="dxa"/>
              <w:bottom w:w="80" w:type="dxa"/>
              <w:left w:w="100" w:type="dxa"/>
              <w:right w:w="100" w:type="dxa"/>
            </w:tcMar>
            <w:shd w:fill="FFFFFF"/>
          </w:tcPr>
          <w:p>
            <w:pPr>
              <w:keepNext w:val="0"/>
              <w:spacing w:after="0" w:before="0" w:line="252" w:lineRule="auto"/>
            </w:pPr>
            <w:r>
              <w:rPr>
                <w:sz w:val="20"/>
              </w:rPr>
              <w:t>JPY 691,293,275.00 as of 2026-09-18</w:t>
            </w:r>
          </w:p>
        </w:tc>
      </w:tr>
      <w:tr>
        <w:trPr>
          <w:cantSplit/>
        </w:trPr>
        <w:tc>
          <w:tcPr>
            <w:tcW w:type="dxa" w:w="2924"/>
            <w:vAlign w:val="center"/>
            <w:tcMar>
              <w:top w:w="80" w:type="dxa"/>
              <w:bottom w:w="80" w:type="dxa"/>
              <w:left w:w="100" w:type="dxa"/>
              <w:right w:w="100" w:type="dxa"/>
            </w:tcMar>
            <w:shd w:fill="F4F7F8"/>
          </w:tcPr>
          <w:p>
            <w:pPr>
              <w:keepNext w:val="0"/>
              <w:spacing w:after="0" w:before="0" w:line="252" w:lineRule="auto"/>
            </w:pPr>
            <w:r>
              <w:rPr>
                <w:sz w:val="20"/>
              </w:rPr>
              <w:t>Asset basis</w:t>
            </w:r>
          </w:p>
        </w:tc>
        <w:tc>
          <w:tcPr>
            <w:tcW w:type="dxa" w:w="6822"/>
            <w:vAlign w:val="center"/>
            <w:tcMar>
              <w:top w:w="80" w:type="dxa"/>
              <w:bottom w:w="80" w:type="dxa"/>
              <w:left w:w="100" w:type="dxa"/>
              <w:right w:w="100" w:type="dxa"/>
            </w:tcMar>
            <w:shd w:fill="F4F7F8"/>
          </w:tcPr>
          <w:p>
            <w:pPr>
              <w:keepNext w:val="0"/>
              <w:spacing w:after="0" w:before="0" w:line="252" w:lineRule="auto"/>
              <w:jc w:val="center"/>
            </w:pPr>
            <w:r>
              <w:rPr>
                <w:sz w:val="20"/>
              </w:rPr>
              <w:t>Feeder ETF net assets</w:t>
            </w:r>
          </w:p>
        </w:tc>
      </w:tr>
      <w:tr>
        <w:trPr>
          <w:cantSplit/>
        </w:trPr>
        <w:tc>
          <w:tcPr>
            <w:tcW w:type="dxa" w:w="2924"/>
            <w:vAlign w:val="center"/>
            <w:tcMar>
              <w:top w:w="80" w:type="dxa"/>
              <w:bottom w:w="80" w:type="dxa"/>
              <w:left w:w="100" w:type="dxa"/>
              <w:right w:w="100" w:type="dxa"/>
            </w:tcMar>
            <w:shd w:fill="FFFFFF"/>
          </w:tcPr>
          <w:p>
            <w:pPr>
              <w:keepNext w:val="0"/>
              <w:spacing w:after="0" w:before="0" w:line="252" w:lineRule="auto"/>
            </w:pPr>
            <w:r>
              <w:rPr>
                <w:sz w:val="20"/>
              </w:rPr>
              <w:t>Currency exposure</w:t>
            </w:r>
          </w:p>
        </w:tc>
        <w:tc>
          <w:tcPr>
            <w:tcW w:type="dxa" w:w="6822"/>
            <w:vAlign w:val="center"/>
            <w:tcMar>
              <w:top w:w="80" w:type="dxa"/>
              <w:bottom w:w="80" w:type="dxa"/>
              <w:left w:w="100" w:type="dxa"/>
              <w:right w:w="100" w:type="dxa"/>
            </w:tcMar>
            <w:shd w:fill="FFFFFF"/>
          </w:tcPr>
          <w:p>
            <w:pPr>
              <w:keepNext w:val="0"/>
              <w:spacing w:after="0" w:before="0" w:line="252" w:lineRule="auto"/>
              <w:jc w:val="center"/>
            </w:pPr>
            <w:r>
              <w:rPr>
                <w:sz w:val="20"/>
              </w:rPr>
              <w:t>Unhedged</w:t>
            </w:r>
          </w:p>
        </w:tc>
      </w:tr>
      <w:tr>
        <w:trPr>
          <w:cantSplit/>
        </w:trPr>
        <w:tc>
          <w:tcPr>
            <w:tcW w:type="dxa" w:w="2924"/>
            <w:vAlign w:val="center"/>
            <w:tcMar>
              <w:top w:w="80" w:type="dxa"/>
              <w:bottom w:w="80" w:type="dxa"/>
              <w:left w:w="100" w:type="dxa"/>
              <w:right w:w="100" w:type="dxa"/>
            </w:tcMar>
            <w:shd w:fill="F4F7F8"/>
          </w:tcPr>
          <w:p>
            <w:pPr>
              <w:keepNext w:val="0"/>
              <w:spacing w:after="0" w:before="0" w:line="252" w:lineRule="auto"/>
            </w:pPr>
            <w:r>
              <w:rPr>
                <w:sz w:val="20"/>
              </w:rPr>
              <w:t>Annual fee</w:t>
            </w:r>
          </w:p>
        </w:tc>
        <w:tc>
          <w:tcPr>
            <w:tcW w:type="dxa" w:w="6822"/>
            <w:vAlign w:val="center"/>
            <w:tcMar>
              <w:top w:w="80" w:type="dxa"/>
              <w:bottom w:w="80" w:type="dxa"/>
              <w:left w:w="100" w:type="dxa"/>
              <w:right w:w="100" w:type="dxa"/>
            </w:tcMar>
            <w:shd w:fill="F4F7F8"/>
          </w:tcPr>
          <w:p>
            <w:pPr>
              <w:keepNext w:val="0"/>
              <w:spacing w:after="0" w:before="0" w:line="252" w:lineRule="auto"/>
            </w:pPr>
            <w:r>
              <w:rPr>
                <w:sz w:val="20"/>
              </w:rPr>
              <w:t>0.495% — Effective trust fee incl. tax</w:t>
            </w:r>
          </w:p>
        </w:tc>
      </w:tr>
      <w:tr>
        <w:trPr>
          <w:cantSplit/>
        </w:trPr>
        <w:tc>
          <w:tcPr>
            <w:tcW w:type="dxa" w:w="2924"/>
            <w:vAlign w:val="center"/>
            <w:tcMar>
              <w:top w:w="80" w:type="dxa"/>
              <w:bottom w:w="80" w:type="dxa"/>
              <w:left w:w="100" w:type="dxa"/>
              <w:right w:w="100" w:type="dxa"/>
            </w:tcMar>
            <w:shd w:fill="FFFFFF"/>
          </w:tcPr>
          <w:p>
            <w:pPr>
              <w:keepNext w:val="0"/>
              <w:spacing w:after="0" w:before="0" w:line="252" w:lineRule="auto"/>
            </w:pPr>
            <w:r>
              <w:rPr>
                <w:sz w:val="20"/>
              </w:rPr>
              <w:t>Custodian</w:t>
            </w:r>
          </w:p>
        </w:tc>
        <w:tc>
          <w:tcPr>
            <w:tcW w:type="dxa" w:w="6822"/>
            <w:vAlign w:val="center"/>
            <w:tcMar>
              <w:top w:w="80" w:type="dxa"/>
              <w:bottom w:w="80" w:type="dxa"/>
              <w:left w:w="100" w:type="dxa"/>
              <w:right w:w="100" w:type="dxa"/>
            </w:tcMar>
            <w:shd w:fill="FFFFFF"/>
          </w:tcPr>
          <w:p>
            <w:pPr>
              <w:keepNext w:val="0"/>
              <w:spacing w:after="0" w:before="0" w:line="252" w:lineRule="auto"/>
            </w:pPr>
            <w:r>
              <w:rPr>
                <w:sz w:val="20"/>
              </w:rPr>
              <w:t>Mizuho Trust &amp; Banking Co., Ltd. (trustee). Underlying bullion: JPMorgan, London.</w:t>
            </w:r>
          </w:p>
        </w:tc>
      </w:tr>
      <w:tr>
        <w:trPr>
          <w:cantSplit/>
        </w:trPr>
        <w:tc>
          <w:tcPr>
            <w:tcW w:type="dxa" w:w="2924"/>
            <w:vAlign w:val="center"/>
            <w:tcMar>
              <w:top w:w="80" w:type="dxa"/>
              <w:bottom w:w="80" w:type="dxa"/>
              <w:left w:w="100" w:type="dxa"/>
              <w:right w:w="100" w:type="dxa"/>
            </w:tcMar>
            <w:shd w:fill="F4F7F8"/>
          </w:tcPr>
          <w:p>
            <w:pPr>
              <w:keepNext w:val="0"/>
              <w:spacing w:after="0" w:before="0" w:line="252" w:lineRule="auto"/>
            </w:pPr>
            <w:r>
              <w:rPr>
                <w:sz w:val="20"/>
              </w:rPr>
              <w:t>Custody evidence date</w:t>
            </w:r>
          </w:p>
        </w:tc>
        <w:tc>
          <w:tcPr>
            <w:tcW w:type="dxa" w:w="6822"/>
            <w:vAlign w:val="center"/>
            <w:tcMar>
              <w:top w:w="80" w:type="dxa"/>
              <w:bottom w:w="80" w:type="dxa"/>
              <w:left w:w="100" w:type="dxa"/>
              <w:right w:w="100" w:type="dxa"/>
            </w:tcMar>
            <w:shd w:fill="F4F7F8"/>
          </w:tcPr>
          <w:p>
            <w:pPr>
              <w:keepNext w:val="0"/>
              <w:spacing w:after="0" w:before="0" w:line="252" w:lineRule="auto"/>
              <w:jc w:val="center"/>
            </w:pPr>
            <w:r>
              <w:rPr>
                <w:sz w:val="20"/>
              </w:rPr>
              <w:t>2026-09-23</w:t>
            </w:r>
          </w:p>
        </w:tc>
      </w:tr>
      <w:tr>
        <w:trPr>
          <w:cantSplit/>
        </w:trPr>
        <w:tc>
          <w:tcPr>
            <w:tcW w:type="dxa" w:w="2924"/>
            <w:vAlign w:val="center"/>
            <w:tcMar>
              <w:top w:w="80" w:type="dxa"/>
              <w:bottom w:w="80" w:type="dxa"/>
              <w:left w:w="100" w:type="dxa"/>
              <w:right w:w="100" w:type="dxa"/>
            </w:tcMar>
            <w:shd w:fill="FFFFFF"/>
          </w:tcPr>
          <w:p>
            <w:pPr>
              <w:keepNext w:val="0"/>
              <w:spacing w:after="0" w:before="0" w:line="252" w:lineRule="auto"/>
            </w:pPr>
            <w:r>
              <w:rPr>
                <w:sz w:val="20"/>
              </w:rPr>
              <w:t>Underlying security ISIN</w:t>
            </w:r>
          </w:p>
        </w:tc>
        <w:tc>
          <w:tcPr>
            <w:tcW w:type="dxa" w:w="6822"/>
            <w:vAlign w:val="center"/>
            <w:tcMar>
              <w:top w:w="80" w:type="dxa"/>
              <w:bottom w:w="80" w:type="dxa"/>
              <w:left w:w="100" w:type="dxa"/>
              <w:right w:w="100" w:type="dxa"/>
            </w:tcMar>
            <w:shd w:fill="FFFFFF"/>
          </w:tcPr>
          <w:p>
            <w:pPr>
              <w:keepNext w:val="0"/>
              <w:spacing w:after="0" w:before="0" w:line="252" w:lineRule="auto"/>
              <w:jc w:val="center"/>
            </w:pPr>
            <w:r>
              <w:rPr>
                <w:sz w:val="20"/>
              </w:rPr>
              <w:t>IE00B4NCWG09</w:t>
            </w:r>
          </w:p>
        </w:tc>
      </w:tr>
    </w:tbl>
    <w:p>
      <w:pPr>
        <w:spacing w:after="60" w:before="0" w:line="40" w:lineRule="exact"/>
      </w:pPr>
      <w:r>
        <w:rPr>
          <w:sz w:val="4"/>
        </w:rPr>
      </w:r>
    </w:p>
    <w:p>
      <w:r>
        <w:rPr>
          <w:b/>
        </w:rPr>
        <w:t xml:space="preserve">Fee definition. </w:t>
      </w:r>
      <w:r>
        <w:t>Approximate effective annual management cost including tax and underlying ETC/ETF management cost. The local fee adjusts for underlying charges. Other expenses may apply. Do not add the Irish ETC TER again.</w:t>
      </w:r>
    </w:p>
    <w:p>
      <w:r>
        <w:rPr>
          <w:b/>
        </w:rPr>
        <w:t xml:space="preserve">Allocation. </w:t>
      </w:r>
      <w:r>
        <w:t>The ETF holds securities of the Irish physical silver ETC. Allocated bullion backs that ETC, with interim unallocated accounts as described in its prospectus. The local ETF’s portfolio asset is the ETC security.</w:t>
      </w:r>
    </w:p>
    <w:p>
      <w:r>
        <w:rPr>
          <w:b/>
        </w:rPr>
        <w:t xml:space="preserve">Bullion storage. </w:t>
      </w:r>
      <w:r>
        <w:t>Look-through location policy of the Irish silver ETC: London. This is not a separate local bullion pool.</w:t>
      </w:r>
    </w:p>
    <w:p>
      <w:r>
        <w:rPr>
          <w:b/>
        </w:rPr>
        <w:t xml:space="preserve">Location holding limits. </w:t>
      </w:r>
      <w:r>
        <w:t>The Irish base prospectus places all underlying allocated gold and silver in London custodian/subcustodian vaults. It does not specify a numerical limit per individual London vault in the reviewed location clause. This is a location requirement for allocated bullion, not a requirement that every fund asset or hedge be physically in London. This rule applies to the Irish ETC’s underlying bullion. The Australian/Japanese ETF holds ETC securities and does not have a separate local bullion pool. The custody-agreement summary on PDF pages 145–146 specifies London for gold/silver subcustody and London or a Swiss fiscal warehouse in Zurich for platinum/palladium. No US location is permitted in these reviewed provisions. The executed series agreements and complete later-document chain remain to be confirmed.</w:t>
      </w:r>
    </w:p>
    <w:p>
      <w:r>
        <w:rPr>
          <w:b/>
        </w:rPr>
        <w:t xml:space="preserve">Limit scope. </w:t>
      </w:r>
      <w:r>
        <w:t>Underlying Irish ETC allocated bullion</w:t>
      </w:r>
    </w:p>
    <w:p>
      <w:r>
        <w:rPr>
          <w:b/>
        </w:rPr>
        <w:t xml:space="preserve">Custody verification. </w:t>
      </w:r>
      <w:r>
        <w:t>Published base prospectus dated 11 May 2026, including custody summary, reviewed. US storage permission is not established. Executed series custody agreements and a complete post-base supplement/final-terms chain have not been obtained.</w:t>
      </w:r>
    </w:p>
    <w:p>
      <w:r>
        <w:rPr>
          <w:b w:val="0"/>
        </w:rPr>
        <w:t>Look-through bullion overlaps the Irish ETC. Do not add feeder AUM to the underlying ETC when estimating unique bullion exposure.</w:t>
      </w:r>
    </w:p>
    <w:p>
      <w:r>
        <w:rPr>
          <w:b/>
        </w:rPr>
        <w:t xml:space="preserve">Location clause source. </w:t>
      </w:r>
      <w:hyperlink r:id="rId12">
        <w:r>
          <w:rPr>
            <w:color w:val="235779"/>
            <w:u w:val="single"/>
          </w:rPr>
          <w:t>Underlying Irish ETC base prospectus</w:t>
        </w:r>
      </w:hyperlink>
      <w:r>
        <w:t xml:space="preserve"> — Custody and Insurance, PDF page 56; Custody Agreement summary, PDF pages 145–148 (especially 146(iii))</w:t>
      </w:r>
    </w:p>
    <w:p>
      <w:pPr>
        <w:pStyle w:val="Heading2"/>
        <w:pageBreakBefore w:val="0"/>
      </w:pPr>
      <w:r>
        <w:t>Recorded listings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86"/>
        <w:gridCol w:w="1754"/>
        <w:gridCol w:w="1169"/>
        <w:gridCol w:w="2436"/>
      </w:tblGrid>
      <w:tr>
        <w:trPr>
          <w:tblHeader/>
          <w:cantSplit/>
        </w:trPr>
        <w:tc>
          <w:tcPr>
            <w:tcW w:type="dxa" w:w="4386"/>
            <w:vAlign w:val="center"/>
            <w:tcMar>
              <w:top w:w="80" w:type="dxa"/>
              <w:bottom w:w="80" w:type="dxa"/>
              <w:left w:w="100" w:type="dxa"/>
              <w:right w:w="100" w:type="dxa"/>
            </w:tcMar>
            <w:shd w:fill="DCE6EB"/>
          </w:tcPr>
          <w:p>
            <w:pPr>
              <w:keepNext/>
              <w:spacing w:after="0" w:before="0" w:line="252" w:lineRule="auto"/>
            </w:pPr>
            <w:r>
              <w:rPr>
                <w:b/>
                <w:sz w:val="20"/>
              </w:rPr>
              <w:t>Exchange</w:t>
            </w:r>
          </w:p>
        </w:tc>
        <w:tc>
          <w:tcPr>
            <w:tcW w:type="dxa" w:w="1754"/>
            <w:vAlign w:val="center"/>
            <w:tcMar>
              <w:top w:w="80" w:type="dxa"/>
              <w:bottom w:w="80" w:type="dxa"/>
              <w:left w:w="100" w:type="dxa"/>
              <w:right w:w="100" w:type="dxa"/>
            </w:tcMar>
            <w:shd w:fill="DCE6EB"/>
          </w:tcPr>
          <w:p>
            <w:pPr>
              <w:keepNext/>
              <w:spacing w:after="0" w:before="0" w:line="252" w:lineRule="auto"/>
              <w:jc w:val="center"/>
            </w:pPr>
            <w:r>
              <w:rPr>
                <w:b/>
                <w:sz w:val="20"/>
              </w:rPr>
              <w:t>Ticker</w:t>
            </w:r>
          </w:p>
        </w:tc>
        <w:tc>
          <w:tcPr>
            <w:tcW w:type="dxa" w:w="1169"/>
            <w:vAlign w:val="center"/>
            <w:tcMar>
              <w:top w:w="80" w:type="dxa"/>
              <w:bottom w:w="80" w:type="dxa"/>
              <w:left w:w="100" w:type="dxa"/>
              <w:right w:w="100" w:type="dxa"/>
            </w:tcMar>
            <w:shd w:fill="DCE6EB"/>
          </w:tcPr>
          <w:p>
            <w:pPr>
              <w:keepNext/>
              <w:spacing w:after="0" w:before="0" w:line="252" w:lineRule="auto"/>
              <w:jc w:val="center"/>
            </w:pPr>
            <w:r>
              <w:rPr>
                <w:b/>
                <w:sz w:val="20"/>
              </w:rPr>
              <w:t>Currency</w:t>
            </w:r>
          </w:p>
        </w:tc>
        <w:tc>
          <w:tcPr>
            <w:tcW w:type="dxa" w:w="2436"/>
            <w:vAlign w:val="center"/>
            <w:tcMar>
              <w:top w:w="80" w:type="dxa"/>
              <w:bottom w:w="80" w:type="dxa"/>
              <w:left w:w="100" w:type="dxa"/>
              <w:right w:w="100" w:type="dxa"/>
            </w:tcMar>
            <w:shd w:fill="DCE6EB"/>
          </w:tcPr>
          <w:p>
            <w:pPr>
              <w:keepNext/>
              <w:spacing w:after="0" w:before="0" w:line="252" w:lineRule="auto"/>
              <w:jc w:val="center"/>
            </w:pPr>
            <w:r>
              <w:rPr>
                <w:b/>
                <w:sz w:val="20"/>
              </w:rPr>
              <w:t>Listing date</w:t>
            </w:r>
          </w:p>
        </w:tc>
      </w:tr>
      <w:tr>
        <w:trPr>
          <w:cantSplit/>
        </w:trPr>
        <w:tc>
          <w:tcPr>
            <w:tcW w:type="dxa" w:w="4386"/>
            <w:vAlign w:val="center"/>
            <w:tcMar>
              <w:top w:w="80" w:type="dxa"/>
              <w:bottom w:w="80" w:type="dxa"/>
              <w:left w:w="100" w:type="dxa"/>
              <w:right w:w="100" w:type="dxa"/>
            </w:tcMar>
            <w:shd w:fill="FFFFFF"/>
          </w:tcPr>
          <w:p>
            <w:pPr>
              <w:keepNext w:val="0"/>
              <w:spacing w:after="0" w:before="0" w:line="252" w:lineRule="auto"/>
            </w:pPr>
            <w:r>
              <w:rPr>
                <w:sz w:val="20"/>
              </w:rPr>
              <w:t>Tokyo Stock Exchange</w:t>
            </w:r>
          </w:p>
        </w:tc>
        <w:tc>
          <w:tcPr>
            <w:tcW w:type="dxa" w:w="1754"/>
            <w:vAlign w:val="center"/>
            <w:tcMar>
              <w:top w:w="80" w:type="dxa"/>
              <w:bottom w:w="80" w:type="dxa"/>
              <w:left w:w="100" w:type="dxa"/>
              <w:right w:w="100" w:type="dxa"/>
            </w:tcMar>
            <w:shd w:fill="FFFFFF"/>
          </w:tcPr>
          <w:p>
            <w:pPr>
              <w:keepNext w:val="0"/>
              <w:spacing w:after="0" w:before="0" w:line="252" w:lineRule="auto"/>
              <w:jc w:val="center"/>
            </w:pPr>
            <w:r>
              <w:rPr>
                <w:sz w:val="20"/>
              </w:rPr>
              <w:t>568A</w:t>
            </w:r>
          </w:p>
        </w:tc>
        <w:tc>
          <w:tcPr>
            <w:tcW w:type="dxa" w:w="1169"/>
            <w:vAlign w:val="center"/>
            <w:tcMar>
              <w:top w:w="80" w:type="dxa"/>
              <w:bottom w:w="80" w:type="dxa"/>
              <w:left w:w="100" w:type="dxa"/>
              <w:right w:w="100" w:type="dxa"/>
            </w:tcMar>
            <w:shd w:fill="FFFFFF"/>
          </w:tcPr>
          <w:p>
            <w:pPr>
              <w:keepNext w:val="0"/>
              <w:spacing w:after="0" w:before="0" w:line="252" w:lineRule="auto"/>
              <w:jc w:val="center"/>
            </w:pPr>
            <w:r>
              <w:rPr>
                <w:sz w:val="20"/>
              </w:rPr>
              <w:t>JPY</w:t>
            </w:r>
          </w:p>
        </w:tc>
        <w:tc>
          <w:tcPr>
            <w:tcW w:type="dxa" w:w="2436"/>
            <w:vAlign w:val="center"/>
            <w:tcMar>
              <w:top w:w="80" w:type="dxa"/>
              <w:bottom w:w="80" w:type="dxa"/>
              <w:left w:w="100" w:type="dxa"/>
              <w:right w:w="100" w:type="dxa"/>
            </w:tcMar>
            <w:shd w:fill="FFFFFF"/>
          </w:tcPr>
          <w:p>
            <w:pPr>
              <w:keepNext w:val="0"/>
              <w:spacing w:after="0" w:before="0" w:line="252" w:lineRule="auto"/>
              <w:jc w:val="center"/>
            </w:pPr>
            <w:r>
              <w:rPr>
                <w:sz w:val="20"/>
              </w:rPr>
              <w:t>2026-05-20</w:t>
            </w:r>
          </w:p>
        </w:tc>
      </w:tr>
    </w:tbl>
    <w:p>
      <w:pPr>
        <w:spacing w:after="60" w:before="0" w:line="40" w:lineRule="exact"/>
      </w:pPr>
      <w:r>
        <w:rPr>
          <w:sz w:val="4"/>
        </w:rPr>
      </w:r>
    </w:p>
    <w:p>
      <w:pPr>
        <w:pStyle w:val="Heading2"/>
        <w:pageBreakBefore w:val="0"/>
      </w:pPr>
      <w:r>
        <w:t>Sources</w:t>
      </w:r>
    </w:p>
    <w:p>
      <w:pPr>
        <w:spacing w:after="80"/>
      </w:pPr>
      <w:hyperlink r:id="rId83">
        <w:r>
          <w:rPr>
            <w:color w:val="235779"/>
            <w:u w:val="single"/>
          </w:rPr>
          <w:t>Issuer product page</w:t>
        </w:r>
      </w:hyperlink>
      <w:r>
        <w:t xml:space="preserve">  ·  </w:t>
      </w:r>
      <w:hyperlink r:id="rId84">
        <w:r>
          <w:rPr>
            <w:color w:val="235779"/>
            <w:u w:val="single"/>
          </w:rPr>
          <w:t>Saved source</w:t>
        </w:r>
      </w:hyperlink>
    </w:p>
    <w:p>
      <w:pPr>
        <w:spacing w:after="80"/>
      </w:pPr>
      <w:hyperlink r:id="rId85">
        <w:r>
          <w:rPr>
            <w:color w:val="235779"/>
            <w:u w:val="single"/>
          </w:rPr>
          <w:t>Japanese prospectus: fees and trustee</w:t>
        </w:r>
      </w:hyperlink>
      <w:r>
        <w:t xml:space="preserve">  ·  </w:t>
      </w:r>
      <w:hyperlink r:id="rId86">
        <w:r>
          <w:rPr>
            <w:color w:val="235779"/>
            <w:u w:val="single"/>
          </w:rPr>
          <w:t>Saved source</w:t>
        </w:r>
      </w:hyperlink>
    </w:p>
    <w:p>
      <w:pPr>
        <w:spacing w:after="80"/>
      </w:pPr>
      <w:hyperlink r:id="rId15">
        <w:r>
          <w:rPr>
            <w:color w:val="235779"/>
            <w:u w:val="single"/>
          </w:rPr>
          <w:t>Underlying Irish ETC base prospectus</w:t>
        </w:r>
      </w:hyperlink>
      <w:r>
        <w:t xml:space="preserve">  ·  </w:t>
      </w:r>
      <w:hyperlink r:id="rId16">
        <w:r>
          <w:rPr>
            <w:color w:val="235779"/>
            <w:u w:val="single"/>
          </w:rPr>
          <w:t>Saved source</w:t>
        </w:r>
      </w:hyperlink>
    </w:p>
    <w:p>
      <w:bookmarkStart w:id="22" w:name="product_20"/>
      <w:pPr>
        <w:pStyle w:val="Heading1"/>
        <w:pageBreakBefore w:val="0"/>
        <w:spacing w:before="360"/>
      </w:pPr>
      <w:r>
        <w:t>20  iShares Platinum ETF</w:t>
      </w:r>
      <w:bookmarkEnd w:id="22"/>
    </w:p>
    <w:p>
      <w:pPr>
        <w:keepNext/>
      </w:pPr>
      <w:r>
        <w:rPr>
          <w:b/>
        </w:rPr>
        <w:t>569A  |  Japan  |  Platinum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24"/>
        <w:gridCol w:w="6822"/>
      </w:tblGrid>
      <w:tr>
        <w:trPr>
          <w:tblHeader/>
          <w:cantSplit/>
        </w:trPr>
        <w:tc>
          <w:tcPr>
            <w:tcW w:type="dxa" w:w="2924"/>
            <w:vAlign w:val="center"/>
            <w:tcMar>
              <w:top w:w="80" w:type="dxa"/>
              <w:bottom w:w="80" w:type="dxa"/>
              <w:left w:w="100" w:type="dxa"/>
              <w:right w:w="100" w:type="dxa"/>
            </w:tcMar>
            <w:shd w:fill="DCE6EB"/>
          </w:tcPr>
          <w:p>
            <w:pPr>
              <w:keepNext/>
              <w:spacing w:after="0" w:before="0" w:line="252" w:lineRule="auto"/>
            </w:pPr>
            <w:r>
              <w:rPr>
                <w:b/>
                <w:sz w:val="20"/>
              </w:rPr>
              <w:t>Field</w:t>
            </w:r>
          </w:p>
        </w:tc>
        <w:tc>
          <w:tcPr>
            <w:tcW w:type="dxa" w:w="6822"/>
            <w:vAlign w:val="center"/>
            <w:tcMar>
              <w:top w:w="80" w:type="dxa"/>
              <w:bottom w:w="80" w:type="dxa"/>
              <w:left w:w="100" w:type="dxa"/>
              <w:right w:w="100" w:type="dxa"/>
            </w:tcMar>
            <w:shd w:fill="DCE6EB"/>
          </w:tcPr>
          <w:p>
            <w:pPr>
              <w:keepNext/>
              <w:spacing w:after="0" w:before="0" w:line="252" w:lineRule="auto"/>
              <w:jc w:val="center"/>
            </w:pPr>
            <w:r>
              <w:rPr>
                <w:b/>
                <w:sz w:val="20"/>
              </w:rPr>
              <w:t>Detail</w:t>
            </w:r>
          </w:p>
        </w:tc>
      </w:tr>
      <w:tr>
        <w:trPr>
          <w:cantSplit/>
        </w:trPr>
        <w:tc>
          <w:tcPr>
            <w:tcW w:type="dxa" w:w="2924"/>
            <w:vAlign w:val="center"/>
            <w:tcMar>
              <w:top w:w="80" w:type="dxa"/>
              <w:bottom w:w="80" w:type="dxa"/>
              <w:left w:w="100" w:type="dxa"/>
              <w:right w:w="100" w:type="dxa"/>
            </w:tcMar>
            <w:shd w:fill="FFFFFF"/>
          </w:tcPr>
          <w:p>
            <w:pPr>
              <w:keepNext w:val="0"/>
              <w:spacing w:after="0" w:before="0" w:line="252" w:lineRule="auto"/>
            </w:pPr>
            <w:r>
              <w:rPr>
                <w:sz w:val="20"/>
              </w:rPr>
              <w:t>Legal form</w:t>
            </w:r>
          </w:p>
        </w:tc>
        <w:tc>
          <w:tcPr>
            <w:tcW w:type="dxa" w:w="6822"/>
            <w:vAlign w:val="center"/>
            <w:tcMar>
              <w:top w:w="80" w:type="dxa"/>
              <w:bottom w:w="80" w:type="dxa"/>
              <w:left w:w="100" w:type="dxa"/>
              <w:right w:w="100" w:type="dxa"/>
            </w:tcMar>
            <w:shd w:fill="FFFFFF"/>
          </w:tcPr>
          <w:p>
            <w:pPr>
              <w:keepNext w:val="0"/>
              <w:spacing w:after="0" w:before="0" w:line="252" w:lineRule="auto"/>
              <w:jc w:val="center"/>
            </w:pPr>
            <w:r>
              <w:rPr>
                <w:sz w:val="20"/>
              </w:rPr>
              <w:t>Japanese ETF</w:t>
            </w:r>
          </w:p>
        </w:tc>
      </w:tr>
      <w:tr>
        <w:trPr>
          <w:cantSplit/>
        </w:trPr>
        <w:tc>
          <w:tcPr>
            <w:tcW w:type="dxa" w:w="2924"/>
            <w:vAlign w:val="center"/>
            <w:tcMar>
              <w:top w:w="80" w:type="dxa"/>
              <w:bottom w:w="80" w:type="dxa"/>
              <w:left w:w="100" w:type="dxa"/>
              <w:right w:w="100" w:type="dxa"/>
            </w:tcMar>
            <w:shd w:fill="F4F7F8"/>
          </w:tcPr>
          <w:p>
            <w:pPr>
              <w:keepNext w:val="0"/>
              <w:spacing w:after="0" w:before="0" w:line="252" w:lineRule="auto"/>
            </w:pPr>
            <w:r>
              <w:rPr>
                <w:sz w:val="20"/>
              </w:rPr>
              <w:t>Issuer or sponsor</w:t>
            </w:r>
          </w:p>
        </w:tc>
        <w:tc>
          <w:tcPr>
            <w:tcW w:type="dxa" w:w="6822"/>
            <w:vAlign w:val="center"/>
            <w:tcMar>
              <w:top w:w="80" w:type="dxa"/>
              <w:bottom w:w="80" w:type="dxa"/>
              <w:left w:w="100" w:type="dxa"/>
              <w:right w:w="100" w:type="dxa"/>
            </w:tcMar>
            <w:shd w:fill="F4F7F8"/>
          </w:tcPr>
          <w:p>
            <w:pPr>
              <w:keepNext w:val="0"/>
              <w:spacing w:after="0" w:before="0" w:line="252" w:lineRule="auto"/>
            </w:pPr>
            <w:r>
              <w:rPr>
                <w:sz w:val="20"/>
              </w:rPr>
              <w:t>BlackRock Japan Co., Ltd.</w:t>
            </w:r>
          </w:p>
        </w:tc>
      </w:tr>
      <w:tr>
        <w:trPr>
          <w:cantSplit/>
        </w:trPr>
        <w:tc>
          <w:tcPr>
            <w:tcW w:type="dxa" w:w="2924"/>
            <w:vAlign w:val="center"/>
            <w:tcMar>
              <w:top w:w="80" w:type="dxa"/>
              <w:bottom w:w="80" w:type="dxa"/>
              <w:left w:w="100" w:type="dxa"/>
              <w:right w:w="100" w:type="dxa"/>
            </w:tcMar>
            <w:shd w:fill="FFFFFF"/>
          </w:tcPr>
          <w:p>
            <w:pPr>
              <w:keepNext w:val="0"/>
              <w:spacing w:after="0" w:before="0" w:line="252" w:lineRule="auto"/>
            </w:pPr>
            <w:r>
              <w:rPr>
                <w:sz w:val="20"/>
              </w:rPr>
              <w:t>Launch or class inception</w:t>
            </w:r>
          </w:p>
        </w:tc>
        <w:tc>
          <w:tcPr>
            <w:tcW w:type="dxa" w:w="6822"/>
            <w:vAlign w:val="center"/>
            <w:tcMar>
              <w:top w:w="80" w:type="dxa"/>
              <w:bottom w:w="80" w:type="dxa"/>
              <w:left w:w="100" w:type="dxa"/>
              <w:right w:w="100" w:type="dxa"/>
            </w:tcMar>
            <w:shd w:fill="FFFFFF"/>
          </w:tcPr>
          <w:p>
            <w:pPr>
              <w:keepNext w:val="0"/>
              <w:spacing w:after="0" w:before="0" w:line="252" w:lineRule="auto"/>
              <w:jc w:val="center"/>
            </w:pPr>
            <w:r>
              <w:rPr>
                <w:sz w:val="20"/>
              </w:rPr>
              <w:t>2026-05-18</w:t>
            </w:r>
          </w:p>
        </w:tc>
      </w:tr>
      <w:tr>
        <w:trPr>
          <w:cantSplit/>
        </w:trPr>
        <w:tc>
          <w:tcPr>
            <w:tcW w:type="dxa" w:w="2924"/>
            <w:vAlign w:val="center"/>
            <w:tcMar>
              <w:top w:w="80" w:type="dxa"/>
              <w:bottom w:w="80" w:type="dxa"/>
              <w:left w:w="100" w:type="dxa"/>
              <w:right w:w="100" w:type="dxa"/>
            </w:tcMar>
            <w:shd w:fill="F4F7F8"/>
          </w:tcPr>
          <w:p>
            <w:pPr>
              <w:keepNext w:val="0"/>
              <w:spacing w:after="0" w:before="0" w:line="252" w:lineRule="auto"/>
            </w:pPr>
            <w:r>
              <w:rPr>
                <w:sz w:val="20"/>
              </w:rPr>
              <w:t>ISIN / CUSIP</w:t>
            </w:r>
          </w:p>
        </w:tc>
        <w:tc>
          <w:tcPr>
            <w:tcW w:type="dxa" w:w="6822"/>
            <w:vAlign w:val="center"/>
            <w:tcMar>
              <w:top w:w="80" w:type="dxa"/>
              <w:bottom w:w="80" w:type="dxa"/>
              <w:left w:w="100" w:type="dxa"/>
              <w:right w:w="100" w:type="dxa"/>
            </w:tcMar>
            <w:shd w:fill="F4F7F8"/>
          </w:tcPr>
          <w:p>
            <w:pPr>
              <w:keepNext w:val="0"/>
              <w:spacing w:after="0" w:before="0" w:line="252" w:lineRule="auto"/>
              <w:jc w:val="center"/>
            </w:pPr>
            <w:r>
              <w:rPr>
                <w:sz w:val="20"/>
              </w:rPr>
              <w:t>JP3051480006</w:t>
            </w:r>
          </w:p>
        </w:tc>
      </w:tr>
      <w:tr>
        <w:trPr>
          <w:cantSplit/>
        </w:trPr>
        <w:tc>
          <w:tcPr>
            <w:tcW w:type="dxa" w:w="2924"/>
            <w:vAlign w:val="center"/>
            <w:tcMar>
              <w:top w:w="80" w:type="dxa"/>
              <w:bottom w:w="80" w:type="dxa"/>
              <w:left w:w="100" w:type="dxa"/>
              <w:right w:w="100" w:type="dxa"/>
            </w:tcMar>
            <w:shd w:fill="FFFFFF"/>
          </w:tcPr>
          <w:p>
            <w:pPr>
              <w:keepNext w:val="0"/>
              <w:spacing w:after="0" w:before="0" w:line="252" w:lineRule="auto"/>
            </w:pPr>
            <w:r>
              <w:rPr>
                <w:sz w:val="20"/>
              </w:rPr>
              <w:t>Reported net assets</w:t>
            </w:r>
          </w:p>
        </w:tc>
        <w:tc>
          <w:tcPr>
            <w:tcW w:type="dxa" w:w="6822"/>
            <w:vAlign w:val="center"/>
            <w:tcMar>
              <w:top w:w="80" w:type="dxa"/>
              <w:bottom w:w="80" w:type="dxa"/>
              <w:left w:w="100" w:type="dxa"/>
              <w:right w:w="100" w:type="dxa"/>
            </w:tcMar>
            <w:shd w:fill="FFFFFF"/>
          </w:tcPr>
          <w:p>
            <w:pPr>
              <w:keepNext w:val="0"/>
              <w:spacing w:after="0" w:before="0" w:line="252" w:lineRule="auto"/>
            </w:pPr>
            <w:r>
              <w:rPr>
                <w:sz w:val="20"/>
              </w:rPr>
              <w:t>JPY 474,931,743.00 as of 2026-09-18</w:t>
            </w:r>
          </w:p>
        </w:tc>
      </w:tr>
      <w:tr>
        <w:trPr>
          <w:cantSplit/>
        </w:trPr>
        <w:tc>
          <w:tcPr>
            <w:tcW w:type="dxa" w:w="2924"/>
            <w:vAlign w:val="center"/>
            <w:tcMar>
              <w:top w:w="80" w:type="dxa"/>
              <w:bottom w:w="80" w:type="dxa"/>
              <w:left w:w="100" w:type="dxa"/>
              <w:right w:w="100" w:type="dxa"/>
            </w:tcMar>
            <w:shd w:fill="F4F7F8"/>
          </w:tcPr>
          <w:p>
            <w:pPr>
              <w:keepNext w:val="0"/>
              <w:spacing w:after="0" w:before="0" w:line="252" w:lineRule="auto"/>
            </w:pPr>
            <w:r>
              <w:rPr>
                <w:sz w:val="20"/>
              </w:rPr>
              <w:t>Asset basis</w:t>
            </w:r>
          </w:p>
        </w:tc>
        <w:tc>
          <w:tcPr>
            <w:tcW w:type="dxa" w:w="6822"/>
            <w:vAlign w:val="center"/>
            <w:tcMar>
              <w:top w:w="80" w:type="dxa"/>
              <w:bottom w:w="80" w:type="dxa"/>
              <w:left w:w="100" w:type="dxa"/>
              <w:right w:w="100" w:type="dxa"/>
            </w:tcMar>
            <w:shd w:fill="F4F7F8"/>
          </w:tcPr>
          <w:p>
            <w:pPr>
              <w:keepNext w:val="0"/>
              <w:spacing w:after="0" w:before="0" w:line="252" w:lineRule="auto"/>
              <w:jc w:val="center"/>
            </w:pPr>
            <w:r>
              <w:rPr>
                <w:sz w:val="20"/>
              </w:rPr>
              <w:t>Feeder ETF net assets</w:t>
            </w:r>
          </w:p>
        </w:tc>
      </w:tr>
      <w:tr>
        <w:trPr>
          <w:cantSplit/>
        </w:trPr>
        <w:tc>
          <w:tcPr>
            <w:tcW w:type="dxa" w:w="2924"/>
            <w:vAlign w:val="center"/>
            <w:tcMar>
              <w:top w:w="80" w:type="dxa"/>
              <w:bottom w:w="80" w:type="dxa"/>
              <w:left w:w="100" w:type="dxa"/>
              <w:right w:w="100" w:type="dxa"/>
            </w:tcMar>
            <w:shd w:fill="FFFFFF"/>
          </w:tcPr>
          <w:p>
            <w:pPr>
              <w:keepNext w:val="0"/>
              <w:spacing w:after="0" w:before="0" w:line="252" w:lineRule="auto"/>
            </w:pPr>
            <w:r>
              <w:rPr>
                <w:sz w:val="20"/>
              </w:rPr>
              <w:t>Currency exposure</w:t>
            </w:r>
          </w:p>
        </w:tc>
        <w:tc>
          <w:tcPr>
            <w:tcW w:type="dxa" w:w="6822"/>
            <w:vAlign w:val="center"/>
            <w:tcMar>
              <w:top w:w="80" w:type="dxa"/>
              <w:bottom w:w="80" w:type="dxa"/>
              <w:left w:w="100" w:type="dxa"/>
              <w:right w:w="100" w:type="dxa"/>
            </w:tcMar>
            <w:shd w:fill="FFFFFF"/>
          </w:tcPr>
          <w:p>
            <w:pPr>
              <w:keepNext w:val="0"/>
              <w:spacing w:after="0" w:before="0" w:line="252" w:lineRule="auto"/>
              <w:jc w:val="center"/>
            </w:pPr>
            <w:r>
              <w:rPr>
                <w:sz w:val="20"/>
              </w:rPr>
              <w:t>Unhedged</w:t>
            </w:r>
          </w:p>
        </w:tc>
      </w:tr>
      <w:tr>
        <w:trPr>
          <w:cantSplit/>
        </w:trPr>
        <w:tc>
          <w:tcPr>
            <w:tcW w:type="dxa" w:w="2924"/>
            <w:vAlign w:val="center"/>
            <w:tcMar>
              <w:top w:w="80" w:type="dxa"/>
              <w:bottom w:w="80" w:type="dxa"/>
              <w:left w:w="100" w:type="dxa"/>
              <w:right w:w="100" w:type="dxa"/>
            </w:tcMar>
            <w:shd w:fill="F4F7F8"/>
          </w:tcPr>
          <w:p>
            <w:pPr>
              <w:keepNext w:val="0"/>
              <w:spacing w:after="0" w:before="0" w:line="252" w:lineRule="auto"/>
            </w:pPr>
            <w:r>
              <w:rPr>
                <w:sz w:val="20"/>
              </w:rPr>
              <w:t>Annual fee</w:t>
            </w:r>
          </w:p>
        </w:tc>
        <w:tc>
          <w:tcPr>
            <w:tcW w:type="dxa" w:w="6822"/>
            <w:vAlign w:val="center"/>
            <w:tcMar>
              <w:top w:w="80" w:type="dxa"/>
              <w:bottom w:w="80" w:type="dxa"/>
              <w:left w:w="100" w:type="dxa"/>
              <w:right w:w="100" w:type="dxa"/>
            </w:tcMar>
            <w:shd w:fill="F4F7F8"/>
          </w:tcPr>
          <w:p>
            <w:pPr>
              <w:keepNext w:val="0"/>
              <w:spacing w:after="0" w:before="0" w:line="252" w:lineRule="auto"/>
            </w:pPr>
            <w:r>
              <w:rPr>
                <w:sz w:val="20"/>
              </w:rPr>
              <w:t>0.495% — Effective trust fee incl. tax</w:t>
            </w:r>
          </w:p>
        </w:tc>
      </w:tr>
      <w:tr>
        <w:trPr>
          <w:cantSplit/>
        </w:trPr>
        <w:tc>
          <w:tcPr>
            <w:tcW w:type="dxa" w:w="2924"/>
            <w:vAlign w:val="center"/>
            <w:tcMar>
              <w:top w:w="80" w:type="dxa"/>
              <w:bottom w:w="80" w:type="dxa"/>
              <w:left w:w="100" w:type="dxa"/>
              <w:right w:w="100" w:type="dxa"/>
            </w:tcMar>
            <w:shd w:fill="FFFFFF"/>
          </w:tcPr>
          <w:p>
            <w:pPr>
              <w:keepNext w:val="0"/>
              <w:spacing w:after="0" w:before="0" w:line="252" w:lineRule="auto"/>
            </w:pPr>
            <w:r>
              <w:rPr>
                <w:sz w:val="20"/>
              </w:rPr>
              <w:t>Custodian</w:t>
            </w:r>
          </w:p>
        </w:tc>
        <w:tc>
          <w:tcPr>
            <w:tcW w:type="dxa" w:w="6822"/>
            <w:vAlign w:val="center"/>
            <w:tcMar>
              <w:top w:w="80" w:type="dxa"/>
              <w:bottom w:w="80" w:type="dxa"/>
              <w:left w:w="100" w:type="dxa"/>
              <w:right w:w="100" w:type="dxa"/>
            </w:tcMar>
            <w:shd w:fill="FFFFFF"/>
          </w:tcPr>
          <w:p>
            <w:pPr>
              <w:keepNext w:val="0"/>
              <w:spacing w:after="0" w:before="0" w:line="252" w:lineRule="auto"/>
            </w:pPr>
            <w:r>
              <w:rPr>
                <w:sz w:val="20"/>
              </w:rPr>
              <w:t>Mizuho Trust &amp; Banking Co., Ltd. (trustee). Underlying bullion: JPMorgan, London.</w:t>
            </w:r>
          </w:p>
        </w:tc>
      </w:tr>
      <w:tr>
        <w:trPr>
          <w:cantSplit/>
        </w:trPr>
        <w:tc>
          <w:tcPr>
            <w:tcW w:type="dxa" w:w="2924"/>
            <w:vAlign w:val="center"/>
            <w:tcMar>
              <w:top w:w="80" w:type="dxa"/>
              <w:bottom w:w="80" w:type="dxa"/>
              <w:left w:w="100" w:type="dxa"/>
              <w:right w:w="100" w:type="dxa"/>
            </w:tcMar>
            <w:shd w:fill="F4F7F8"/>
          </w:tcPr>
          <w:p>
            <w:pPr>
              <w:keepNext w:val="0"/>
              <w:spacing w:after="0" w:before="0" w:line="252" w:lineRule="auto"/>
            </w:pPr>
            <w:r>
              <w:rPr>
                <w:sz w:val="20"/>
              </w:rPr>
              <w:t>Custody evidence date</w:t>
            </w:r>
          </w:p>
        </w:tc>
        <w:tc>
          <w:tcPr>
            <w:tcW w:type="dxa" w:w="6822"/>
            <w:vAlign w:val="center"/>
            <w:tcMar>
              <w:top w:w="80" w:type="dxa"/>
              <w:bottom w:w="80" w:type="dxa"/>
              <w:left w:w="100" w:type="dxa"/>
              <w:right w:w="100" w:type="dxa"/>
            </w:tcMar>
            <w:shd w:fill="F4F7F8"/>
          </w:tcPr>
          <w:p>
            <w:pPr>
              <w:keepNext w:val="0"/>
              <w:spacing w:after="0" w:before="0" w:line="252" w:lineRule="auto"/>
              <w:jc w:val="center"/>
            </w:pPr>
            <w:r>
              <w:rPr>
                <w:sz w:val="20"/>
              </w:rPr>
              <w:t>2026-09-23</w:t>
            </w:r>
          </w:p>
        </w:tc>
      </w:tr>
      <w:tr>
        <w:trPr>
          <w:cantSplit/>
        </w:trPr>
        <w:tc>
          <w:tcPr>
            <w:tcW w:type="dxa" w:w="2924"/>
            <w:vAlign w:val="center"/>
            <w:tcMar>
              <w:top w:w="80" w:type="dxa"/>
              <w:bottom w:w="80" w:type="dxa"/>
              <w:left w:w="100" w:type="dxa"/>
              <w:right w:w="100" w:type="dxa"/>
            </w:tcMar>
            <w:shd w:fill="FFFFFF"/>
          </w:tcPr>
          <w:p>
            <w:pPr>
              <w:keepNext w:val="0"/>
              <w:spacing w:after="0" w:before="0" w:line="252" w:lineRule="auto"/>
            </w:pPr>
            <w:r>
              <w:rPr>
                <w:sz w:val="20"/>
              </w:rPr>
              <w:t>Underlying security ISIN</w:t>
            </w:r>
          </w:p>
        </w:tc>
        <w:tc>
          <w:tcPr>
            <w:tcW w:type="dxa" w:w="6822"/>
            <w:vAlign w:val="center"/>
            <w:tcMar>
              <w:top w:w="80" w:type="dxa"/>
              <w:bottom w:w="80" w:type="dxa"/>
              <w:left w:w="100" w:type="dxa"/>
              <w:right w:w="100" w:type="dxa"/>
            </w:tcMar>
            <w:shd w:fill="FFFFFF"/>
          </w:tcPr>
          <w:p>
            <w:pPr>
              <w:keepNext w:val="0"/>
              <w:spacing w:after="0" w:before="0" w:line="252" w:lineRule="auto"/>
              <w:jc w:val="center"/>
            </w:pPr>
            <w:r>
              <w:rPr>
                <w:sz w:val="20"/>
              </w:rPr>
              <w:t>IE00B4LHWP62</w:t>
            </w:r>
          </w:p>
        </w:tc>
      </w:tr>
    </w:tbl>
    <w:p>
      <w:pPr>
        <w:spacing w:after="60" w:before="0" w:line="40" w:lineRule="exact"/>
      </w:pPr>
      <w:r>
        <w:rPr>
          <w:sz w:val="4"/>
        </w:rPr>
      </w:r>
    </w:p>
    <w:p>
      <w:r>
        <w:rPr>
          <w:b/>
        </w:rPr>
        <w:t xml:space="preserve">Fee definition. </w:t>
      </w:r>
      <w:r>
        <w:t>Approximate effective annual management cost including tax and underlying ETC/ETF management cost. The local fee adjusts for underlying charges. Other expenses may apply. Do not add the Irish ETC TER again.</w:t>
      </w:r>
    </w:p>
    <w:p>
      <w:r>
        <w:rPr>
          <w:b/>
        </w:rPr>
        <w:t xml:space="preserve">Allocation. </w:t>
      </w:r>
      <w:r>
        <w:t>The ETF holds securities of the Irish physical platinum ETC. Allocated bullion backs that ETC, with interim unallocated accounts as described in its prospectus. The local ETF’s portfolio asset is the ETC security.</w:t>
      </w:r>
    </w:p>
    <w:p>
      <w:r>
        <w:rPr>
          <w:b/>
        </w:rPr>
        <w:t xml:space="preserve">Bullion storage. </w:t>
      </w:r>
      <w:r>
        <w:t>Look-through location policy of the Irish platinum ETC: London, with Zurich permitted in limited circumstances for platinum. This is not a separate local bullion pool.</w:t>
      </w:r>
    </w:p>
    <w:p>
      <w:r>
        <w:rPr>
          <w:b/>
        </w:rPr>
        <w:t xml:space="preserve">Location holding limits. </w:t>
      </w:r>
      <w:r>
        <w:t>The Irish base prospectus places allocated metal in London and permits platinum/palladium in a Zurich subcustodian vault only in limited circumstances. The reviewed location clause does not quantify those circumstances or specify a percentage, ounce or dollar cap for Zurich or a split between cities. This rule applies to the Irish ETC’s underlying bullion. The Australian/Japanese ETF holds ETC securities and does not have a separate local bullion pool. The custody-agreement summary on PDF pages 145–146 specifies London for gold/silver subcustody and London or a Swiss fiscal warehouse in Zurich for platinum/palladium. No US location is permitted in these reviewed provisions. The executed series agreements and complete later-document chain remain to be confirmed.</w:t>
      </w:r>
    </w:p>
    <w:p>
      <w:r>
        <w:rPr>
          <w:b/>
        </w:rPr>
        <w:t xml:space="preserve">Limit scope. </w:t>
      </w:r>
      <w:r>
        <w:t>Underlying Irish ETC allocated bullion</w:t>
      </w:r>
    </w:p>
    <w:p>
      <w:r>
        <w:rPr>
          <w:b/>
        </w:rPr>
        <w:t xml:space="preserve">Custody verification. </w:t>
      </w:r>
      <w:r>
        <w:t>Published base prospectus dated 11 May 2026, including custody summary, reviewed. US storage permission is not established. Executed series custody agreements and a complete post-base supplement/final-terms chain have not been obtained.</w:t>
      </w:r>
    </w:p>
    <w:p>
      <w:r>
        <w:rPr>
          <w:b w:val="0"/>
        </w:rPr>
        <w:t>Look-through bullion overlaps the Irish ETC. Do not add feeder AUM to the underlying ETC when estimating unique bullion exposure.</w:t>
      </w:r>
    </w:p>
    <w:p>
      <w:r>
        <w:rPr>
          <w:b/>
        </w:rPr>
        <w:t xml:space="preserve">Location clause source. </w:t>
      </w:r>
      <w:hyperlink r:id="rId12">
        <w:r>
          <w:rPr>
            <w:color w:val="235779"/>
            <w:u w:val="single"/>
          </w:rPr>
          <w:t>Underlying Irish ETC base prospectus</w:t>
        </w:r>
      </w:hyperlink>
      <w:r>
        <w:t xml:space="preserve"> — Custody and Insurance, PDF page 56; Custody Agreement summary, PDF pages 145–148 (especially 146(iii))</w:t>
      </w:r>
    </w:p>
    <w:p>
      <w:pPr>
        <w:pStyle w:val="Heading2"/>
        <w:pageBreakBefore w:val="0"/>
      </w:pPr>
      <w:r>
        <w:t>Recorded listings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86"/>
        <w:gridCol w:w="1754"/>
        <w:gridCol w:w="1169"/>
        <w:gridCol w:w="2436"/>
      </w:tblGrid>
      <w:tr>
        <w:trPr>
          <w:tblHeader/>
          <w:cantSplit/>
        </w:trPr>
        <w:tc>
          <w:tcPr>
            <w:tcW w:type="dxa" w:w="4386"/>
            <w:vAlign w:val="center"/>
            <w:tcMar>
              <w:top w:w="80" w:type="dxa"/>
              <w:bottom w:w="80" w:type="dxa"/>
              <w:left w:w="100" w:type="dxa"/>
              <w:right w:w="100" w:type="dxa"/>
            </w:tcMar>
            <w:shd w:fill="DCE6EB"/>
          </w:tcPr>
          <w:p>
            <w:pPr>
              <w:keepNext/>
              <w:spacing w:after="0" w:before="0" w:line="252" w:lineRule="auto"/>
            </w:pPr>
            <w:r>
              <w:rPr>
                <w:b/>
                <w:sz w:val="20"/>
              </w:rPr>
              <w:t>Exchange</w:t>
            </w:r>
          </w:p>
        </w:tc>
        <w:tc>
          <w:tcPr>
            <w:tcW w:type="dxa" w:w="1754"/>
            <w:vAlign w:val="center"/>
            <w:tcMar>
              <w:top w:w="80" w:type="dxa"/>
              <w:bottom w:w="80" w:type="dxa"/>
              <w:left w:w="100" w:type="dxa"/>
              <w:right w:w="100" w:type="dxa"/>
            </w:tcMar>
            <w:shd w:fill="DCE6EB"/>
          </w:tcPr>
          <w:p>
            <w:pPr>
              <w:keepNext/>
              <w:spacing w:after="0" w:before="0" w:line="252" w:lineRule="auto"/>
              <w:jc w:val="center"/>
            </w:pPr>
            <w:r>
              <w:rPr>
                <w:b/>
                <w:sz w:val="20"/>
              </w:rPr>
              <w:t>Ticker</w:t>
            </w:r>
          </w:p>
        </w:tc>
        <w:tc>
          <w:tcPr>
            <w:tcW w:type="dxa" w:w="1169"/>
            <w:vAlign w:val="center"/>
            <w:tcMar>
              <w:top w:w="80" w:type="dxa"/>
              <w:bottom w:w="80" w:type="dxa"/>
              <w:left w:w="100" w:type="dxa"/>
              <w:right w:w="100" w:type="dxa"/>
            </w:tcMar>
            <w:shd w:fill="DCE6EB"/>
          </w:tcPr>
          <w:p>
            <w:pPr>
              <w:keepNext/>
              <w:spacing w:after="0" w:before="0" w:line="252" w:lineRule="auto"/>
              <w:jc w:val="center"/>
            </w:pPr>
            <w:r>
              <w:rPr>
                <w:b/>
                <w:sz w:val="20"/>
              </w:rPr>
              <w:t>Currency</w:t>
            </w:r>
          </w:p>
        </w:tc>
        <w:tc>
          <w:tcPr>
            <w:tcW w:type="dxa" w:w="2436"/>
            <w:vAlign w:val="center"/>
            <w:tcMar>
              <w:top w:w="80" w:type="dxa"/>
              <w:bottom w:w="80" w:type="dxa"/>
              <w:left w:w="100" w:type="dxa"/>
              <w:right w:w="100" w:type="dxa"/>
            </w:tcMar>
            <w:shd w:fill="DCE6EB"/>
          </w:tcPr>
          <w:p>
            <w:pPr>
              <w:keepNext/>
              <w:spacing w:after="0" w:before="0" w:line="252" w:lineRule="auto"/>
              <w:jc w:val="center"/>
            </w:pPr>
            <w:r>
              <w:rPr>
                <w:b/>
                <w:sz w:val="20"/>
              </w:rPr>
              <w:t>Listing date</w:t>
            </w:r>
          </w:p>
        </w:tc>
      </w:tr>
      <w:tr>
        <w:trPr>
          <w:cantSplit/>
        </w:trPr>
        <w:tc>
          <w:tcPr>
            <w:tcW w:type="dxa" w:w="4386"/>
            <w:vAlign w:val="center"/>
            <w:tcMar>
              <w:top w:w="80" w:type="dxa"/>
              <w:bottom w:w="80" w:type="dxa"/>
              <w:left w:w="100" w:type="dxa"/>
              <w:right w:w="100" w:type="dxa"/>
            </w:tcMar>
            <w:shd w:fill="FFFFFF"/>
          </w:tcPr>
          <w:p>
            <w:pPr>
              <w:keepNext w:val="0"/>
              <w:spacing w:after="0" w:before="0" w:line="252" w:lineRule="auto"/>
            </w:pPr>
            <w:r>
              <w:rPr>
                <w:sz w:val="20"/>
              </w:rPr>
              <w:t>Tokyo Stock Exchange</w:t>
            </w:r>
          </w:p>
        </w:tc>
        <w:tc>
          <w:tcPr>
            <w:tcW w:type="dxa" w:w="1754"/>
            <w:vAlign w:val="center"/>
            <w:tcMar>
              <w:top w:w="80" w:type="dxa"/>
              <w:bottom w:w="80" w:type="dxa"/>
              <w:left w:w="100" w:type="dxa"/>
              <w:right w:w="100" w:type="dxa"/>
            </w:tcMar>
            <w:shd w:fill="FFFFFF"/>
          </w:tcPr>
          <w:p>
            <w:pPr>
              <w:keepNext w:val="0"/>
              <w:spacing w:after="0" w:before="0" w:line="252" w:lineRule="auto"/>
              <w:jc w:val="center"/>
            </w:pPr>
            <w:r>
              <w:rPr>
                <w:sz w:val="20"/>
              </w:rPr>
              <w:t>569A</w:t>
            </w:r>
          </w:p>
        </w:tc>
        <w:tc>
          <w:tcPr>
            <w:tcW w:type="dxa" w:w="1169"/>
            <w:vAlign w:val="center"/>
            <w:tcMar>
              <w:top w:w="80" w:type="dxa"/>
              <w:bottom w:w="80" w:type="dxa"/>
              <w:left w:w="100" w:type="dxa"/>
              <w:right w:w="100" w:type="dxa"/>
            </w:tcMar>
            <w:shd w:fill="FFFFFF"/>
          </w:tcPr>
          <w:p>
            <w:pPr>
              <w:keepNext w:val="0"/>
              <w:spacing w:after="0" w:before="0" w:line="252" w:lineRule="auto"/>
              <w:jc w:val="center"/>
            </w:pPr>
            <w:r>
              <w:rPr>
                <w:sz w:val="20"/>
              </w:rPr>
              <w:t>JPY</w:t>
            </w:r>
          </w:p>
        </w:tc>
        <w:tc>
          <w:tcPr>
            <w:tcW w:type="dxa" w:w="2436"/>
            <w:vAlign w:val="center"/>
            <w:tcMar>
              <w:top w:w="80" w:type="dxa"/>
              <w:bottom w:w="80" w:type="dxa"/>
              <w:left w:w="100" w:type="dxa"/>
              <w:right w:w="100" w:type="dxa"/>
            </w:tcMar>
            <w:shd w:fill="FFFFFF"/>
          </w:tcPr>
          <w:p>
            <w:pPr>
              <w:keepNext w:val="0"/>
              <w:spacing w:after="0" w:before="0" w:line="252" w:lineRule="auto"/>
              <w:jc w:val="center"/>
            </w:pPr>
            <w:r>
              <w:rPr>
                <w:sz w:val="20"/>
              </w:rPr>
              <w:t>2026-05-20</w:t>
            </w:r>
          </w:p>
        </w:tc>
      </w:tr>
    </w:tbl>
    <w:p>
      <w:pPr>
        <w:spacing w:after="60" w:before="0" w:line="40" w:lineRule="exact"/>
      </w:pPr>
      <w:r>
        <w:rPr>
          <w:sz w:val="4"/>
        </w:rPr>
      </w:r>
    </w:p>
    <w:p>
      <w:pPr>
        <w:pStyle w:val="Heading2"/>
        <w:pageBreakBefore w:val="0"/>
      </w:pPr>
      <w:r>
        <w:t>Sources</w:t>
      </w:r>
    </w:p>
    <w:p>
      <w:pPr>
        <w:spacing w:after="80"/>
      </w:pPr>
      <w:hyperlink r:id="rId87">
        <w:r>
          <w:rPr>
            <w:color w:val="235779"/>
            <w:u w:val="single"/>
          </w:rPr>
          <w:t>Issuer product page</w:t>
        </w:r>
      </w:hyperlink>
      <w:r>
        <w:t xml:space="preserve">  ·  </w:t>
      </w:r>
      <w:hyperlink r:id="rId88">
        <w:r>
          <w:rPr>
            <w:color w:val="235779"/>
            <w:u w:val="single"/>
          </w:rPr>
          <w:t>Saved source</w:t>
        </w:r>
      </w:hyperlink>
    </w:p>
    <w:p>
      <w:pPr>
        <w:spacing w:after="80"/>
      </w:pPr>
      <w:hyperlink r:id="rId89">
        <w:r>
          <w:rPr>
            <w:color w:val="235779"/>
            <w:u w:val="single"/>
          </w:rPr>
          <w:t>Japanese prospectus: fees and trustee</w:t>
        </w:r>
      </w:hyperlink>
      <w:r>
        <w:t xml:space="preserve">  ·  </w:t>
      </w:r>
      <w:hyperlink r:id="rId90">
        <w:r>
          <w:rPr>
            <w:color w:val="235779"/>
            <w:u w:val="single"/>
          </w:rPr>
          <w:t>Saved source</w:t>
        </w:r>
      </w:hyperlink>
    </w:p>
    <w:p>
      <w:pPr>
        <w:spacing w:after="80"/>
      </w:pPr>
      <w:hyperlink r:id="rId15">
        <w:r>
          <w:rPr>
            <w:color w:val="235779"/>
            <w:u w:val="single"/>
          </w:rPr>
          <w:t>Underlying Irish ETC base prospectus</w:t>
        </w:r>
      </w:hyperlink>
      <w:r>
        <w:t xml:space="preserve">  ·  </w:t>
      </w:r>
      <w:hyperlink r:id="rId16">
        <w:r>
          <w:rPr>
            <w:color w:val="235779"/>
            <w:u w:val="single"/>
          </w:rPr>
          <w:t>Saved source</w:t>
        </w:r>
      </w:hyperlink>
    </w:p>
    <w:p>
      <w:bookmarkStart w:id="23" w:name="research"/>
      <w:pPr>
        <w:pStyle w:val="Heading1"/>
        <w:pageBreakBefore/>
      </w:pPr>
      <w:r>
        <w:t>Detailed research behind the pitch</w:t>
      </w:r>
      <w:bookmarkEnd w:id="23"/>
    </w:p>
    <w:p>
      <w:r>
        <w:rPr>
          <w:b w:val="0"/>
        </w:rPr>
        <w:t>Transaction economics, custody mechanics, operating controls, market evidence and proposed growth opportunities. Section numbers retain the original research cross-references.</w:t>
      </w:r>
    </w:p>
    <w:p>
      <w:bookmarkStart w:id="24" w:name="research_1"/>
      <w:pPr>
        <w:pStyle w:val="Heading1"/>
        <w:pageBreakBefore w:val="0"/>
      </w:pPr>
      <w:r>
        <w:t>01  The first transaction: economics in dollars</w:t>
      </w:r>
      <w:bookmarkEnd w:id="24"/>
    </w:p>
    <w:p>
      <w:pPr>
        <w:spacing w:after="100"/>
      </w:pPr>
      <w:r>
        <w:rPr>
          <w:b w:val="0"/>
          <w:i w:val="0"/>
          <w:sz w:val="18"/>
        </w:rPr>
        <w:t>Separate earlier illustration: the 4.5moz physical-substitution model uses different costs and is not the current 250,000 oz CME/over-the-counter custody-flow example. See Appendix 9 for the current model.</w:t>
      </w:r>
    </w:p>
    <w:p>
      <w:r>
        <w:rPr>
          <w:b w:val="0"/>
          <w:i w:val="0"/>
        </w:rPr>
        <w:t>Exchange 4.5 million New York ounces for equal eligible London ounces through an approved bank-principal arrangement.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16"/>
        <w:gridCol w:w="6530"/>
      </w:tblGrid>
      <w:tr>
        <w:trPr>
          <w:tblHeader/>
          <w:cantSplit/>
        </w:trPr>
        <w:tc>
          <w:tcPr>
            <w:tcW w:type="dxa" w:w="3216"/>
            <w:vAlign w:val="center"/>
            <w:tcMar>
              <w:top w:w="80" w:type="dxa"/>
              <w:bottom w:w="80" w:type="dxa"/>
              <w:left w:w="100" w:type="dxa"/>
              <w:right w:w="100" w:type="dxa"/>
            </w:tcMar>
            <w:shd w:fill="DCE6EB"/>
          </w:tcPr>
          <w:p>
            <w:pPr>
              <w:keepNext/>
              <w:spacing w:after="0" w:before="0" w:line="252" w:lineRule="auto"/>
            </w:pPr>
            <w:r>
              <w:rPr>
                <w:b/>
                <w:i w:val="0"/>
                <w:sz w:val="20"/>
              </w:rPr>
              <w:t>Illustrative cash construction</w:t>
            </w:r>
          </w:p>
        </w:tc>
        <w:tc>
          <w:tcPr>
            <w:tcW w:type="dxa" w:w="6530"/>
            <w:vAlign w:val="center"/>
            <w:tcMar>
              <w:top w:w="80" w:type="dxa"/>
              <w:bottom w:w="80" w:type="dxa"/>
              <w:left w:w="100" w:type="dxa"/>
              <w:right w:w="100" w:type="dxa"/>
            </w:tcMar>
            <w:shd w:fill="DCE6EB"/>
          </w:tcPr>
          <w:p>
            <w:pPr>
              <w:keepNext/>
              <w:spacing w:after="0" w:before="0" w:line="252" w:lineRule="auto"/>
            </w:pPr>
            <w:r>
              <w:rPr>
                <w:b/>
                <w:i w:val="0"/>
                <w:sz w:val="20"/>
              </w:rPr>
              <w:t>USD</w:t>
            </w:r>
          </w:p>
        </w:tc>
      </w:tr>
      <w:tr>
        <w:trPr>
          <w:cantSplit/>
        </w:trPr>
        <w:tc>
          <w:tcPr>
            <w:tcW w:type="dxa" w:w="3216"/>
            <w:vAlign w:val="center"/>
            <w:tcMar>
              <w:top w:w="80" w:type="dxa"/>
              <w:bottom w:w="80" w:type="dxa"/>
              <w:left w:w="100" w:type="dxa"/>
              <w:right w:w="100" w:type="dxa"/>
            </w:tcMar>
            <w:shd w:fill="FFFFFF"/>
          </w:tcPr>
          <w:p>
            <w:pPr>
              <w:keepNext w:val="0"/>
              <w:spacing w:after="0" w:before="0" w:line="252" w:lineRule="auto"/>
            </w:pPr>
            <w:r>
              <w:rPr>
                <w:b w:val="0"/>
                <w:i w:val="0"/>
                <w:sz w:val="20"/>
              </w:rPr>
              <w:t>New York value: 4.5m oz × $60.50</w:t>
            </w:r>
          </w:p>
        </w:tc>
        <w:tc>
          <w:tcPr>
            <w:tcW w:type="dxa" w:w="6530"/>
            <w:vAlign w:val="center"/>
            <w:tcMar>
              <w:top w:w="80" w:type="dxa"/>
              <w:bottom w:w="80" w:type="dxa"/>
              <w:left w:w="100" w:type="dxa"/>
              <w:right w:w="100" w:type="dxa"/>
            </w:tcMar>
            <w:shd w:fill="FFFFFF"/>
          </w:tcPr>
          <w:p>
            <w:pPr>
              <w:keepNext w:val="0"/>
              <w:spacing w:after="0" w:before="0" w:line="252" w:lineRule="auto"/>
            </w:pPr>
            <w:r>
              <w:rPr>
                <w:b w:val="0"/>
                <w:i w:val="0"/>
                <w:sz w:val="20"/>
              </w:rPr>
              <w:t>$272.250m</w:t>
            </w:r>
          </w:p>
        </w:tc>
      </w:tr>
      <w:tr>
        <w:trPr>
          <w:cantSplit/>
        </w:trPr>
        <w:tc>
          <w:tcPr>
            <w:tcW w:type="dxa" w:w="3216"/>
            <w:vAlign w:val="center"/>
            <w:tcMar>
              <w:top w:w="80" w:type="dxa"/>
              <w:bottom w:w="80" w:type="dxa"/>
              <w:left w:w="100" w:type="dxa"/>
              <w:right w:w="100" w:type="dxa"/>
            </w:tcMar>
            <w:shd w:fill="F4F7F8"/>
          </w:tcPr>
          <w:p>
            <w:pPr>
              <w:keepNext w:val="0"/>
              <w:spacing w:after="0" w:before="0" w:line="252" w:lineRule="auto"/>
            </w:pPr>
            <w:r>
              <w:rPr>
                <w:b w:val="0"/>
                <w:i w:val="0"/>
                <w:sz w:val="20"/>
              </w:rPr>
              <w:t>London replacement: 4.5m oz × $60.00</w:t>
            </w:r>
          </w:p>
        </w:tc>
        <w:tc>
          <w:tcPr>
            <w:tcW w:type="dxa" w:w="6530"/>
            <w:vAlign w:val="center"/>
            <w:tcMar>
              <w:top w:w="80" w:type="dxa"/>
              <w:bottom w:w="80" w:type="dxa"/>
              <w:left w:w="100" w:type="dxa"/>
              <w:right w:w="100" w:type="dxa"/>
            </w:tcMar>
            <w:shd w:fill="F4F7F8"/>
          </w:tcPr>
          <w:p>
            <w:pPr>
              <w:keepNext w:val="0"/>
              <w:spacing w:after="0" w:before="0" w:line="252" w:lineRule="auto"/>
            </w:pPr>
            <w:r>
              <w:rPr>
                <w:b w:val="0"/>
                <w:i w:val="0"/>
                <w:sz w:val="20"/>
              </w:rPr>
              <w:t>−$270.000m</w:t>
            </w:r>
          </w:p>
        </w:tc>
      </w:tr>
      <w:tr>
        <w:trPr>
          <w:cantSplit/>
        </w:trPr>
        <w:tc>
          <w:tcPr>
            <w:tcW w:type="dxa" w:w="3216"/>
            <w:vAlign w:val="center"/>
            <w:tcMar>
              <w:top w:w="80" w:type="dxa"/>
              <w:bottom w:w="80" w:type="dxa"/>
              <w:left w:w="100" w:type="dxa"/>
              <w:right w:w="100" w:type="dxa"/>
            </w:tcMar>
            <w:shd w:fill="FFFFFF"/>
          </w:tcPr>
          <w:p>
            <w:pPr>
              <w:keepNext w:val="0"/>
              <w:spacing w:after="0" w:before="0" w:line="252" w:lineRule="auto"/>
            </w:pPr>
            <w:r>
              <w:rPr>
                <w:b w:val="0"/>
                <w:i w:val="0"/>
                <w:sz w:val="20"/>
              </w:rPr>
              <w:t>Realised location spread</w:t>
            </w:r>
          </w:p>
        </w:tc>
        <w:tc>
          <w:tcPr>
            <w:tcW w:type="dxa" w:w="6530"/>
            <w:vAlign w:val="center"/>
            <w:tcMar>
              <w:top w:w="80" w:type="dxa"/>
              <w:bottom w:w="80" w:type="dxa"/>
              <w:left w:w="100" w:type="dxa"/>
              <w:right w:w="100" w:type="dxa"/>
            </w:tcMar>
            <w:shd w:fill="FFFFFF"/>
          </w:tcPr>
          <w:p>
            <w:pPr>
              <w:keepNext w:val="0"/>
              <w:spacing w:after="0" w:before="0" w:line="252" w:lineRule="auto"/>
            </w:pPr>
            <w:r>
              <w:rPr>
                <w:b w:val="0"/>
                <w:i w:val="0"/>
                <w:sz w:val="20"/>
              </w:rPr>
              <w:t>$2.250m</w:t>
            </w:r>
          </w:p>
        </w:tc>
      </w:tr>
      <w:tr>
        <w:trPr>
          <w:cantSplit/>
        </w:trPr>
        <w:tc>
          <w:tcPr>
            <w:tcW w:type="dxa" w:w="3216"/>
            <w:vAlign w:val="center"/>
            <w:tcMar>
              <w:top w:w="80" w:type="dxa"/>
              <w:bottom w:w="80" w:type="dxa"/>
              <w:left w:w="100" w:type="dxa"/>
              <w:right w:w="100" w:type="dxa"/>
            </w:tcMar>
            <w:shd w:fill="F4F7F8"/>
          </w:tcPr>
          <w:p>
            <w:pPr>
              <w:keepNext w:val="0"/>
              <w:spacing w:after="0" w:before="0" w:line="252" w:lineRule="auto"/>
            </w:pPr>
            <w:r>
              <w:rPr>
                <w:b w:val="0"/>
                <w:i w:val="0"/>
                <w:sz w:val="20"/>
              </w:rPr>
              <w:t>Incremental execution costs: 4.5m oz × $0.12</w:t>
            </w:r>
          </w:p>
        </w:tc>
        <w:tc>
          <w:tcPr>
            <w:tcW w:type="dxa" w:w="6530"/>
            <w:vAlign w:val="center"/>
            <w:tcMar>
              <w:top w:w="80" w:type="dxa"/>
              <w:bottom w:w="80" w:type="dxa"/>
              <w:left w:w="100" w:type="dxa"/>
              <w:right w:w="100" w:type="dxa"/>
            </w:tcMar>
            <w:shd w:fill="F4F7F8"/>
          </w:tcPr>
          <w:p>
            <w:pPr>
              <w:keepNext w:val="0"/>
              <w:spacing w:after="0" w:before="0" w:line="252" w:lineRule="auto"/>
            </w:pPr>
            <w:r>
              <w:rPr>
                <w:b w:val="0"/>
                <w:i w:val="0"/>
                <w:sz w:val="20"/>
              </w:rPr>
              <w:t>−$0.540m</w:t>
            </w:r>
          </w:p>
        </w:tc>
      </w:tr>
      <w:tr>
        <w:trPr>
          <w:cantSplit/>
        </w:trPr>
        <w:tc>
          <w:tcPr>
            <w:tcW w:type="dxa" w:w="3216"/>
            <w:vAlign w:val="center"/>
            <w:tcMar>
              <w:top w:w="80" w:type="dxa"/>
              <w:bottom w:w="80" w:type="dxa"/>
              <w:left w:w="100" w:type="dxa"/>
              <w:right w:w="100" w:type="dxa"/>
            </w:tcMar>
            <w:shd w:fill="FFFFFF"/>
          </w:tcPr>
          <w:p>
            <w:pPr>
              <w:keepNext w:val="0"/>
              <w:spacing w:after="0" w:before="0" w:line="252" w:lineRule="auto"/>
            </w:pPr>
            <w:r>
              <w:rPr>
                <w:b w:val="0"/>
                <w:i w:val="0"/>
                <w:sz w:val="20"/>
              </w:rPr>
              <w:t>Net before sharing</w:t>
            </w:r>
          </w:p>
        </w:tc>
        <w:tc>
          <w:tcPr>
            <w:tcW w:type="dxa" w:w="6530"/>
            <w:vAlign w:val="center"/>
            <w:tcMar>
              <w:top w:w="80" w:type="dxa"/>
              <w:bottom w:w="80" w:type="dxa"/>
              <w:left w:w="100" w:type="dxa"/>
              <w:right w:w="100" w:type="dxa"/>
            </w:tcMar>
            <w:shd w:fill="FFFFFF"/>
          </w:tcPr>
          <w:p>
            <w:pPr>
              <w:keepNext w:val="0"/>
              <w:spacing w:after="0" w:before="0" w:line="252" w:lineRule="auto"/>
            </w:pPr>
            <w:r>
              <w:rPr>
                <w:b/>
                <w:i w:val="0"/>
                <w:sz w:val="20"/>
              </w:rPr>
              <w:t>$1.710m</w:t>
            </w:r>
          </w:p>
        </w:tc>
      </w:tr>
      <w:tr>
        <w:trPr>
          <w:cantSplit/>
        </w:trPr>
        <w:tc>
          <w:tcPr>
            <w:tcW w:type="dxa" w:w="3216"/>
            <w:vAlign w:val="center"/>
            <w:tcMar>
              <w:top w:w="80" w:type="dxa"/>
              <w:bottom w:w="80" w:type="dxa"/>
              <w:left w:w="100" w:type="dxa"/>
              <w:right w:w="100" w:type="dxa"/>
            </w:tcMar>
            <w:shd w:fill="F4F7F8"/>
          </w:tcPr>
          <w:p>
            <w:pPr>
              <w:keepNext w:val="0"/>
              <w:spacing w:after="0" w:before="0" w:line="252" w:lineRule="auto"/>
            </w:pPr>
            <w:r>
              <w:rPr>
                <w:b w:val="0"/>
                <w:i w:val="0"/>
                <w:sz w:val="20"/>
              </w:rPr>
              <w:t>Proposed BlackRock 50% / Citigroup 50%</w:t>
            </w:r>
          </w:p>
        </w:tc>
        <w:tc>
          <w:tcPr>
            <w:tcW w:type="dxa" w:w="6530"/>
            <w:vAlign w:val="center"/>
            <w:tcMar>
              <w:top w:w="80" w:type="dxa"/>
              <w:bottom w:w="80" w:type="dxa"/>
              <w:left w:w="100" w:type="dxa"/>
              <w:right w:w="100" w:type="dxa"/>
            </w:tcMar>
            <w:shd w:fill="F4F7F8"/>
          </w:tcPr>
          <w:p>
            <w:pPr>
              <w:keepNext w:val="0"/>
              <w:spacing w:after="0" w:before="0" w:line="252" w:lineRule="auto"/>
            </w:pPr>
            <w:r>
              <w:rPr>
                <w:b/>
                <w:i w:val="0"/>
                <w:sz w:val="20"/>
              </w:rPr>
              <w:t>$0.855m / $0.855m</w:t>
            </w:r>
          </w:p>
        </w:tc>
      </w:tr>
    </w:tbl>
    <w:p>
      <w:pPr>
        <w:spacing w:after="60" w:before="0" w:line="40" w:lineRule="exact"/>
      </w:pPr>
      <w:r>
        <w:rPr>
          <w:sz w:val="4"/>
        </w:rPr>
      </w:r>
    </w:p>
    <w:p>
      <w:pPr>
        <w:spacing w:after="100"/>
      </w:pPr>
      <w:r>
        <w:rPr>
          <w:b w:val="0"/>
          <w:i w:val="0"/>
          <w:sz w:val="18"/>
        </w:rPr>
        <w:t>Assumed 12¢/oz = 4¢ handling/transport + 1¢ insurance/assay/vault + 2¢ execution/hedge + 5¢ incremental funding. No component is a quote. Price, grade, customs status, value date and executable size must match.</w:t>
      </w:r>
    </w:p>
    <w:p>
      <w:pPr>
        <w:pStyle w:val="Heading3"/>
        <w:pageBreakBefore w:val="0"/>
      </w:pPr>
      <w:r>
        <w:t>Evidence and assumptions</w:t>
      </w:r>
    </w:p>
    <w:p>
      <w:hyperlink r:id="rId91">
        <w:r>
          <w:rPr>
            <w:color w:val="235779"/>
            <w:u w:val="single"/>
          </w:rPr>
          <w:t>Full cash and metal ledger</w:t>
        </w:r>
      </w:hyperlink>
    </w:p>
    <w:p>
      <w:hyperlink r:id="rId92">
        <w:r>
          <w:rPr>
            <w:color w:val="235779"/>
            <w:u w:val="single"/>
          </w:rPr>
          <w:t>Legal structure review</w:t>
        </w:r>
      </w:hyperlink>
    </w:p>
    <w:p>
      <w:r>
        <w:rPr>
          <w:b w:val="0"/>
          <w:i w:val="0"/>
        </w:rPr>
        <w:t>The table prices a principal substitution; it does not instruct the fund to run cash sales or hedges. Tax classification and any cash receipt remain unresolved.</w:t>
      </w:r>
    </w:p>
    <w:p>
      <w:bookmarkStart w:id="25" w:name="research_2"/>
      <w:pPr>
        <w:pStyle w:val="Heading1"/>
        <w:pageBreakBefore/>
      </w:pPr>
      <w:r>
        <w:t>02  Three routes to test for positive net value</w:t>
      </w:r>
      <w:bookmarkEnd w:id="25"/>
    </w:p>
    <w:p>
      <w:pPr>
        <w:spacing w:after="100"/>
      </w:pPr>
      <w:r>
        <w:rPr>
          <w:b w:val="0"/>
          <w:i w:val="0"/>
          <w:sz w:val="18"/>
        </w:rPr>
        <w:t>Separate earlier illustration: the 4.5moz physical-substitution model uses different costs and is not the current 250,000 oz CME/over-the-counter custody-flow example. See Appendix 9 for the current model.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9"/>
        <w:gridCol w:w="3703"/>
        <w:gridCol w:w="4093"/>
      </w:tblGrid>
      <w:tr>
        <w:trPr>
          <w:tblHeader/>
          <w:cantSplit/>
        </w:trPr>
        <w:tc>
          <w:tcPr>
            <w:tcW w:type="dxa" w:w="1949"/>
            <w:vAlign w:val="center"/>
            <w:tcMar>
              <w:top w:w="80" w:type="dxa"/>
              <w:bottom w:w="80" w:type="dxa"/>
              <w:left w:w="100" w:type="dxa"/>
              <w:right w:w="100" w:type="dxa"/>
            </w:tcMar>
            <w:shd w:fill="DCE6EB"/>
          </w:tcPr>
          <w:p>
            <w:pPr>
              <w:keepNext/>
              <w:spacing w:after="0" w:before="0" w:line="252" w:lineRule="auto"/>
            </w:pPr>
            <w:r>
              <w:rPr>
                <w:b/>
                <w:i w:val="0"/>
                <w:sz w:val="20"/>
              </w:rPr>
              <w:t>Route</w:t>
            </w:r>
          </w:p>
        </w:tc>
        <w:tc>
          <w:tcPr>
            <w:tcW w:type="dxa" w:w="3703"/>
            <w:vAlign w:val="center"/>
            <w:tcMar>
              <w:top w:w="80" w:type="dxa"/>
              <w:bottom w:w="80" w:type="dxa"/>
              <w:left w:w="100" w:type="dxa"/>
              <w:right w:w="100" w:type="dxa"/>
            </w:tcMar>
            <w:shd w:fill="DCE6EB"/>
          </w:tcPr>
          <w:p>
            <w:pPr>
              <w:keepNext/>
              <w:spacing w:after="0" w:before="0" w:line="252" w:lineRule="auto"/>
            </w:pPr>
            <w:r>
              <w:rPr>
                <w:b/>
                <w:i w:val="0"/>
                <w:sz w:val="20"/>
              </w:rPr>
              <w:t>Executable comparison</w:t>
            </w:r>
          </w:p>
        </w:tc>
        <w:tc>
          <w:tcPr>
            <w:tcW w:type="dxa" w:w="4093"/>
            <w:vAlign w:val="center"/>
            <w:tcMar>
              <w:top w:w="80" w:type="dxa"/>
              <w:bottom w:w="80" w:type="dxa"/>
              <w:left w:w="100" w:type="dxa"/>
              <w:right w:w="100" w:type="dxa"/>
            </w:tcMar>
            <w:shd w:fill="DCE6EB"/>
          </w:tcPr>
          <w:p>
            <w:pPr>
              <w:keepNext/>
              <w:spacing w:after="0" w:before="0" w:line="252" w:lineRule="auto"/>
            </w:pPr>
            <w:r>
              <w:rPr>
                <w:b/>
                <w:i w:val="0"/>
                <w:sz w:val="20"/>
              </w:rPr>
              <w:t>Inventory consequence</w:t>
            </w:r>
          </w:p>
        </w:tc>
      </w:tr>
      <w:tr>
        <w:trPr>
          <w:cantSplit/>
        </w:trPr>
        <w:tc>
          <w:tcPr>
            <w:tcW w:type="dxa" w:w="1949"/>
            <w:vAlign w:val="center"/>
            <w:tcMar>
              <w:top w:w="80" w:type="dxa"/>
              <w:bottom w:w="80" w:type="dxa"/>
              <w:left w:w="100" w:type="dxa"/>
              <w:right w:w="100" w:type="dxa"/>
            </w:tcMar>
            <w:shd w:fill="FFFFFF"/>
          </w:tcPr>
          <w:p>
            <w:pPr>
              <w:keepNext w:val="0"/>
              <w:spacing w:after="0" w:before="0" w:line="252" w:lineRule="auto"/>
            </w:pPr>
            <w:r>
              <w:rPr>
                <w:b w:val="0"/>
                <w:i w:val="0"/>
                <w:sz w:val="20"/>
              </w:rPr>
              <w:t>New York premium</w:t>
            </w:r>
          </w:p>
        </w:tc>
        <w:tc>
          <w:tcPr>
            <w:tcW w:type="dxa" w:w="3703"/>
            <w:vAlign w:val="center"/>
            <w:tcMar>
              <w:top w:w="80" w:type="dxa"/>
              <w:bottom w:w="80" w:type="dxa"/>
              <w:left w:w="100" w:type="dxa"/>
              <w:right w:w="100" w:type="dxa"/>
            </w:tcMar>
            <w:shd w:fill="FFFFFF"/>
          </w:tcPr>
          <w:p>
            <w:pPr>
              <w:keepNext w:val="0"/>
              <w:spacing w:after="0" w:before="0" w:line="252" w:lineRule="auto"/>
            </w:pPr>
            <w:r>
              <w:rPr>
                <w:b w:val="0"/>
                <w:i w:val="0"/>
                <w:sz w:val="20"/>
              </w:rPr>
              <w:t>New York bid minus London replacement offer, after all costs</w:t>
            </w:r>
          </w:p>
        </w:tc>
        <w:tc>
          <w:tcPr>
            <w:tcW w:type="dxa" w:w="4093"/>
            <w:vAlign w:val="center"/>
            <w:tcMar>
              <w:top w:w="80" w:type="dxa"/>
              <w:bottom w:w="80" w:type="dxa"/>
              <w:left w:w="100" w:type="dxa"/>
              <w:right w:w="100" w:type="dxa"/>
            </w:tcMar>
            <w:shd w:fill="FFFFFF"/>
          </w:tcPr>
          <w:p>
            <w:pPr>
              <w:keepNext w:val="0"/>
              <w:spacing w:after="0" w:before="0" w:line="252" w:lineRule="auto"/>
            </w:pPr>
            <w:r>
              <w:rPr>
                <w:b w:val="0"/>
                <w:i w:val="0"/>
                <w:sz w:val="20"/>
              </w:rPr>
              <w:t>Release New York stock; rebuild it at an actual future cost.</w:t>
            </w:r>
          </w:p>
        </w:tc>
      </w:tr>
      <w:tr>
        <w:trPr>
          <w:cantSplit/>
        </w:trPr>
        <w:tc>
          <w:tcPr>
            <w:tcW w:type="dxa" w:w="1949"/>
            <w:vAlign w:val="center"/>
            <w:tcMar>
              <w:top w:w="80" w:type="dxa"/>
              <w:bottom w:w="80" w:type="dxa"/>
              <w:left w:w="100" w:type="dxa"/>
              <w:right w:w="100" w:type="dxa"/>
            </w:tcMar>
            <w:shd w:fill="F4F7F8"/>
          </w:tcPr>
          <w:p>
            <w:pPr>
              <w:keepNext w:val="0"/>
              <w:spacing w:after="0" w:before="0" w:line="252" w:lineRule="auto"/>
            </w:pPr>
            <w:r>
              <w:rPr>
                <w:b w:val="0"/>
                <w:i w:val="0"/>
                <w:sz w:val="20"/>
              </w:rPr>
              <w:t>New York discount</w:t>
            </w:r>
          </w:p>
        </w:tc>
        <w:tc>
          <w:tcPr>
            <w:tcW w:type="dxa" w:w="3703"/>
            <w:vAlign w:val="center"/>
            <w:tcMar>
              <w:top w:w="80" w:type="dxa"/>
              <w:bottom w:w="80" w:type="dxa"/>
              <w:left w:w="100" w:type="dxa"/>
              <w:right w:w="100" w:type="dxa"/>
            </w:tcMar>
            <w:shd w:fill="F4F7F8"/>
          </w:tcPr>
          <w:p>
            <w:pPr>
              <w:keepNext w:val="0"/>
              <w:spacing w:after="0" w:before="0" w:line="252" w:lineRule="auto"/>
            </w:pPr>
            <w:r>
              <w:rPr>
                <w:b w:val="0"/>
                <w:i w:val="0"/>
                <w:sz w:val="20"/>
              </w:rPr>
              <w:t>London bid minus New York replacement offer, after all costs</w:t>
            </w:r>
          </w:p>
        </w:tc>
        <w:tc>
          <w:tcPr>
            <w:tcW w:type="dxa" w:w="4093"/>
            <w:vAlign w:val="center"/>
            <w:tcMar>
              <w:top w:w="80" w:type="dxa"/>
              <w:bottom w:w="80" w:type="dxa"/>
              <w:left w:w="100" w:type="dxa"/>
              <w:right w:w="100" w:type="dxa"/>
            </w:tcMar>
            <w:shd w:fill="F4F7F8"/>
          </w:tcPr>
          <w:p>
            <w:pPr>
              <w:keepNext w:val="0"/>
              <w:spacing w:after="0" w:before="0" w:line="252" w:lineRule="auto"/>
            </w:pPr>
            <w:r>
              <w:rPr>
                <w:b w:val="0"/>
                <w:i w:val="0"/>
                <w:sz w:val="20"/>
              </w:rPr>
              <w:t>Increase New York stock; requires eligible London stock and approval.</w:t>
            </w:r>
          </w:p>
        </w:tc>
      </w:tr>
      <w:tr>
        <w:trPr>
          <w:cantSplit/>
        </w:trPr>
        <w:tc>
          <w:tcPr>
            <w:tcW w:type="dxa" w:w="1949"/>
            <w:vAlign w:val="center"/>
            <w:tcMar>
              <w:top w:w="80" w:type="dxa"/>
              <w:bottom w:w="80" w:type="dxa"/>
              <w:left w:w="100" w:type="dxa"/>
              <w:right w:w="100" w:type="dxa"/>
            </w:tcMar>
            <w:shd w:fill="FFFFFF"/>
          </w:tcPr>
          <w:p>
            <w:pPr>
              <w:keepNext w:val="0"/>
              <w:spacing w:after="0" w:before="0" w:line="252" w:lineRule="auto"/>
            </w:pPr>
            <w:r>
              <w:rPr>
                <w:b w:val="0"/>
                <w:i w:val="0"/>
                <w:sz w:val="20"/>
              </w:rPr>
              <w:t>India supply outlet</w:t>
            </w:r>
          </w:p>
        </w:tc>
        <w:tc>
          <w:tcPr>
            <w:tcW w:type="dxa" w:w="3703"/>
            <w:vAlign w:val="center"/>
            <w:tcMar>
              <w:top w:w="80" w:type="dxa"/>
              <w:bottom w:w="80" w:type="dxa"/>
              <w:left w:w="100" w:type="dxa"/>
              <w:right w:w="100" w:type="dxa"/>
            </w:tcMar>
            <w:shd w:fill="FFFFFF"/>
          </w:tcPr>
          <w:p>
            <w:pPr>
              <w:keepNext w:val="0"/>
              <w:spacing w:after="0" w:before="0" w:line="252" w:lineRule="auto"/>
            </w:pPr>
            <w:r>
              <w:rPr>
                <w:b w:val="0"/>
                <w:i w:val="0"/>
                <w:sz w:val="20"/>
              </w:rPr>
              <w:t>Eligible IIBX buyer price minus the complete bank-owned supply cost</w:t>
            </w:r>
          </w:p>
        </w:tc>
        <w:tc>
          <w:tcPr>
            <w:tcW w:type="dxa" w:w="4093"/>
            <w:vAlign w:val="center"/>
            <w:tcMar>
              <w:top w:w="80" w:type="dxa"/>
              <w:bottom w:w="80" w:type="dxa"/>
              <w:left w:w="100" w:type="dxa"/>
              <w:right w:w="100" w:type="dxa"/>
            </w:tcMar>
            <w:shd w:fill="FFFFFF"/>
          </w:tcPr>
          <w:p>
            <w:pPr>
              <w:keepNext w:val="0"/>
              <w:spacing w:after="0" w:before="0" w:line="252" w:lineRule="auto"/>
            </w:pPr>
            <w:r>
              <w:rPr>
                <w:b w:val="0"/>
                <w:i w:val="0"/>
                <w:sz w:val="20"/>
              </w:rPr>
              <w:t>Sell eligible bank stock through the approved supplier/buyer route.</w:t>
            </w:r>
          </w:p>
        </w:tc>
      </w:tr>
    </w:tbl>
    <w:p>
      <w:pPr>
        <w:spacing w:after="60" w:before="0" w:line="40" w:lineRule="exact"/>
      </w:pPr>
      <w:r>
        <w:rPr>
          <w:sz w:val="4"/>
        </w:rPr>
      </w:r>
    </w:p>
    <w:p>
      <w:r>
        <w:rPr>
          <w:b w:val="0"/>
          <w:i w:val="0"/>
        </w:rPr>
        <w:t>Each route needs its own buyer, quantity, title, tax and settlement terms. Revenue is earned only when the complete transaction is executable.</w:t>
      </w:r>
    </w:p>
    <w:p>
      <w:pPr>
        <w:spacing w:after="100"/>
      </w:pPr>
      <w:r>
        <w:rPr>
          <w:b w:val="0"/>
          <w:i w:val="0"/>
          <w:sz w:val="18"/>
        </w:rPr>
        <w:t>Reverse-direction costs need not be symmetric. IIBX is an additional supply outlet to investigate; its prices are not directly comparable with the hypothetical $60 London model.</w:t>
      </w:r>
    </w:p>
    <w:p>
      <w:pPr>
        <w:pStyle w:val="Heading3"/>
        <w:pageBreakBefore w:val="0"/>
      </w:pPr>
      <w:r>
        <w:t>Evidence and assumptions</w:t>
      </w:r>
    </w:p>
    <w:p>
      <w:hyperlink r:id="rId91">
        <w:r>
          <w:rPr>
            <w:color w:val="235779"/>
            <w:u w:val="single"/>
          </w:rPr>
          <w:t>Worked forward and reverse cases</w:t>
        </w:r>
      </w:hyperlink>
    </w:p>
    <w:p>
      <w:hyperlink r:id="rId93">
        <w:r>
          <w:rPr>
            <w:color w:val="235779"/>
            <w:u w:val="single"/>
          </w:rPr>
          <w:t>IIBX research</w:t>
        </w:r>
      </w:hyperlink>
    </w:p>
    <w:p>
      <w:bookmarkStart w:id="26" w:name="research_3"/>
      <w:pPr>
        <w:pStyle w:val="Heading1"/>
        <w:pageBreakBefore/>
      </w:pPr>
      <w:r>
        <w:t>03  A payment needs a named beneficiary</w:t>
      </w:r>
      <w:bookmarkEnd w:id="26"/>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9"/>
        <w:gridCol w:w="3703"/>
        <w:gridCol w:w="4093"/>
      </w:tblGrid>
      <w:tr>
        <w:trPr>
          <w:tblHeader/>
          <w:cantSplit/>
        </w:trPr>
        <w:tc>
          <w:tcPr>
            <w:tcW w:type="dxa" w:w="1949"/>
            <w:vAlign w:val="center"/>
            <w:tcMar>
              <w:top w:w="80" w:type="dxa"/>
              <w:bottom w:w="80" w:type="dxa"/>
              <w:left w:w="100" w:type="dxa"/>
              <w:right w:w="100" w:type="dxa"/>
            </w:tcMar>
            <w:shd w:fill="DCE6EB"/>
          </w:tcPr>
          <w:p>
            <w:pPr>
              <w:keepNext/>
              <w:spacing w:after="0" w:before="0" w:line="252" w:lineRule="auto"/>
            </w:pPr>
            <w:r>
              <w:rPr>
                <w:b/>
                <w:i w:val="0"/>
                <w:sz w:val="20"/>
              </w:rPr>
              <w:t>Route</w:t>
            </w:r>
          </w:p>
        </w:tc>
        <w:tc>
          <w:tcPr>
            <w:tcW w:type="dxa" w:w="3703"/>
            <w:vAlign w:val="center"/>
            <w:tcMar>
              <w:top w:w="80" w:type="dxa"/>
              <w:bottom w:w="80" w:type="dxa"/>
              <w:left w:w="100" w:type="dxa"/>
              <w:right w:w="100" w:type="dxa"/>
            </w:tcMar>
            <w:shd w:fill="DCE6EB"/>
          </w:tcPr>
          <w:p>
            <w:pPr>
              <w:keepNext/>
              <w:spacing w:after="0" w:before="0" w:line="252" w:lineRule="auto"/>
            </w:pPr>
            <w:r>
              <w:rPr>
                <w:b/>
                <w:i w:val="0"/>
                <w:sz w:val="20"/>
              </w:rPr>
              <w:t>Economic recipient</w:t>
            </w:r>
          </w:p>
        </w:tc>
        <w:tc>
          <w:tcPr>
            <w:tcW w:type="dxa" w:w="4093"/>
            <w:vAlign w:val="center"/>
            <w:tcMar>
              <w:top w:w="80" w:type="dxa"/>
              <w:bottom w:w="80" w:type="dxa"/>
              <w:left w:w="100" w:type="dxa"/>
              <w:right w:w="100" w:type="dxa"/>
            </w:tcMar>
            <w:shd w:fill="DCE6EB"/>
          </w:tcPr>
          <w:p>
            <w:pPr>
              <w:keepNext/>
              <w:spacing w:after="0" w:before="0" w:line="252" w:lineRule="auto"/>
            </w:pPr>
            <w:r>
              <w:rPr>
                <w:b/>
                <w:i w:val="0"/>
                <w:sz w:val="20"/>
              </w:rPr>
              <w:t>Potential use</w:t>
            </w:r>
          </w:p>
        </w:tc>
      </w:tr>
      <w:tr>
        <w:trPr>
          <w:cantSplit/>
        </w:trPr>
        <w:tc>
          <w:tcPr>
            <w:tcW w:type="dxa" w:w="1949"/>
            <w:vAlign w:val="center"/>
            <w:tcMar>
              <w:top w:w="80" w:type="dxa"/>
              <w:bottom w:w="80" w:type="dxa"/>
              <w:left w:w="100" w:type="dxa"/>
              <w:right w:w="100" w:type="dxa"/>
            </w:tcMar>
            <w:shd w:fill="FFFFFF"/>
          </w:tcPr>
          <w:p>
            <w:pPr>
              <w:keepNext w:val="0"/>
              <w:spacing w:after="0" w:before="0" w:line="252" w:lineRule="auto"/>
            </w:pPr>
            <w:r>
              <w:rPr>
                <w:b w:val="0"/>
                <w:i w:val="0"/>
                <w:sz w:val="20"/>
              </w:rPr>
              <w:t>Approved fund credit</w:t>
            </w:r>
          </w:p>
        </w:tc>
        <w:tc>
          <w:tcPr>
            <w:tcW w:type="dxa" w:w="3703"/>
            <w:vAlign w:val="center"/>
            <w:tcMar>
              <w:top w:w="80" w:type="dxa"/>
              <w:bottom w:w="80" w:type="dxa"/>
              <w:left w:w="100" w:type="dxa"/>
              <w:right w:w="100" w:type="dxa"/>
            </w:tcMar>
            <w:shd w:fill="FFFFFF"/>
          </w:tcPr>
          <w:p>
            <w:pPr>
              <w:keepNext w:val="0"/>
              <w:spacing w:after="0" w:before="0" w:line="252" w:lineRule="auto"/>
            </w:pPr>
            <w:r>
              <w:rPr>
                <w:b w:val="0"/>
                <w:i w:val="0"/>
                <w:sz w:val="20"/>
              </w:rPr>
              <w:t>Investors, through the fund</w:t>
            </w:r>
          </w:p>
        </w:tc>
        <w:tc>
          <w:tcPr>
            <w:tcW w:type="dxa" w:w="4093"/>
            <w:vAlign w:val="center"/>
            <w:tcMar>
              <w:top w:w="80" w:type="dxa"/>
              <w:bottom w:w="80" w:type="dxa"/>
              <w:left w:w="100" w:type="dxa"/>
              <w:right w:w="100" w:type="dxa"/>
            </w:tcMar>
            <w:shd w:fill="FFFFFF"/>
          </w:tcPr>
          <w:p>
            <w:pPr>
              <w:keepNext w:val="0"/>
              <w:spacing w:after="0" w:before="0" w:line="252" w:lineRule="auto"/>
            </w:pPr>
            <w:r>
              <w:rPr>
                <w:b w:val="0"/>
                <w:i w:val="0"/>
                <w:sz w:val="20"/>
              </w:rPr>
              <w:t>Compensation for the agreed transaction; distribution/accounting route requires approval.</w:t>
            </w:r>
          </w:p>
        </w:tc>
      </w:tr>
      <w:tr>
        <w:trPr>
          <w:cantSplit/>
        </w:trPr>
        <w:tc>
          <w:tcPr>
            <w:tcW w:type="dxa" w:w="1949"/>
            <w:vAlign w:val="center"/>
            <w:tcMar>
              <w:top w:w="80" w:type="dxa"/>
              <w:bottom w:w="80" w:type="dxa"/>
              <w:left w:w="100" w:type="dxa"/>
              <w:right w:w="100" w:type="dxa"/>
            </w:tcMar>
            <w:shd w:fill="F4F7F8"/>
          </w:tcPr>
          <w:p>
            <w:pPr>
              <w:keepNext w:val="0"/>
              <w:spacing w:after="0" w:before="0" w:line="252" w:lineRule="auto"/>
            </w:pPr>
            <w:r>
              <w:rPr>
                <w:b w:val="0"/>
                <w:i w:val="0"/>
                <w:sz w:val="20"/>
              </w:rPr>
              <w:t>Custody supplier saving</w:t>
            </w:r>
          </w:p>
        </w:tc>
        <w:tc>
          <w:tcPr>
            <w:tcW w:type="dxa" w:w="3703"/>
            <w:vAlign w:val="center"/>
            <w:tcMar>
              <w:top w:w="80" w:type="dxa"/>
              <w:bottom w:w="80" w:type="dxa"/>
              <w:left w:w="100" w:type="dxa"/>
              <w:right w:w="100" w:type="dxa"/>
            </w:tcMar>
            <w:shd w:fill="F4F7F8"/>
          </w:tcPr>
          <w:p>
            <w:pPr>
              <w:keepNext w:val="0"/>
              <w:spacing w:after="0" w:before="0" w:line="252" w:lineRule="auto"/>
            </w:pPr>
            <w:r>
              <w:rPr>
                <w:b w:val="0"/>
                <w:i w:val="0"/>
                <w:sz w:val="20"/>
              </w:rPr>
              <w:t>BlackRock sponsor, which pays custody</w:t>
            </w:r>
          </w:p>
        </w:tc>
        <w:tc>
          <w:tcPr>
            <w:tcW w:type="dxa" w:w="4093"/>
            <w:vAlign w:val="center"/>
            <w:tcMar>
              <w:top w:w="80" w:type="dxa"/>
              <w:bottom w:w="80" w:type="dxa"/>
              <w:left w:w="100" w:type="dxa"/>
              <w:right w:w="100" w:type="dxa"/>
            </w:tcMar>
            <w:shd w:fill="F4F7F8"/>
          </w:tcPr>
          <w:p>
            <w:pPr>
              <w:keepNext w:val="0"/>
              <w:spacing w:after="0" w:before="0" w:line="252" w:lineRule="auto"/>
            </w:pPr>
            <w:r>
              <w:rPr>
                <w:b w:val="0"/>
                <w:i w:val="0"/>
                <w:sz w:val="20"/>
              </w:rPr>
              <w:t>Improve sponsor margin or fund a documented investor-fee reduction.</w:t>
            </w:r>
          </w:p>
        </w:tc>
      </w:tr>
      <w:tr>
        <w:trPr>
          <w:cantSplit/>
        </w:trPr>
        <w:tc>
          <w:tcPr>
            <w:tcW w:type="dxa" w:w="1949"/>
            <w:vAlign w:val="center"/>
            <w:tcMar>
              <w:top w:w="80" w:type="dxa"/>
              <w:bottom w:w="80" w:type="dxa"/>
              <w:left w:w="100" w:type="dxa"/>
              <w:right w:w="100" w:type="dxa"/>
            </w:tcMar>
            <w:shd w:fill="FFFFFF"/>
          </w:tcPr>
          <w:p>
            <w:pPr>
              <w:keepNext w:val="0"/>
              <w:spacing w:after="0" w:before="0" w:line="252" w:lineRule="auto"/>
            </w:pPr>
            <w:r>
              <w:rPr>
                <w:b w:val="0"/>
                <w:i w:val="0"/>
                <w:sz w:val="20"/>
              </w:rPr>
              <w:t>Sponsor-fee relief</w:t>
            </w:r>
          </w:p>
        </w:tc>
        <w:tc>
          <w:tcPr>
            <w:tcW w:type="dxa" w:w="3703"/>
            <w:vAlign w:val="center"/>
            <w:tcMar>
              <w:top w:w="80" w:type="dxa"/>
              <w:bottom w:w="80" w:type="dxa"/>
              <w:left w:w="100" w:type="dxa"/>
              <w:right w:w="100" w:type="dxa"/>
            </w:tcMar>
            <w:shd w:fill="FFFFFF"/>
          </w:tcPr>
          <w:p>
            <w:pPr>
              <w:keepNext w:val="0"/>
              <w:spacing w:after="0" w:before="0" w:line="252" w:lineRule="auto"/>
            </w:pPr>
            <w:r>
              <w:rPr>
                <w:b w:val="0"/>
                <w:i w:val="0"/>
                <w:sz w:val="20"/>
              </w:rPr>
              <w:t>Investors retain more value in the fund</w:t>
            </w:r>
          </w:p>
        </w:tc>
        <w:tc>
          <w:tcPr>
            <w:tcW w:type="dxa" w:w="4093"/>
            <w:vAlign w:val="center"/>
            <w:tcMar>
              <w:top w:w="80" w:type="dxa"/>
              <w:bottom w:w="80" w:type="dxa"/>
              <w:left w:w="100" w:type="dxa"/>
              <w:right w:w="100" w:type="dxa"/>
            </w:tcMar>
            <w:shd w:fill="FFFFFF"/>
          </w:tcPr>
          <w:p>
            <w:pPr>
              <w:keepNext w:val="0"/>
              <w:spacing w:after="0" w:before="0" w:line="252" w:lineRule="auto"/>
            </w:pPr>
            <w:r>
              <w:rPr>
                <w:b w:val="0"/>
                <w:i w:val="0"/>
                <w:sz w:val="20"/>
              </w:rPr>
              <w:t>Improve fee competitiveness and tracking, subject to valid waiver/accrual mechanics.</w:t>
            </w:r>
          </w:p>
        </w:tc>
      </w:tr>
      <w:tr>
        <w:trPr>
          <w:cantSplit/>
        </w:trPr>
        <w:tc>
          <w:tcPr>
            <w:tcW w:type="dxa" w:w="1949"/>
            <w:vAlign w:val="center"/>
            <w:tcMar>
              <w:top w:w="80" w:type="dxa"/>
              <w:bottom w:w="80" w:type="dxa"/>
              <w:left w:w="100" w:type="dxa"/>
              <w:right w:w="100" w:type="dxa"/>
            </w:tcMar>
            <w:shd w:fill="F4F7F8"/>
          </w:tcPr>
          <w:p>
            <w:pPr>
              <w:keepNext w:val="0"/>
              <w:spacing w:after="0" w:before="0" w:line="252" w:lineRule="auto"/>
            </w:pPr>
            <w:r>
              <w:rPr>
                <w:b w:val="0"/>
                <w:i w:val="0"/>
                <w:sz w:val="20"/>
              </w:rPr>
              <w:t>Bank/authorised participant service margin</w:t>
            </w:r>
          </w:p>
        </w:tc>
        <w:tc>
          <w:tcPr>
            <w:tcW w:type="dxa" w:w="3703"/>
            <w:vAlign w:val="center"/>
            <w:tcMar>
              <w:top w:w="80" w:type="dxa"/>
              <w:bottom w:w="80" w:type="dxa"/>
              <w:left w:w="100" w:type="dxa"/>
              <w:right w:w="100" w:type="dxa"/>
            </w:tcMar>
            <w:shd w:fill="F4F7F8"/>
          </w:tcPr>
          <w:p>
            <w:pPr>
              <w:keepNext w:val="0"/>
              <w:spacing w:after="0" w:before="0" w:line="252" w:lineRule="auto"/>
            </w:pPr>
            <w:r>
              <w:rPr>
                <w:b w:val="0"/>
                <w:i w:val="0"/>
                <w:sz w:val="20"/>
              </w:rPr>
              <w:t>Desk or bank entity</w:t>
            </w:r>
          </w:p>
        </w:tc>
        <w:tc>
          <w:tcPr>
            <w:tcW w:type="dxa" w:w="4093"/>
            <w:vAlign w:val="center"/>
            <w:tcMar>
              <w:top w:w="80" w:type="dxa"/>
              <w:bottom w:w="80" w:type="dxa"/>
              <w:left w:w="100" w:type="dxa"/>
              <w:right w:w="100" w:type="dxa"/>
            </w:tcMar>
            <w:shd w:fill="F4F7F8"/>
          </w:tcPr>
          <w:p>
            <w:pPr>
              <w:keepNext w:val="0"/>
              <w:spacing w:after="0" w:before="0" w:line="252" w:lineRule="auto"/>
            </w:pPr>
            <w:r>
              <w:rPr>
                <w:b w:val="0"/>
                <w:i w:val="0"/>
                <w:sz w:val="20"/>
              </w:rPr>
              <w:t>Earn from execution, committed replacement stock and settlement support.</w:t>
            </w:r>
          </w:p>
        </w:tc>
      </w:tr>
    </w:tbl>
    <w:p>
      <w:pPr>
        <w:spacing w:after="60" w:before="0" w:line="40" w:lineRule="exact"/>
      </w:pPr>
      <w:r>
        <w:rPr>
          <w:sz w:val="4"/>
        </w:rPr>
      </w:r>
    </w:p>
    <w:p>
      <w:r>
        <w:rPr>
          <w:b w:val="0"/>
          <w:i w:val="0"/>
        </w:rPr>
        <w:t>Allocate each saved dollar once: retain it at the sponsor or pass it to investors through a documented mechanism.</w:t>
      </w:r>
    </w:p>
    <w:p>
      <w:pPr>
        <w:spacing w:after="100"/>
      </w:pPr>
      <w:r>
        <w:rPr>
          <w:b w:val="0"/>
          <w:i w:val="0"/>
          <w:sz w:val="18"/>
        </w:rPr>
        <w:t>SLV cash receipts can restrict new creations until a distribution record date passes. A fee or rebate label does not remove the underlying mandate, tax or conflicts analysis.</w:t>
      </w:r>
    </w:p>
    <w:p>
      <w:pPr>
        <w:pStyle w:val="Heading3"/>
        <w:pageBreakBefore w:val="0"/>
      </w:pPr>
      <w:r>
        <w:t>Revenue-share assumptions and uses of the benefit</w:t>
      </w:r>
    </w:p>
    <w:p>
      <w:r>
        <w:rPr>
          <w:b w:val="0"/>
          <w:i w:val="0"/>
        </w:rPr>
        <w:t>BlackRock receives half of eligible net trading revenue and can choose how to use that income.</w:t>
      </w:r>
    </w:p>
    <w:p>
      <w:r>
        <w:rPr>
          <w:b w:val="0"/>
        </w:rPr>
        <w:t>01</w:t>
      </w:r>
    </w:p>
    <w:p>
      <w:pPr>
        <w:pStyle w:val="Heading2"/>
        <w:pageBreakBefore w:val="0"/>
      </w:pPr>
      <w:r>
        <w:t>Improve sponsor economics</w:t>
      </w:r>
    </w:p>
    <w:p>
      <w:r>
        <w:rPr>
          <w:b w:val="0"/>
          <w:i w:val="0"/>
        </w:rPr>
        <w:t>Receive 50% of eligible realised net trading revenue under the proposed agreement.</w:t>
      </w:r>
    </w:p>
    <w:p>
      <w:r>
        <w:rPr>
          <w:b w:val="0"/>
        </w:rPr>
        <w:t>02</w:t>
      </w:r>
    </w:p>
    <w:p>
      <w:pPr>
        <w:pStyle w:val="Heading2"/>
        <w:pageBreakBefore w:val="0"/>
      </w:pPr>
      <w:r>
        <w:t>Offer investors better value</w:t>
      </w:r>
    </w:p>
    <w:p>
      <w:r>
        <w:rPr>
          <w:b w:val="0"/>
          <w:i w:val="0"/>
        </w:rPr>
        <w:t>Pass through savings through an approved fee-reduction mechanism.</w:t>
      </w:r>
    </w:p>
    <w:p>
      <w:r>
        <w:rPr>
          <w:b w:val="0"/>
        </w:rPr>
        <w:t>03</w:t>
      </w:r>
    </w:p>
    <w:p>
      <w:pPr>
        <w:pStyle w:val="Heading2"/>
        <w:pageBreakBefore w:val="0"/>
      </w:pPr>
      <w:r>
        <w:t>Strengthen execution</w:t>
      </w:r>
    </w:p>
    <w:p>
      <w:r>
        <w:rPr>
          <w:b w:val="0"/>
          <w:i w:val="0"/>
        </w:rPr>
        <w:t>Improve delivery availability and settlement service, supporting asset retention and growth.</w:t>
      </w:r>
    </w:p>
    <w:p>
      <w:r>
        <w:rPr>
          <w:b w:val="0"/>
          <w:i w:val="0"/>
        </w:rPr>
        <w:t>Share net trading revenue equally: 50% BlackRock / 50% Citigroup. Count each dollar once.</w:t>
      </w:r>
    </w:p>
    <w:p>
      <w:pPr>
        <w:spacing w:after="100"/>
      </w:pPr>
      <w:r>
        <w:rPr>
          <w:b w:val="0"/>
          <w:i w:val="0"/>
          <w:sz w:val="18"/>
        </w:rPr>
        <w:t>These are alternative uses and potential commercial benefits. Savings, inflows and additional revenue must be demonstrated.</w:t>
      </w:r>
    </w:p>
    <w:p>
      <w:hyperlink r:id="rId94">
        <w:r>
          <w:rPr>
            <w:color w:val="235779"/>
            <w:u w:val="single"/>
          </w:rPr>
          <w:t>Fee, AUM and revenue sensitivities</w:t>
        </w:r>
      </w:hyperlink>
      <w:r>
        <w:rPr>
          <w:b w:val="0"/>
          <w:i w:val="0"/>
        </w:rPr>
        <w:t xml:space="preserve"> ↗</w:t>
      </w:r>
    </w:p>
    <w:p>
      <w:pPr>
        <w:spacing w:after="100"/>
      </w:pPr>
      <w:r>
        <w:rPr>
          <w:b w:val="0"/>
          <w:i w:val="0"/>
          <w:sz w:val="18"/>
        </w:rPr>
        <w:t>Proposed trading revenue share: 50% BlackRock / 50% Citigroup after agreed costs. Custody fees are separate. BlackRock is the proposed recipient; any investor benefit needs its own mechanism.</w:t>
      </w:r>
    </w:p>
    <w:p>
      <w:pPr>
        <w:pStyle w:val="Heading3"/>
        <w:pageBreakBefore w:val="0"/>
      </w:pPr>
      <w:r>
        <w:t>Evidence and assumptions</w:t>
      </w:r>
    </w:p>
    <w:p>
      <w:hyperlink r:id="rId95">
        <w:r>
          <w:rPr>
            <w:color w:val="235779"/>
            <w:u w:val="single"/>
          </w:rPr>
          <w:t>SLV Trust §§2.3(c),4.11,5.3(g)</w:t>
        </w:r>
      </w:hyperlink>
    </w:p>
    <w:p>
      <w:hyperlink r:id="rId92">
        <w:r>
          <w:rPr>
            <w:color w:val="235779"/>
            <w:u w:val="single"/>
          </w:rPr>
          <w:t>Payment structure alternatives</w:t>
        </w:r>
      </w:hyperlink>
    </w:p>
    <w:p>
      <w:bookmarkStart w:id="27" w:name="research_4"/>
      <w:pPr>
        <w:pStyle w:val="Heading1"/>
        <w:pageBreakBefore/>
      </w:pPr>
      <w:r>
        <w:t>04  How BlackRock could turn savings into growth</w:t>
      </w:r>
      <w:bookmarkEnd w:id="27"/>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9"/>
        <w:gridCol w:w="3703"/>
        <w:gridCol w:w="4093"/>
      </w:tblGrid>
      <w:tr>
        <w:trPr>
          <w:tblHeader/>
          <w:cantSplit/>
        </w:trPr>
        <w:tc>
          <w:tcPr>
            <w:tcW w:type="dxa" w:w="1949"/>
            <w:vAlign w:val="center"/>
            <w:tcMar>
              <w:top w:w="80" w:type="dxa"/>
              <w:bottom w:w="80" w:type="dxa"/>
              <w:left w:w="100" w:type="dxa"/>
              <w:right w:w="100" w:type="dxa"/>
            </w:tcMar>
            <w:shd w:fill="DCE6EB"/>
          </w:tcPr>
          <w:p>
            <w:pPr>
              <w:keepNext/>
              <w:spacing w:after="0" w:before="0" w:line="252" w:lineRule="auto"/>
            </w:pPr>
            <w:r>
              <w:rPr>
                <w:b/>
                <w:i w:val="0"/>
                <w:sz w:val="20"/>
              </w:rPr>
              <w:t>Commercial lever</w:t>
            </w:r>
          </w:p>
        </w:tc>
        <w:tc>
          <w:tcPr>
            <w:tcW w:type="dxa" w:w="3703"/>
            <w:vAlign w:val="center"/>
            <w:tcMar>
              <w:top w:w="80" w:type="dxa"/>
              <w:bottom w:w="80" w:type="dxa"/>
              <w:left w:w="100" w:type="dxa"/>
              <w:right w:w="100" w:type="dxa"/>
            </w:tcMar>
            <w:shd w:fill="DCE6EB"/>
          </w:tcPr>
          <w:p>
            <w:pPr>
              <w:keepNext/>
              <w:spacing w:after="0" w:before="0" w:line="252" w:lineRule="auto"/>
            </w:pPr>
            <w:r>
              <w:rPr>
                <w:b/>
                <w:i w:val="0"/>
                <w:sz w:val="20"/>
              </w:rPr>
              <w:t>Worked scale</w:t>
            </w:r>
          </w:p>
        </w:tc>
        <w:tc>
          <w:tcPr>
            <w:tcW w:type="dxa" w:w="4093"/>
            <w:vAlign w:val="center"/>
            <w:tcMar>
              <w:top w:w="80" w:type="dxa"/>
              <w:bottom w:w="80" w:type="dxa"/>
              <w:left w:w="100" w:type="dxa"/>
              <w:right w:w="100" w:type="dxa"/>
            </w:tcMar>
            <w:shd w:fill="DCE6EB"/>
          </w:tcPr>
          <w:p>
            <w:pPr>
              <w:keepNext/>
              <w:spacing w:after="0" w:before="0" w:line="252" w:lineRule="auto"/>
            </w:pPr>
            <w:r>
              <w:rPr>
                <w:b/>
                <w:i w:val="0"/>
                <w:sz w:val="20"/>
              </w:rPr>
              <w:t>Required proof</w:t>
            </w:r>
          </w:p>
        </w:tc>
      </w:tr>
      <w:tr>
        <w:trPr>
          <w:cantSplit/>
        </w:trPr>
        <w:tc>
          <w:tcPr>
            <w:tcW w:type="dxa" w:w="1949"/>
            <w:vAlign w:val="center"/>
            <w:tcMar>
              <w:top w:w="80" w:type="dxa"/>
              <w:bottom w:w="80" w:type="dxa"/>
              <w:left w:w="100" w:type="dxa"/>
              <w:right w:w="100" w:type="dxa"/>
            </w:tcMar>
            <w:shd w:fill="FFFFFF"/>
          </w:tcPr>
          <w:p>
            <w:pPr>
              <w:keepNext w:val="0"/>
              <w:spacing w:after="0" w:before="0" w:line="252" w:lineRule="auto"/>
            </w:pPr>
            <w:r>
              <w:rPr>
                <w:b w:val="0"/>
                <w:i w:val="0"/>
                <w:sz w:val="20"/>
              </w:rPr>
              <w:t>Investor fee relief</w:t>
            </w:r>
          </w:p>
        </w:tc>
        <w:tc>
          <w:tcPr>
            <w:tcW w:type="dxa" w:w="3703"/>
            <w:vAlign w:val="center"/>
            <w:tcMar>
              <w:top w:w="80" w:type="dxa"/>
              <w:bottom w:w="80" w:type="dxa"/>
              <w:left w:w="100" w:type="dxa"/>
              <w:right w:w="100" w:type="dxa"/>
            </w:tcMar>
            <w:shd w:fill="FFFFFF"/>
          </w:tcPr>
          <w:p>
            <w:pPr>
              <w:keepNext w:val="0"/>
              <w:spacing w:after="0" w:before="0" w:line="252" w:lineRule="auto"/>
            </w:pPr>
            <w:r>
              <w:rPr>
                <w:b w:val="0"/>
                <w:i w:val="0"/>
                <w:sz w:val="20"/>
              </w:rPr>
              <w:t xml:space="preserve">$10m/year is about </w:t>
            </w:r>
            <w:r>
              <w:rPr>
                <w:b/>
                <w:i w:val="0"/>
                <w:sz w:val="20"/>
              </w:rPr>
              <w:t>3.08bps</w:t>
            </w:r>
            <w:r>
              <w:rPr>
                <w:b w:val="0"/>
                <w:i w:val="0"/>
                <w:sz w:val="20"/>
              </w:rPr>
              <w:t xml:space="preserve"> on saved SLV AUM of $32.437bn</w:t>
            </w:r>
          </w:p>
        </w:tc>
        <w:tc>
          <w:tcPr>
            <w:tcW w:type="dxa" w:w="4093"/>
            <w:vAlign w:val="center"/>
            <w:tcMar>
              <w:top w:w="80" w:type="dxa"/>
              <w:bottom w:w="80" w:type="dxa"/>
              <w:left w:w="100" w:type="dxa"/>
              <w:right w:w="100" w:type="dxa"/>
            </w:tcMar>
            <w:shd w:fill="FFFFFF"/>
          </w:tcPr>
          <w:p>
            <w:pPr>
              <w:keepNext w:val="0"/>
              <w:spacing w:after="0" w:before="0" w:line="252" w:lineRule="auto"/>
            </w:pPr>
            <w:r>
              <w:rPr>
                <w:b w:val="0"/>
                <w:i w:val="0"/>
                <w:sz w:val="20"/>
              </w:rPr>
              <w:t>Recurring net saving, valid fee mechanics and who funds it.</w:t>
            </w:r>
          </w:p>
        </w:tc>
      </w:tr>
      <w:tr>
        <w:trPr>
          <w:cantSplit/>
        </w:trPr>
        <w:tc>
          <w:tcPr>
            <w:tcW w:type="dxa" w:w="1949"/>
            <w:vAlign w:val="center"/>
            <w:tcMar>
              <w:top w:w="80" w:type="dxa"/>
              <w:bottom w:w="80" w:type="dxa"/>
              <w:left w:w="100" w:type="dxa"/>
              <w:right w:w="100" w:type="dxa"/>
            </w:tcMar>
            <w:shd w:fill="F4F7F8"/>
          </w:tcPr>
          <w:p>
            <w:pPr>
              <w:keepNext w:val="0"/>
              <w:spacing w:after="0" w:before="0" w:line="252" w:lineRule="auto"/>
            </w:pPr>
            <w:r>
              <w:rPr>
                <w:b w:val="0"/>
                <w:i w:val="0"/>
                <w:sz w:val="20"/>
              </w:rPr>
              <w:t>Retain sponsor supplier savings</w:t>
            </w:r>
          </w:p>
        </w:tc>
        <w:tc>
          <w:tcPr>
            <w:tcW w:type="dxa" w:w="3703"/>
            <w:vAlign w:val="center"/>
            <w:tcMar>
              <w:top w:w="80" w:type="dxa"/>
              <w:bottom w:w="80" w:type="dxa"/>
              <w:left w:w="100" w:type="dxa"/>
              <w:right w:w="100" w:type="dxa"/>
            </w:tcMar>
            <w:shd w:fill="F4F7F8"/>
          </w:tcPr>
          <w:p>
            <w:pPr>
              <w:keepNext w:val="0"/>
              <w:spacing w:after="0" w:before="0" w:line="252" w:lineRule="auto"/>
            </w:pPr>
            <w:r>
              <w:rPr>
                <w:b w:val="0"/>
                <w:i w:val="0"/>
                <w:sz w:val="20"/>
              </w:rPr>
              <w:t>$10m lower supplier cost can improve pre-tax margin by $10m, all else equal</w:t>
            </w:r>
          </w:p>
        </w:tc>
        <w:tc>
          <w:tcPr>
            <w:tcW w:type="dxa" w:w="4093"/>
            <w:vAlign w:val="center"/>
            <w:tcMar>
              <w:top w:w="80" w:type="dxa"/>
              <w:bottom w:w="80" w:type="dxa"/>
              <w:left w:w="100" w:type="dxa"/>
              <w:right w:w="100" w:type="dxa"/>
            </w:tcMar>
            <w:shd w:fill="F4F7F8"/>
          </w:tcPr>
          <w:p>
            <w:pPr>
              <w:keepNext w:val="0"/>
              <w:spacing w:after="0" w:before="0" w:line="252" w:lineRule="auto"/>
            </w:pPr>
            <w:r>
              <w:rPr>
                <w:b w:val="0"/>
                <w:i w:val="0"/>
                <w:sz w:val="20"/>
              </w:rPr>
              <w:t>Actual private custody costs and no offsetting programme costs.</w:t>
            </w:r>
          </w:p>
        </w:tc>
      </w:tr>
      <w:tr>
        <w:trPr>
          <w:cantSplit/>
        </w:trPr>
        <w:tc>
          <w:tcPr>
            <w:tcW w:type="dxa" w:w="1949"/>
            <w:vAlign w:val="center"/>
            <w:tcMar>
              <w:top w:w="80" w:type="dxa"/>
              <w:bottom w:w="80" w:type="dxa"/>
              <w:left w:w="100" w:type="dxa"/>
              <w:right w:w="100" w:type="dxa"/>
            </w:tcMar>
            <w:shd w:fill="FFFFFF"/>
          </w:tcPr>
          <w:p>
            <w:pPr>
              <w:keepNext w:val="0"/>
              <w:spacing w:after="0" w:before="0" w:line="252" w:lineRule="auto"/>
            </w:pPr>
            <w:r>
              <w:rPr>
                <w:b w:val="0"/>
                <w:i w:val="0"/>
                <w:sz w:val="20"/>
              </w:rPr>
              <w:t>Win or retain assets</w:t>
            </w:r>
          </w:p>
        </w:tc>
        <w:tc>
          <w:tcPr>
            <w:tcW w:type="dxa" w:w="3703"/>
            <w:vAlign w:val="center"/>
            <w:tcMar>
              <w:top w:w="80" w:type="dxa"/>
              <w:bottom w:w="80" w:type="dxa"/>
              <w:left w:w="100" w:type="dxa"/>
              <w:right w:w="100" w:type="dxa"/>
            </w:tcMar>
            <w:shd w:fill="FFFFFF"/>
          </w:tcPr>
          <w:p>
            <w:pPr>
              <w:keepNext w:val="0"/>
              <w:spacing w:after="0" w:before="0" w:line="252" w:lineRule="auto"/>
            </w:pPr>
            <w:r>
              <w:rPr>
                <w:b w:val="0"/>
                <w:i w:val="0"/>
                <w:sz w:val="20"/>
              </w:rPr>
              <w:t xml:space="preserve">$2bn additional AUM × 0.50% fee = </w:t>
            </w:r>
            <w:r>
              <w:rPr>
                <w:b/>
                <w:i w:val="0"/>
                <w:sz w:val="20"/>
              </w:rPr>
              <w:t>$10m annual gross fee run-rate</w:t>
            </w:r>
          </w:p>
        </w:tc>
        <w:tc>
          <w:tcPr>
            <w:tcW w:type="dxa" w:w="4093"/>
            <w:vAlign w:val="center"/>
            <w:tcMar>
              <w:top w:w="80" w:type="dxa"/>
              <w:bottom w:w="80" w:type="dxa"/>
              <w:left w:w="100" w:type="dxa"/>
              <w:right w:w="100" w:type="dxa"/>
            </w:tcMar>
            <w:shd w:fill="FFFFFF"/>
          </w:tcPr>
          <w:p>
            <w:pPr>
              <w:keepNext w:val="0"/>
              <w:spacing w:after="0" w:before="0" w:line="252" w:lineRule="auto"/>
            </w:pPr>
            <w:r>
              <w:rPr>
                <w:b w:val="0"/>
                <w:i w:val="0"/>
                <w:sz w:val="20"/>
              </w:rPr>
              <w:t>Actual attributable inflows/retention; provider costs and rebates still apply.</w:t>
            </w:r>
          </w:p>
        </w:tc>
      </w:tr>
      <w:tr>
        <w:trPr>
          <w:cantSplit/>
        </w:trPr>
        <w:tc>
          <w:tcPr>
            <w:tcW w:type="dxa" w:w="1949"/>
            <w:vAlign w:val="center"/>
            <w:tcMar>
              <w:top w:w="80" w:type="dxa"/>
              <w:bottom w:w="80" w:type="dxa"/>
              <w:left w:w="100" w:type="dxa"/>
              <w:right w:w="100" w:type="dxa"/>
            </w:tcMar>
            <w:shd w:fill="F4F7F8"/>
          </w:tcPr>
          <w:p>
            <w:pPr>
              <w:keepNext w:val="0"/>
              <w:spacing w:after="0" w:before="0" w:line="252" w:lineRule="auto"/>
            </w:pPr>
            <w:r>
              <w:rPr>
                <w:b w:val="0"/>
                <w:i w:val="0"/>
                <w:sz w:val="20"/>
              </w:rPr>
              <w:t>Improve authorised participant execution and service</w:t>
            </w:r>
          </w:p>
        </w:tc>
        <w:tc>
          <w:tcPr>
            <w:tcW w:type="dxa" w:w="3703"/>
            <w:vAlign w:val="center"/>
            <w:tcMar>
              <w:top w:w="80" w:type="dxa"/>
              <w:bottom w:w="80" w:type="dxa"/>
              <w:left w:w="100" w:type="dxa"/>
              <w:right w:w="100" w:type="dxa"/>
            </w:tcMar>
            <w:shd w:fill="F4F7F8"/>
          </w:tcPr>
          <w:p>
            <w:pPr>
              <w:keepNext w:val="0"/>
              <w:spacing w:after="0" w:before="0" w:line="252" w:lineRule="auto"/>
            </w:pPr>
            <w:r>
              <w:rPr>
                <w:b w:val="0"/>
                <w:i w:val="0"/>
                <w:sz w:val="20"/>
              </w:rPr>
              <w:t>Better location availability and fewer funding/settlement failures</w:t>
            </w:r>
          </w:p>
        </w:tc>
        <w:tc>
          <w:tcPr>
            <w:tcW w:type="dxa" w:w="4093"/>
            <w:vAlign w:val="center"/>
            <w:tcMar>
              <w:top w:w="80" w:type="dxa"/>
              <w:bottom w:w="80" w:type="dxa"/>
              <w:left w:w="100" w:type="dxa"/>
              <w:right w:w="100" w:type="dxa"/>
            </w:tcMar>
            <w:shd w:fill="F4F7F8"/>
          </w:tcPr>
          <w:p>
            <w:pPr>
              <w:keepNext w:val="0"/>
              <w:spacing w:after="0" w:before="0" w:line="252" w:lineRule="auto"/>
            </w:pPr>
            <w:r>
              <w:rPr>
                <w:b w:val="0"/>
                <w:i w:val="0"/>
                <w:sz w:val="20"/>
              </w:rPr>
              <w:t>Measured service improvement; no assumed conversion into fund inflows.</w:t>
            </w:r>
          </w:p>
        </w:tc>
      </w:tr>
    </w:tbl>
    <w:p>
      <w:pPr>
        <w:spacing w:after="60" w:before="0" w:line="40" w:lineRule="exact"/>
      </w:pPr>
      <w:r>
        <w:rPr>
          <w:sz w:val="4"/>
        </w:rPr>
      </w:r>
    </w:p>
    <w:p>
      <w:pPr>
        <w:spacing w:after="100"/>
      </w:pPr>
      <w:r>
        <w:rPr>
          <w:b w:val="0"/>
          <w:i w:val="0"/>
          <w:sz w:val="18"/>
        </w:rPr>
        <w:t>These are independent sensitivities. Fee relief initially reduces sponsor fee revenue; it does not guarantee enough additional assets to offset that reduction. Saved AUM is dated 22 September 2026.</w:t>
      </w:r>
    </w:p>
    <w:p>
      <w:pPr>
        <w:pStyle w:val="Heading3"/>
        <w:pageBreakBefore w:val="0"/>
      </w:pPr>
      <w:r>
        <w:t>Evidence and assumptions</w:t>
      </w:r>
    </w:p>
    <w:p>
      <w:hyperlink r:id="rId96">
        <w:r>
          <w:rPr>
            <w:color w:val="235779"/>
            <w:u w:val="single"/>
          </w:rPr>
          <w:t>AUM and fee evidence</w:t>
        </w:r>
      </w:hyperlink>
    </w:p>
    <w:p>
      <w:hyperlink r:id="rId97">
        <w:r>
          <w:rPr>
            <w:color w:val="235779"/>
            <w:u w:val="single"/>
          </w:rPr>
          <w:t>Commercial calculations</w:t>
        </w:r>
      </w:hyperlink>
    </w:p>
    <w:p>
      <w:bookmarkStart w:id="28" w:name="research_5"/>
      <w:pPr>
        <w:pStyle w:val="Heading1"/>
        <w:pageBreakBefore/>
      </w:pPr>
      <w:r>
        <w:t>05  A repeatable $10m case requires actual flow</w:t>
      </w:r>
      <w:bookmarkEnd w:id="28"/>
    </w:p>
    <w:p>
      <w:pPr>
        <w:spacing w:after="100"/>
      </w:pPr>
      <w:r>
        <w:rPr>
          <w:b w:val="0"/>
          <w:i w:val="0"/>
          <w:sz w:val="18"/>
        </w:rPr>
        <w:t>Separate earlier illustration: the 4.5moz physical-substitution model uses different costs and is not the current 250,000 oz CME/over-the-counter custody-flow example. See Appendix 9 for the current model.</w:t>
      </w:r>
    </w:p>
    <w:p>
      <w:r>
        <w:rPr>
          <w:b w:val="0"/>
          <w:i w:val="0"/>
        </w:rPr>
        <w:t>At the example inputs, Citigroup earns 19¢ per executed ounce at the proposed 50:50 split before fixed costs, setup costs, tax and losses.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16"/>
        <w:gridCol w:w="6530"/>
      </w:tblGrid>
      <w:tr>
        <w:trPr>
          <w:tblHeader/>
          <w:cantSplit/>
        </w:trPr>
        <w:tc>
          <w:tcPr>
            <w:tcW w:type="dxa" w:w="3216"/>
            <w:vAlign w:val="center"/>
            <w:tcMar>
              <w:top w:w="80" w:type="dxa"/>
              <w:bottom w:w="80" w:type="dxa"/>
              <w:left w:w="100" w:type="dxa"/>
              <w:right w:w="100" w:type="dxa"/>
            </w:tcMar>
            <w:shd w:fill="DCE6EB"/>
          </w:tcPr>
          <w:p>
            <w:pPr>
              <w:keepNext/>
              <w:spacing w:after="0" w:before="0" w:line="252" w:lineRule="auto"/>
            </w:pPr>
            <w:r>
              <w:rPr>
                <w:b/>
                <w:i w:val="0"/>
                <w:sz w:val="20"/>
              </w:rPr>
              <w:t>Annual desk hurdle</w:t>
            </w:r>
          </w:p>
        </w:tc>
        <w:tc>
          <w:tcPr>
            <w:tcW w:type="dxa" w:w="6530"/>
            <w:vAlign w:val="center"/>
            <w:tcMar>
              <w:top w:w="80" w:type="dxa"/>
              <w:bottom w:w="80" w:type="dxa"/>
              <w:left w:w="100" w:type="dxa"/>
              <w:right w:w="100" w:type="dxa"/>
            </w:tcMar>
            <w:shd w:fill="DCE6EB"/>
          </w:tcPr>
          <w:p>
            <w:pPr>
              <w:keepNext/>
              <w:spacing w:after="0" w:before="0" w:line="252" w:lineRule="auto"/>
            </w:pPr>
            <w:r>
              <w:rPr>
                <w:b/>
                <w:i w:val="0"/>
                <w:sz w:val="20"/>
              </w:rPr>
              <w:t>Required executed ounces</w:t>
            </w:r>
          </w:p>
        </w:tc>
      </w:tr>
      <w:tr>
        <w:trPr>
          <w:cantSplit/>
        </w:trPr>
        <w:tc>
          <w:tcPr>
            <w:tcW w:type="dxa" w:w="3216"/>
            <w:vAlign w:val="center"/>
            <w:tcMar>
              <w:top w:w="80" w:type="dxa"/>
              <w:bottom w:w="80" w:type="dxa"/>
              <w:left w:w="100" w:type="dxa"/>
              <w:right w:w="100" w:type="dxa"/>
            </w:tcMar>
            <w:shd w:fill="FFFFFF"/>
          </w:tcPr>
          <w:p>
            <w:pPr>
              <w:keepNext w:val="0"/>
              <w:spacing w:after="0" w:before="0" w:line="252" w:lineRule="auto"/>
            </w:pPr>
            <w:r>
              <w:rPr>
                <w:b w:val="0"/>
                <w:i w:val="0"/>
                <w:sz w:val="20"/>
              </w:rPr>
              <w:t>$10m before those additional costs</w:t>
            </w:r>
          </w:p>
        </w:tc>
        <w:tc>
          <w:tcPr>
            <w:tcW w:type="dxa" w:w="6530"/>
            <w:vAlign w:val="center"/>
            <w:tcMar>
              <w:top w:w="80" w:type="dxa"/>
              <w:bottom w:w="80" w:type="dxa"/>
              <w:left w:w="100" w:type="dxa"/>
              <w:right w:w="100" w:type="dxa"/>
            </w:tcMar>
            <w:shd w:fill="FFFFFF"/>
          </w:tcPr>
          <w:p>
            <w:pPr>
              <w:keepNext w:val="0"/>
              <w:spacing w:after="0" w:before="0" w:line="252" w:lineRule="auto"/>
            </w:pPr>
            <w:r>
              <w:rPr>
                <w:b/>
                <w:i w:val="0"/>
                <w:sz w:val="20"/>
              </w:rPr>
              <w:t>52.632m oz</w:t>
            </w:r>
          </w:p>
        </w:tc>
      </w:tr>
      <w:tr>
        <w:trPr>
          <w:cantSplit/>
        </w:trPr>
        <w:tc>
          <w:tcPr>
            <w:tcW w:type="dxa" w:w="3216"/>
            <w:vAlign w:val="center"/>
            <w:tcMar>
              <w:top w:w="80" w:type="dxa"/>
              <w:bottom w:w="80" w:type="dxa"/>
              <w:left w:w="100" w:type="dxa"/>
              <w:right w:w="100" w:type="dxa"/>
            </w:tcMar>
            <w:shd w:fill="F4F7F8"/>
          </w:tcPr>
          <w:p>
            <w:pPr>
              <w:keepNext w:val="0"/>
              <w:spacing w:after="0" w:before="0" w:line="252" w:lineRule="auto"/>
            </w:pPr>
            <w:r>
              <w:rPr>
                <w:b w:val="0"/>
                <w:i w:val="0"/>
                <w:sz w:val="20"/>
              </w:rPr>
              <w:t>Also cover $1m fixed costs and recover 10¢/oz setup on 129.831m additional ounces over three years</w:t>
            </w:r>
          </w:p>
        </w:tc>
        <w:tc>
          <w:tcPr>
            <w:tcW w:type="dxa" w:w="6530"/>
            <w:vAlign w:val="center"/>
            <w:tcMar>
              <w:top w:w="80" w:type="dxa"/>
              <w:bottom w:w="80" w:type="dxa"/>
              <w:left w:w="100" w:type="dxa"/>
              <w:right w:w="100" w:type="dxa"/>
            </w:tcMar>
            <w:shd w:fill="F4F7F8"/>
          </w:tcPr>
          <w:p>
            <w:pPr>
              <w:keepNext w:val="0"/>
              <w:spacing w:after="0" w:before="0" w:line="252" w:lineRule="auto"/>
            </w:pPr>
            <w:r>
              <w:rPr>
                <w:b/>
                <w:i w:val="0"/>
                <w:sz w:val="20"/>
              </w:rPr>
              <w:t>80.672m oz</w:t>
            </w:r>
          </w:p>
        </w:tc>
      </w:tr>
      <w:tr>
        <w:trPr>
          <w:cantSplit/>
        </w:trPr>
        <w:tc>
          <w:tcPr>
            <w:tcW w:type="dxa" w:w="3216"/>
            <w:vAlign w:val="center"/>
            <w:tcMar>
              <w:top w:w="80" w:type="dxa"/>
              <w:bottom w:w="80" w:type="dxa"/>
              <w:left w:w="100" w:type="dxa"/>
              <w:right w:w="100" w:type="dxa"/>
            </w:tcMar>
            <w:shd w:fill="FFFFFF"/>
          </w:tcPr>
          <w:p>
            <w:pPr>
              <w:keepNext w:val="0"/>
              <w:spacing w:after="0" w:before="0" w:line="252" w:lineRule="auto"/>
            </w:pPr>
            <w:r>
              <w:rPr>
                <w:b w:val="0"/>
                <w:i w:val="0"/>
                <w:sz w:val="20"/>
              </w:rPr>
              <w:t>Scale reference: 2025 SLV redeemed ounces</w:t>
            </w:r>
          </w:p>
        </w:tc>
        <w:tc>
          <w:tcPr>
            <w:tcW w:type="dxa" w:w="6530"/>
            <w:vAlign w:val="center"/>
            <w:tcMar>
              <w:top w:w="80" w:type="dxa"/>
              <w:bottom w:w="80" w:type="dxa"/>
              <w:left w:w="100" w:type="dxa"/>
              <w:right w:w="100" w:type="dxa"/>
            </w:tcMar>
            <w:shd w:fill="FFFFFF"/>
          </w:tcPr>
          <w:p>
            <w:pPr>
              <w:keepNext w:val="0"/>
              <w:spacing w:after="0" w:before="0" w:line="252" w:lineRule="auto"/>
            </w:pPr>
            <w:r>
              <w:rPr>
                <w:b w:val="0"/>
                <w:i w:val="0"/>
                <w:sz w:val="20"/>
              </w:rPr>
              <w:t>306.800m oz across all authorised participants and locations</w:t>
            </w:r>
          </w:p>
        </w:tc>
      </w:tr>
    </w:tbl>
    <w:p>
      <w:pPr>
        <w:spacing w:after="60" w:before="0" w:line="40" w:lineRule="exact"/>
      </w:pPr>
      <w:r>
        <w:rPr>
          <w:sz w:val="4"/>
        </w:rPr>
      </w:r>
    </w:p>
    <w:p>
      <w:r>
        <w:rPr>
          <w:b w:val="0"/>
          <w:i w:val="0"/>
        </w:rPr>
        <w:t>52.632m ounces is 17.2% of that reported redemption leg. This does not establish accessible, executable or uniquely available inventory.</w:t>
      </w:r>
    </w:p>
    <w:p>
      <w:pPr>
        <w:spacing w:after="100"/>
      </w:pPr>
      <w:r>
        <w:rPr>
          <w:b w:val="0"/>
          <w:i w:val="0"/>
          <w:sz w:val="18"/>
        </w:rPr>
        <w:t>A 20moz working allocation would need replenishment or profitable reverse flows. Independent substitutions have a different opportunity set. $10m annual desk contribution is a modelling interpretation; the target horizon remains an assumption; Citigroup is the proposed bank recipient.</w:t>
      </w:r>
    </w:p>
    <w:p>
      <w:pPr>
        <w:pStyle w:val="Heading3"/>
        <w:pageBreakBefore w:val="0"/>
      </w:pPr>
      <w:r>
        <w:t>Evidence and assumptions</w:t>
      </w:r>
    </w:p>
    <w:p>
      <w:hyperlink r:id="rId97">
        <w:r>
          <w:rPr>
            <w:color w:val="235779"/>
            <w:u w:val="single"/>
          </w:rPr>
          <w:t>Annual model, formula and sensitivities</w:t>
        </w:r>
      </w:hyperlink>
    </w:p>
    <w:p>
      <w:hyperlink r:id="rId98">
        <w:r>
          <w:rPr>
            <w:color w:val="235779"/>
            <w:u w:val="single"/>
          </w:rPr>
          <w:t>Reported 2025 primary activity, PDF38–39</w:t>
        </w:r>
      </w:hyperlink>
    </w:p>
    <w:p>
      <w:bookmarkStart w:id="29" w:name="research_6"/>
      <w:pPr>
        <w:pStyle w:val="Heading1"/>
        <w:pageBreakBefore/>
      </w:pPr>
      <w:r>
        <w:t>06  Interactive revenue-share example</w:t>
      </w:r>
      <w:bookmarkEnd w:id="29"/>
    </w:p>
    <w:p>
      <w:pPr>
        <w:spacing w:after="100"/>
      </w:pPr>
      <w:r>
        <w:rPr>
          <w:b w:val="0"/>
          <w:i w:val="0"/>
          <w:sz w:val="18"/>
        </w:rPr>
        <w:t>Separate earlier illustration: the 4.5moz physical-substitution model uses different costs and is not the current 250,000 oz CME/over-the-counter custody-flow example. See Appendix 9 for the current model.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16"/>
        <w:gridCol w:w="6530"/>
      </w:tblGrid>
      <w:tr>
        <w:trPr>
          <w:tblHeader/>
          <w:cantSplit/>
        </w:trPr>
        <w:tc>
          <w:tcPr>
            <w:tcW w:type="dxa" w:w="3216"/>
            <w:vAlign w:val="center"/>
            <w:tcMar>
              <w:top w:w="80" w:type="dxa"/>
              <w:bottom w:w="80" w:type="dxa"/>
              <w:left w:w="100" w:type="dxa"/>
              <w:right w:w="100" w:type="dxa"/>
            </w:tcMar>
            <w:shd w:fill="DCE6EB"/>
          </w:tcPr>
          <w:p>
            <w:pPr>
              <w:keepNext/>
              <w:spacing w:after="0" w:before="0" w:line="252" w:lineRule="auto"/>
            </w:pPr>
            <w:r>
              <w:rPr>
                <w:b/>
                <w:sz w:val="20"/>
              </w:rPr>
              <w:t>Editable model input</w:t>
            </w:r>
          </w:p>
        </w:tc>
        <w:tc>
          <w:tcPr>
            <w:tcW w:type="dxa" w:w="6530"/>
            <w:vAlign w:val="center"/>
            <w:tcMar>
              <w:top w:w="80" w:type="dxa"/>
              <w:bottom w:w="80" w:type="dxa"/>
              <w:left w:w="100" w:type="dxa"/>
              <w:right w:w="100" w:type="dxa"/>
            </w:tcMar>
            <w:shd w:fill="DCE6EB"/>
          </w:tcPr>
          <w:p>
            <w:pPr>
              <w:keepNext/>
              <w:spacing w:after="0" w:before="0" w:line="252" w:lineRule="auto"/>
              <w:jc w:val="center"/>
            </w:pPr>
            <w:r>
              <w:rPr>
                <w:b/>
                <w:sz w:val="20"/>
              </w:rPr>
              <w:t>Default</w:t>
            </w:r>
          </w:p>
        </w:tc>
      </w:tr>
      <w:tr>
        <w:trPr>
          <w:cantSplit/>
        </w:trPr>
        <w:tc>
          <w:tcPr>
            <w:tcW w:type="dxa" w:w="3216"/>
            <w:vAlign w:val="center"/>
            <w:tcMar>
              <w:top w:w="80" w:type="dxa"/>
              <w:bottom w:w="80" w:type="dxa"/>
              <w:left w:w="100" w:type="dxa"/>
              <w:right w:w="100" w:type="dxa"/>
            </w:tcMar>
            <w:shd w:fill="FFFFFF"/>
          </w:tcPr>
          <w:p>
            <w:pPr>
              <w:keepNext w:val="0"/>
              <w:spacing w:after="0" w:before="0" w:line="252" w:lineRule="auto"/>
            </w:pPr>
            <w:r>
              <w:rPr>
                <w:sz w:val="20"/>
              </w:rPr>
              <w:t>Executed silver</w:t>
            </w:r>
          </w:p>
        </w:tc>
        <w:tc>
          <w:tcPr>
            <w:tcW w:type="dxa" w:w="6530"/>
            <w:vAlign w:val="center"/>
            <w:tcMar>
              <w:top w:w="80" w:type="dxa"/>
              <w:bottom w:w="80" w:type="dxa"/>
              <w:left w:w="100" w:type="dxa"/>
              <w:right w:w="100" w:type="dxa"/>
            </w:tcMar>
            <w:shd w:fill="FFFFFF"/>
          </w:tcPr>
          <w:p>
            <w:pPr>
              <w:keepNext w:val="0"/>
              <w:spacing w:after="0" w:before="0" w:line="252" w:lineRule="auto"/>
              <w:jc w:val="center"/>
            </w:pPr>
            <w:r>
              <w:rPr>
                <w:sz w:val="20"/>
              </w:rPr>
              <w:t>4.5 million troy ounces</w:t>
            </w:r>
          </w:p>
        </w:tc>
      </w:tr>
      <w:tr>
        <w:trPr>
          <w:cantSplit/>
        </w:trPr>
        <w:tc>
          <w:tcPr>
            <w:tcW w:type="dxa" w:w="3216"/>
            <w:vAlign w:val="center"/>
            <w:tcMar>
              <w:top w:w="80" w:type="dxa"/>
              <w:bottom w:w="80" w:type="dxa"/>
              <w:left w:w="100" w:type="dxa"/>
              <w:right w:w="100" w:type="dxa"/>
            </w:tcMar>
            <w:shd w:fill="F4F7F8"/>
          </w:tcPr>
          <w:p>
            <w:pPr>
              <w:keepNext w:val="0"/>
              <w:spacing w:after="0" w:before="0" w:line="252" w:lineRule="auto"/>
            </w:pPr>
            <w:r>
              <w:rPr>
                <w:sz w:val="20"/>
              </w:rPr>
              <w:t>Physical premium</w:t>
            </w:r>
          </w:p>
        </w:tc>
        <w:tc>
          <w:tcPr>
            <w:tcW w:type="dxa" w:w="6530"/>
            <w:vAlign w:val="center"/>
            <w:tcMar>
              <w:top w:w="80" w:type="dxa"/>
              <w:bottom w:w="80" w:type="dxa"/>
              <w:left w:w="100" w:type="dxa"/>
              <w:right w:w="100" w:type="dxa"/>
            </w:tcMar>
            <w:shd w:fill="F4F7F8"/>
          </w:tcPr>
          <w:p>
            <w:pPr>
              <w:keepNext w:val="0"/>
              <w:spacing w:after="0" w:before="0" w:line="252" w:lineRule="auto"/>
              <w:jc w:val="center"/>
            </w:pPr>
            <w:r>
              <w:rPr>
                <w:sz w:val="20"/>
              </w:rPr>
              <w:t>$0.50 per oz</w:t>
            </w:r>
          </w:p>
        </w:tc>
      </w:tr>
      <w:tr>
        <w:trPr>
          <w:cantSplit/>
        </w:trPr>
        <w:tc>
          <w:tcPr>
            <w:tcW w:type="dxa" w:w="3216"/>
            <w:vAlign w:val="center"/>
            <w:tcMar>
              <w:top w:w="80" w:type="dxa"/>
              <w:bottom w:w="80" w:type="dxa"/>
              <w:left w:w="100" w:type="dxa"/>
              <w:right w:w="100" w:type="dxa"/>
            </w:tcMar>
            <w:shd w:fill="FFFFFF"/>
          </w:tcPr>
          <w:p>
            <w:pPr>
              <w:keepNext w:val="0"/>
              <w:spacing w:after="0" w:before="0" w:line="252" w:lineRule="auto"/>
            </w:pPr>
            <w:r>
              <w:rPr>
                <w:sz w:val="20"/>
              </w:rPr>
              <w:t>Variable cost</w:t>
            </w:r>
          </w:p>
        </w:tc>
        <w:tc>
          <w:tcPr>
            <w:tcW w:type="dxa" w:w="6530"/>
            <w:vAlign w:val="center"/>
            <w:tcMar>
              <w:top w:w="80" w:type="dxa"/>
              <w:bottom w:w="80" w:type="dxa"/>
              <w:left w:w="100" w:type="dxa"/>
              <w:right w:w="100" w:type="dxa"/>
            </w:tcMar>
            <w:shd w:fill="FFFFFF"/>
          </w:tcPr>
          <w:p>
            <w:pPr>
              <w:keepNext w:val="0"/>
              <w:spacing w:after="0" w:before="0" w:line="252" w:lineRule="auto"/>
              <w:jc w:val="center"/>
            </w:pPr>
            <w:r>
              <w:rPr>
                <w:sz w:val="20"/>
              </w:rPr>
              <w:t>$0.12 per oz</w:t>
            </w:r>
          </w:p>
        </w:tc>
      </w:tr>
      <w:tr>
        <w:trPr>
          <w:cantSplit/>
        </w:trPr>
        <w:tc>
          <w:tcPr>
            <w:tcW w:type="dxa" w:w="3216"/>
            <w:vAlign w:val="center"/>
            <w:tcMar>
              <w:top w:w="80" w:type="dxa"/>
              <w:bottom w:w="80" w:type="dxa"/>
              <w:left w:w="100" w:type="dxa"/>
              <w:right w:w="100" w:type="dxa"/>
            </w:tcMar>
            <w:shd w:fill="F4F7F8"/>
          </w:tcPr>
          <w:p>
            <w:pPr>
              <w:keepNext w:val="0"/>
              <w:spacing w:after="0" w:before="0" w:line="252" w:lineRule="auto"/>
            </w:pPr>
            <w:r>
              <w:rPr>
                <w:sz w:val="20"/>
              </w:rPr>
              <w:t>BlackRock share of positive net</w:t>
            </w:r>
          </w:p>
        </w:tc>
        <w:tc>
          <w:tcPr>
            <w:tcW w:type="dxa" w:w="6530"/>
            <w:vAlign w:val="center"/>
            <w:tcMar>
              <w:top w:w="80" w:type="dxa"/>
              <w:bottom w:w="80" w:type="dxa"/>
              <w:left w:w="100" w:type="dxa"/>
              <w:right w:w="100" w:type="dxa"/>
            </w:tcMar>
            <w:shd w:fill="F4F7F8"/>
          </w:tcPr>
          <w:p>
            <w:pPr>
              <w:keepNext w:val="0"/>
              <w:spacing w:after="0" w:before="0" w:line="252" w:lineRule="auto"/>
              <w:jc w:val="center"/>
            </w:pPr>
            <w:r>
              <w:rPr>
                <w:sz w:val="20"/>
              </w:rPr>
              <w:t>50%</w:t>
            </w:r>
          </w:p>
        </w:tc>
      </w:tr>
      <w:tr>
        <w:trPr>
          <w:cantSplit/>
        </w:trPr>
        <w:tc>
          <w:tcPr>
            <w:tcW w:type="dxa" w:w="3216"/>
            <w:vAlign w:val="center"/>
            <w:tcMar>
              <w:top w:w="80" w:type="dxa"/>
              <w:bottom w:w="80" w:type="dxa"/>
              <w:left w:w="100" w:type="dxa"/>
              <w:right w:w="100" w:type="dxa"/>
            </w:tcMar>
            <w:shd w:fill="FFFFFF"/>
          </w:tcPr>
          <w:p>
            <w:pPr>
              <w:keepNext w:val="0"/>
              <w:spacing w:after="0" w:before="0" w:line="252" w:lineRule="auto"/>
            </w:pPr>
            <w:r>
              <w:rPr>
                <w:sz w:val="20"/>
              </w:rPr>
              <w:t>Annual desk fixed costs / loss budget</w:t>
            </w:r>
          </w:p>
        </w:tc>
        <w:tc>
          <w:tcPr>
            <w:tcW w:type="dxa" w:w="6530"/>
            <w:vAlign w:val="center"/>
            <w:tcMar>
              <w:top w:w="80" w:type="dxa"/>
              <w:bottom w:w="80" w:type="dxa"/>
              <w:left w:w="100" w:type="dxa"/>
              <w:right w:w="100" w:type="dxa"/>
            </w:tcMar>
            <w:shd w:fill="FFFFFF"/>
          </w:tcPr>
          <w:p>
            <w:pPr>
              <w:keepNext w:val="0"/>
              <w:spacing w:after="0" w:before="0" w:line="252" w:lineRule="auto"/>
              <w:jc w:val="center"/>
            </w:pPr>
            <w:r>
              <w:rPr>
                <w:sz w:val="20"/>
              </w:rPr>
              <w:t>$0 million</w:t>
            </w:r>
          </w:p>
        </w:tc>
      </w:tr>
      <w:tr>
        <w:trPr>
          <w:cantSplit/>
        </w:trPr>
        <w:tc>
          <w:tcPr>
            <w:tcW w:type="dxa" w:w="3216"/>
            <w:vAlign w:val="center"/>
            <w:tcMar>
              <w:top w:w="80" w:type="dxa"/>
              <w:bottom w:w="80" w:type="dxa"/>
              <w:left w:w="100" w:type="dxa"/>
              <w:right w:w="100" w:type="dxa"/>
            </w:tcMar>
            <w:shd w:fill="F4F7F8"/>
          </w:tcPr>
          <w:p>
            <w:pPr>
              <w:keepNext w:val="0"/>
              <w:spacing w:after="0" w:before="0" w:line="252" w:lineRule="auto"/>
            </w:pPr>
            <w:r>
              <w:rPr>
                <w:sz w:val="20"/>
              </w:rPr>
              <w:t>Annual Citigroup target</w:t>
            </w:r>
          </w:p>
        </w:tc>
        <w:tc>
          <w:tcPr>
            <w:tcW w:type="dxa" w:w="6530"/>
            <w:vAlign w:val="center"/>
            <w:tcMar>
              <w:top w:w="80" w:type="dxa"/>
              <w:bottom w:w="80" w:type="dxa"/>
              <w:left w:w="100" w:type="dxa"/>
              <w:right w:w="100" w:type="dxa"/>
            </w:tcMar>
            <w:shd w:fill="F4F7F8"/>
          </w:tcPr>
          <w:p>
            <w:pPr>
              <w:keepNext w:val="0"/>
              <w:spacing w:after="0" w:before="0" w:line="252" w:lineRule="auto"/>
              <w:jc w:val="center"/>
            </w:pPr>
            <w:r>
              <w:rPr>
                <w:sz w:val="20"/>
              </w:rPr>
              <w:t>$10 million</w:t>
            </w:r>
          </w:p>
        </w:tc>
      </w:tr>
    </w:tbl>
    <w:p>
      <w:pPr>
        <w:spacing w:after="60" w:before="0" w:line="40" w:lineRule="exact"/>
      </w:pPr>
      <w:r>
        <w:rPr>
          <w:sz w:val="4"/>
        </w:rP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16"/>
        <w:gridCol w:w="6530"/>
      </w:tblGrid>
      <w:tr>
        <w:trPr>
          <w:tblHeader/>
          <w:cantSplit/>
        </w:trPr>
        <w:tc>
          <w:tcPr>
            <w:tcW w:type="dxa" w:w="3216"/>
            <w:vAlign w:val="center"/>
            <w:tcMar>
              <w:top w:w="80" w:type="dxa"/>
              <w:bottom w:w="80" w:type="dxa"/>
              <w:left w:w="100" w:type="dxa"/>
              <w:right w:w="100" w:type="dxa"/>
            </w:tcMar>
            <w:shd w:fill="DCE6EB"/>
          </w:tcPr>
          <w:p>
            <w:pPr>
              <w:keepNext/>
              <w:spacing w:after="0" w:before="0" w:line="252" w:lineRule="auto"/>
            </w:pPr>
            <w:r>
              <w:rPr>
                <w:b/>
                <w:sz w:val="20"/>
              </w:rPr>
              <w:t>Calculated result</w:t>
            </w:r>
          </w:p>
        </w:tc>
        <w:tc>
          <w:tcPr>
            <w:tcW w:type="dxa" w:w="6530"/>
            <w:vAlign w:val="center"/>
            <w:tcMar>
              <w:top w:w="80" w:type="dxa"/>
              <w:bottom w:w="80" w:type="dxa"/>
              <w:left w:w="100" w:type="dxa"/>
              <w:right w:w="100" w:type="dxa"/>
            </w:tcMar>
            <w:shd w:fill="DCE6EB"/>
          </w:tcPr>
          <w:p>
            <w:pPr>
              <w:keepNext/>
              <w:spacing w:after="0" w:before="0" w:line="252" w:lineRule="auto"/>
              <w:jc w:val="center"/>
            </w:pPr>
            <w:r>
              <w:rPr>
                <w:b/>
                <w:sz w:val="20"/>
              </w:rPr>
              <w:t>Default value</w:t>
            </w:r>
          </w:p>
        </w:tc>
      </w:tr>
      <w:tr>
        <w:trPr>
          <w:cantSplit/>
        </w:trPr>
        <w:tc>
          <w:tcPr>
            <w:tcW w:type="dxa" w:w="3216"/>
            <w:vAlign w:val="center"/>
            <w:tcMar>
              <w:top w:w="80" w:type="dxa"/>
              <w:bottom w:w="80" w:type="dxa"/>
              <w:left w:w="100" w:type="dxa"/>
              <w:right w:w="100" w:type="dxa"/>
            </w:tcMar>
            <w:shd w:fill="FFFFFF"/>
          </w:tcPr>
          <w:p>
            <w:pPr>
              <w:keepNext w:val="0"/>
              <w:spacing w:after="0" w:before="0" w:line="252" w:lineRule="auto"/>
            </w:pPr>
            <w:r>
              <w:rPr>
                <w:sz w:val="20"/>
              </w:rPr>
              <w:t>Transaction net before sharing</w:t>
            </w:r>
          </w:p>
        </w:tc>
        <w:tc>
          <w:tcPr>
            <w:tcW w:type="dxa" w:w="6530"/>
            <w:vAlign w:val="center"/>
            <w:tcMar>
              <w:top w:w="80" w:type="dxa"/>
              <w:bottom w:w="80" w:type="dxa"/>
              <w:left w:w="100" w:type="dxa"/>
              <w:right w:w="100" w:type="dxa"/>
            </w:tcMar>
            <w:shd w:fill="FFFFFF"/>
          </w:tcPr>
          <w:p>
            <w:pPr>
              <w:keepNext w:val="0"/>
              <w:spacing w:after="0" w:before="0" w:line="252" w:lineRule="auto"/>
              <w:jc w:val="center"/>
            </w:pPr>
            <w:r>
              <w:rPr>
                <w:sz w:val="20"/>
              </w:rPr>
              <w:t>$1,710,000</w:t>
            </w:r>
          </w:p>
        </w:tc>
      </w:tr>
      <w:tr>
        <w:trPr>
          <w:cantSplit/>
        </w:trPr>
        <w:tc>
          <w:tcPr>
            <w:tcW w:type="dxa" w:w="3216"/>
            <w:vAlign w:val="center"/>
            <w:tcMar>
              <w:top w:w="80" w:type="dxa"/>
              <w:bottom w:w="80" w:type="dxa"/>
              <w:left w:w="100" w:type="dxa"/>
              <w:right w:w="100" w:type="dxa"/>
            </w:tcMar>
            <w:shd w:fill="F4F7F8"/>
          </w:tcPr>
          <w:p>
            <w:pPr>
              <w:keepNext w:val="0"/>
              <w:spacing w:after="0" w:before="0" w:line="252" w:lineRule="auto"/>
            </w:pPr>
            <w:r>
              <w:rPr>
                <w:sz w:val="20"/>
              </w:rPr>
              <w:t>BlackRock allocation</w:t>
            </w:r>
          </w:p>
        </w:tc>
        <w:tc>
          <w:tcPr>
            <w:tcW w:type="dxa" w:w="6530"/>
            <w:vAlign w:val="center"/>
            <w:tcMar>
              <w:top w:w="80" w:type="dxa"/>
              <w:bottom w:w="80" w:type="dxa"/>
              <w:left w:w="100" w:type="dxa"/>
              <w:right w:w="100" w:type="dxa"/>
            </w:tcMar>
            <w:shd w:fill="F4F7F8"/>
          </w:tcPr>
          <w:p>
            <w:pPr>
              <w:keepNext w:val="0"/>
              <w:spacing w:after="0" w:before="0" w:line="252" w:lineRule="auto"/>
              <w:jc w:val="center"/>
            </w:pPr>
            <w:r>
              <w:rPr>
                <w:sz w:val="20"/>
              </w:rPr>
              <w:t>$855,000</w:t>
            </w:r>
          </w:p>
        </w:tc>
      </w:tr>
      <w:tr>
        <w:trPr>
          <w:cantSplit/>
        </w:trPr>
        <w:tc>
          <w:tcPr>
            <w:tcW w:type="dxa" w:w="3216"/>
            <w:vAlign w:val="center"/>
            <w:tcMar>
              <w:top w:w="80" w:type="dxa"/>
              <w:bottom w:w="80" w:type="dxa"/>
              <w:left w:w="100" w:type="dxa"/>
              <w:right w:w="100" w:type="dxa"/>
            </w:tcMar>
            <w:shd w:fill="FFFFFF"/>
          </w:tcPr>
          <w:p>
            <w:pPr>
              <w:keepNext w:val="0"/>
              <w:spacing w:after="0" w:before="0" w:line="252" w:lineRule="auto"/>
            </w:pPr>
            <w:r>
              <w:rPr>
                <w:sz w:val="20"/>
              </w:rPr>
              <w:t>Citigroup allocation</w:t>
            </w:r>
          </w:p>
        </w:tc>
        <w:tc>
          <w:tcPr>
            <w:tcW w:type="dxa" w:w="6530"/>
            <w:vAlign w:val="center"/>
            <w:tcMar>
              <w:top w:w="80" w:type="dxa"/>
              <w:bottom w:w="80" w:type="dxa"/>
              <w:left w:w="100" w:type="dxa"/>
              <w:right w:w="100" w:type="dxa"/>
            </w:tcMar>
            <w:shd w:fill="FFFFFF"/>
          </w:tcPr>
          <w:p>
            <w:pPr>
              <w:keepNext w:val="0"/>
              <w:spacing w:after="0" w:before="0" w:line="252" w:lineRule="auto"/>
              <w:jc w:val="center"/>
            </w:pPr>
            <w:r>
              <w:rPr>
                <w:sz w:val="20"/>
              </w:rPr>
              <w:t>$855,000</w:t>
            </w:r>
          </w:p>
        </w:tc>
      </w:tr>
      <w:tr>
        <w:trPr>
          <w:cantSplit/>
        </w:trPr>
        <w:tc>
          <w:tcPr>
            <w:tcW w:type="dxa" w:w="3216"/>
            <w:vAlign w:val="center"/>
            <w:tcMar>
              <w:top w:w="80" w:type="dxa"/>
              <w:bottom w:w="80" w:type="dxa"/>
              <w:left w:w="100" w:type="dxa"/>
              <w:right w:w="100" w:type="dxa"/>
            </w:tcMar>
            <w:shd w:fill="F4F7F8"/>
          </w:tcPr>
          <w:p>
            <w:pPr>
              <w:keepNext w:val="0"/>
              <w:spacing w:after="0" w:before="0" w:line="252" w:lineRule="auto"/>
            </w:pPr>
            <w:r>
              <w:rPr>
                <w:sz w:val="20"/>
              </w:rPr>
              <w:t>Desk unit margin</w:t>
            </w:r>
          </w:p>
        </w:tc>
        <w:tc>
          <w:tcPr>
            <w:tcW w:type="dxa" w:w="6530"/>
            <w:vAlign w:val="center"/>
            <w:tcMar>
              <w:top w:w="80" w:type="dxa"/>
              <w:bottom w:w="80" w:type="dxa"/>
              <w:left w:w="100" w:type="dxa"/>
              <w:right w:w="100" w:type="dxa"/>
            </w:tcMar>
            <w:shd w:fill="F4F7F8"/>
          </w:tcPr>
          <w:p>
            <w:pPr>
              <w:keepNext w:val="0"/>
              <w:spacing w:after="0" w:before="0" w:line="252" w:lineRule="auto"/>
              <w:jc w:val="center"/>
            </w:pPr>
            <w:r>
              <w:rPr>
                <w:sz w:val="20"/>
              </w:rPr>
              <w:t>$0.19 per oz</w:t>
            </w:r>
          </w:p>
        </w:tc>
      </w:tr>
      <w:tr>
        <w:trPr>
          <w:cantSplit/>
        </w:trPr>
        <w:tc>
          <w:tcPr>
            <w:tcW w:type="dxa" w:w="3216"/>
            <w:vAlign w:val="center"/>
            <w:tcMar>
              <w:top w:w="80" w:type="dxa"/>
              <w:bottom w:w="80" w:type="dxa"/>
              <w:left w:w="100" w:type="dxa"/>
              <w:right w:w="100" w:type="dxa"/>
            </w:tcMar>
            <w:shd w:fill="FFFFFF"/>
          </w:tcPr>
          <w:p>
            <w:pPr>
              <w:keepNext w:val="0"/>
              <w:spacing w:after="0" w:before="0" w:line="252" w:lineRule="auto"/>
            </w:pPr>
            <w:r>
              <w:rPr>
                <w:sz w:val="20"/>
              </w:rPr>
              <w:t>Annual executed ounces for desk target</w:t>
            </w:r>
          </w:p>
        </w:tc>
        <w:tc>
          <w:tcPr>
            <w:tcW w:type="dxa" w:w="6530"/>
            <w:vAlign w:val="center"/>
            <w:tcMar>
              <w:top w:w="80" w:type="dxa"/>
              <w:bottom w:w="80" w:type="dxa"/>
              <w:left w:w="100" w:type="dxa"/>
              <w:right w:w="100" w:type="dxa"/>
            </w:tcMar>
            <w:shd w:fill="FFFFFF"/>
          </w:tcPr>
          <w:p>
            <w:pPr>
              <w:keepNext w:val="0"/>
              <w:spacing w:after="0" w:before="0" w:line="252" w:lineRule="auto"/>
            </w:pPr>
            <w:r>
              <w:rPr>
                <w:sz w:val="20"/>
              </w:rPr>
              <w:t>52,631,578.947 oz (52.632 million oz)</w:t>
            </w:r>
          </w:p>
        </w:tc>
      </w:tr>
      <w:tr>
        <w:trPr>
          <w:cantSplit/>
        </w:trPr>
        <w:tc>
          <w:tcPr>
            <w:tcW w:type="dxa" w:w="3216"/>
            <w:vAlign w:val="center"/>
            <w:tcMar>
              <w:top w:w="80" w:type="dxa"/>
              <w:bottom w:w="80" w:type="dxa"/>
              <w:left w:w="100" w:type="dxa"/>
              <w:right w:w="100" w:type="dxa"/>
            </w:tcMar>
            <w:shd w:fill="F4F7F8"/>
          </w:tcPr>
          <w:p>
            <w:pPr>
              <w:keepNext w:val="0"/>
              <w:spacing w:after="0" w:before="0" w:line="252" w:lineRule="auto"/>
            </w:pPr>
            <w:r>
              <w:rPr>
                <w:sz w:val="20"/>
              </w:rPr>
              <w:t>New York ounces after exchange</w:t>
            </w:r>
          </w:p>
        </w:tc>
        <w:tc>
          <w:tcPr>
            <w:tcW w:type="dxa" w:w="6530"/>
            <w:vAlign w:val="center"/>
            <w:tcMar>
              <w:top w:w="80" w:type="dxa"/>
              <w:bottom w:w="80" w:type="dxa"/>
              <w:left w:w="100" w:type="dxa"/>
              <w:right w:w="100" w:type="dxa"/>
            </w:tcMar>
            <w:shd w:fill="F4F7F8"/>
          </w:tcPr>
          <w:p>
            <w:pPr>
              <w:keepNext w:val="0"/>
              <w:spacing w:after="0" w:before="0" w:line="252" w:lineRule="auto"/>
            </w:pPr>
            <w:r>
              <w:rPr>
                <w:sz w:val="20"/>
              </w:rPr>
              <w:t>195,500,000 oz (195.5 million oz)</w:t>
            </w:r>
          </w:p>
        </w:tc>
      </w:tr>
    </w:tbl>
    <w:p>
      <w:pPr>
        <w:spacing w:after="60" w:before="0" w:line="40" w:lineRule="exact"/>
      </w:pPr>
      <w:r>
        <w:rPr>
          <w:sz w:val="4"/>
        </w:rPr>
      </w:r>
    </w:p>
    <w:p>
      <w:pPr>
        <w:pStyle w:val="Heading2"/>
        <w:pageBreakBefore w:val="0"/>
      </w:pPr>
      <w:r>
        <w:t>Calculation formulas</w:t>
      </w:r>
    </w:p>
    <w:p>
      <w:r>
        <w:rPr>
          <w:b w:val="0"/>
        </w:rPr>
        <w:t>Q = executed million ounces × 1,000,000.</w:t>
      </w:r>
    </w:p>
    <w:p>
      <w:r>
        <w:rPr>
          <w:b w:val="0"/>
        </w:rPr>
        <w:t>Transaction net N = Q × (physical premium − variable cost).</w:t>
      </w:r>
    </w:p>
    <w:p>
      <w:r>
        <w:rPr>
          <w:b w:val="0"/>
        </w:rPr>
        <w:t>BlackRock allocation = max(0, N) × BlackRock share / 100.</w:t>
      </w:r>
    </w:p>
    <w:p>
      <w:r>
        <w:rPr>
          <w:b w:val="0"/>
        </w:rPr>
        <w:t>Citigroup allocation = max(0, N) − BlackRock allocation.</w:t>
      </w:r>
    </w:p>
    <w:p>
      <w:r>
        <w:rPr>
          <w:b w:val="0"/>
        </w:rPr>
        <w:t>Desk unit margin = (physical premium − variable cost) × (1 − BlackRock share / 100).</w:t>
      </w:r>
    </w:p>
    <w:p>
      <w:r>
        <w:rPr>
          <w:b w:val="0"/>
        </w:rPr>
        <w:t>Annual executed ounces = (annual target + annual fixed costs in $m) × 1,000,000 / positive desk unit margin.</w:t>
      </w:r>
    </w:p>
    <w:p>
      <w:r>
        <w:rPr>
          <w:b w:val="0"/>
        </w:rPr>
        <w:t>New York ounces remaining = 200,000,000 − Q.</w:t>
      </w:r>
    </w:p>
    <w:p>
      <w:pPr>
        <w:spacing w:after="100"/>
      </w:pPr>
      <w:r>
        <w:rPr>
          <w:b w:val="0"/>
          <w:sz w:val="18"/>
        </w:rPr>
        <w:t>Inputs and formulas are editable in Word. The linked HTML retains the interactive calculator. A nonpositive desk unit margin gives no positive annual hurdle. Negative transaction economics remain visible as a loss; no upside is shared, and loss ownership requires agreement. Quantity is restricted to 0–200 million ounces, costs and targets are nonnegative, and the share is 0–100%. Executed quantity above 20 million ounces consumes the illustrative 180 million ounce reserve.</w:t>
      </w:r>
    </w:p>
    <w:p>
      <w:pPr>
        <w:spacing w:after="100"/>
      </w:pPr>
      <w:r>
        <w:rPr>
          <w:b w:val="0"/>
          <w:sz w:val="18"/>
        </w:rPr>
        <w:t>Illustrative allocations to BlackRock and Citigroup; proposed split is 50:50. Additional costs, payment terms and any investor benefit require separate validation. Annual ounces are a reverse-solved hurdle, not a flow forecast.</w:t>
      </w:r>
    </w:p>
    <w:p>
      <w:pPr>
        <w:spacing w:after="100"/>
      </w:pPr>
      <w:r>
        <w:rPr>
          <w:b w:val="0"/>
          <w:i w:val="0"/>
          <w:sz w:val="18"/>
        </w:rPr>
        <w:t>Direction: New York metal released, equal London metal replaces it. Start at the proposed 200moz New York target. No initial build cost or investor tax is entered here. Loss ownership requires agreement; negative results remain visible.</w:t>
      </w:r>
    </w:p>
    <w:p>
      <w:pPr>
        <w:pStyle w:val="Heading3"/>
        <w:pageBreakBefore w:val="0"/>
      </w:pPr>
      <w:r>
        <w:t>Evidence and assumptions</w:t>
      </w:r>
    </w:p>
    <w:p>
      <w:r>
        <w:rPr>
          <w:b w:val="0"/>
          <w:i w:val="0"/>
        </w:rPr>
        <w:t>All editable values are assumptions. Initial stock positioning is not free. A client allocation is neither an approved cash distribution nor automatically an economic gain versus the asset surrendered.</w:t>
      </w:r>
    </w:p>
    <w:p>
      <w:hyperlink r:id="rId11">
        <w:r>
          <w:rPr>
            <w:color w:val="235779"/>
            <w:u w:val="single"/>
          </w:rPr>
          <w:t>Full annual/setup calculator</w:t>
        </w:r>
      </w:hyperlink>
    </w:p>
    <w:p>
      <w:bookmarkStart w:id="30" w:name="research_7"/>
      <w:pPr>
        <w:pStyle w:val="Heading1"/>
        <w:pageBreakBefore/>
      </w:pPr>
      <w:r>
        <w:t>07  Prove the gain against the best feasible alternative</w:t>
      </w:r>
      <w:bookmarkEnd w:id="30"/>
    </w:p>
    <w:p>
      <w:pPr>
        <w:spacing w:after="100"/>
      </w:pPr>
      <w:r>
        <w:rPr>
          <w:b w:val="0"/>
          <w:i w:val="0"/>
          <w:sz w:val="18"/>
        </w:rPr>
        <w:t>Separate earlier illustration: the 4.5moz physical-substitution model uses different costs and is not the current 250,000 oz CME/over-the-counter custody-flow example. See Appendix 9 for the current model.</w:t>
      </w:r>
    </w:p>
    <w:p>
      <w:r>
        <w:rPr>
          <w:b w:val="0"/>
          <w:i w:val="0"/>
        </w:rPr>
        <w:t>The trust owns bars that may already carry location value. The service must improve the outcome available to investors.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16"/>
        <w:gridCol w:w="6530"/>
      </w:tblGrid>
      <w:tr>
        <w:trPr>
          <w:tblHeader/>
          <w:cantSplit/>
        </w:trPr>
        <w:tc>
          <w:tcPr>
            <w:tcW w:type="dxa" w:w="3216"/>
            <w:vAlign w:val="center"/>
            <w:tcMar>
              <w:top w:w="80" w:type="dxa"/>
              <w:bottom w:w="80" w:type="dxa"/>
              <w:left w:w="100" w:type="dxa"/>
              <w:right w:w="100" w:type="dxa"/>
            </w:tcMar>
            <w:shd w:fill="DCE6EB"/>
          </w:tcPr>
          <w:p>
            <w:pPr>
              <w:keepNext/>
              <w:spacing w:after="0" w:before="0" w:line="252" w:lineRule="auto"/>
            </w:pPr>
            <w:r>
              <w:rPr>
                <w:b/>
                <w:i w:val="0"/>
                <w:sz w:val="20"/>
              </w:rPr>
              <w:t>Evaluation</w:t>
            </w:r>
          </w:p>
        </w:tc>
        <w:tc>
          <w:tcPr>
            <w:tcW w:type="dxa" w:w="6530"/>
            <w:vAlign w:val="center"/>
            <w:tcMar>
              <w:top w:w="80" w:type="dxa"/>
              <w:bottom w:w="80" w:type="dxa"/>
              <w:left w:w="100" w:type="dxa"/>
              <w:right w:w="100" w:type="dxa"/>
            </w:tcMar>
            <w:shd w:fill="DCE6EB"/>
          </w:tcPr>
          <w:p>
            <w:pPr>
              <w:keepNext/>
              <w:spacing w:after="0" w:before="0" w:line="252" w:lineRule="auto"/>
            </w:pPr>
            <w:r>
              <w:rPr>
                <w:b/>
                <w:i w:val="0"/>
                <w:sz w:val="20"/>
              </w:rPr>
              <w:t>What must be measured</w:t>
            </w:r>
          </w:p>
        </w:tc>
      </w:tr>
      <w:tr>
        <w:trPr>
          <w:cantSplit/>
        </w:trPr>
        <w:tc>
          <w:tcPr>
            <w:tcW w:type="dxa" w:w="3216"/>
            <w:vAlign w:val="center"/>
            <w:tcMar>
              <w:top w:w="80" w:type="dxa"/>
              <w:bottom w:w="80" w:type="dxa"/>
              <w:left w:w="100" w:type="dxa"/>
              <w:right w:w="100" w:type="dxa"/>
            </w:tcMar>
            <w:shd w:fill="FFFFFF"/>
          </w:tcPr>
          <w:p>
            <w:pPr>
              <w:keepNext w:val="0"/>
              <w:spacing w:after="0" w:before="0" w:line="252" w:lineRule="auto"/>
            </w:pPr>
            <w:r>
              <w:rPr>
                <w:b w:val="0"/>
                <w:i w:val="0"/>
                <w:sz w:val="20"/>
              </w:rPr>
              <w:t>Before the exchange</w:t>
            </w:r>
          </w:p>
        </w:tc>
        <w:tc>
          <w:tcPr>
            <w:tcW w:type="dxa" w:w="6530"/>
            <w:vAlign w:val="center"/>
            <w:tcMar>
              <w:top w:w="80" w:type="dxa"/>
              <w:bottom w:w="80" w:type="dxa"/>
              <w:left w:w="100" w:type="dxa"/>
              <w:right w:w="100" w:type="dxa"/>
            </w:tcMar>
            <w:shd w:fill="FFFFFF"/>
          </w:tcPr>
          <w:p>
            <w:pPr>
              <w:keepNext w:val="0"/>
              <w:spacing w:after="0" w:before="0" w:line="252" w:lineRule="auto"/>
            </w:pPr>
            <w:r>
              <w:rPr>
                <w:b w:val="0"/>
                <w:i w:val="0"/>
                <w:sz w:val="20"/>
              </w:rPr>
              <w:t>Executable value at size, rights attached to the bars and cost of a feasible alternative.</w:t>
            </w:r>
          </w:p>
        </w:tc>
      </w:tr>
      <w:tr>
        <w:trPr>
          <w:cantSplit/>
        </w:trPr>
        <w:tc>
          <w:tcPr>
            <w:tcW w:type="dxa" w:w="3216"/>
            <w:vAlign w:val="center"/>
            <w:tcMar>
              <w:top w:w="80" w:type="dxa"/>
              <w:bottom w:w="80" w:type="dxa"/>
              <w:left w:w="100" w:type="dxa"/>
              <w:right w:w="100" w:type="dxa"/>
            </w:tcMar>
            <w:shd w:fill="F4F7F8"/>
          </w:tcPr>
          <w:p>
            <w:pPr>
              <w:keepNext w:val="0"/>
              <w:spacing w:after="0" w:before="0" w:line="252" w:lineRule="auto"/>
            </w:pPr>
            <w:r>
              <w:rPr>
                <w:b w:val="0"/>
                <w:i w:val="0"/>
                <w:sz w:val="20"/>
              </w:rPr>
              <w:t>After the exchange</w:t>
            </w:r>
          </w:p>
        </w:tc>
        <w:tc>
          <w:tcPr>
            <w:tcW w:type="dxa" w:w="6530"/>
            <w:vAlign w:val="center"/>
            <w:tcMar>
              <w:top w:w="80" w:type="dxa"/>
              <w:bottom w:w="80" w:type="dxa"/>
              <w:left w:w="100" w:type="dxa"/>
              <w:right w:w="100" w:type="dxa"/>
            </w:tcMar>
            <w:shd w:fill="F4F7F8"/>
          </w:tcPr>
          <w:p>
            <w:pPr>
              <w:keepNext w:val="0"/>
              <w:spacing w:after="0" w:before="0" w:line="252" w:lineRule="auto"/>
            </w:pPr>
            <w:r>
              <w:rPr>
                <w:b w:val="0"/>
                <w:i w:val="0"/>
                <w:sz w:val="20"/>
              </w:rPr>
              <w:t>Replacement metal value + net permitted client compensation − only additional fund-borne costs and tax not already included.</w:t>
            </w:r>
          </w:p>
        </w:tc>
      </w:tr>
      <w:tr>
        <w:trPr>
          <w:cantSplit/>
        </w:trPr>
        <w:tc>
          <w:tcPr>
            <w:tcW w:type="dxa" w:w="3216"/>
            <w:vAlign w:val="center"/>
            <w:tcMar>
              <w:top w:w="80" w:type="dxa"/>
              <w:bottom w:w="80" w:type="dxa"/>
              <w:left w:w="100" w:type="dxa"/>
              <w:right w:w="100" w:type="dxa"/>
            </w:tcMar>
            <w:shd w:fill="FFFFFF"/>
          </w:tcPr>
          <w:p>
            <w:pPr>
              <w:keepNext w:val="0"/>
              <w:spacing w:after="0" w:before="0" w:line="252" w:lineRule="auto"/>
            </w:pPr>
            <w:r>
              <w:rPr>
                <w:b w:val="0"/>
                <w:i w:val="0"/>
                <w:sz w:val="20"/>
              </w:rPr>
              <w:t>Value retained for stress</w:t>
            </w:r>
          </w:p>
        </w:tc>
        <w:tc>
          <w:tcPr>
            <w:tcW w:type="dxa" w:w="6530"/>
            <w:vAlign w:val="center"/>
            <w:tcMar>
              <w:top w:w="80" w:type="dxa"/>
              <w:bottom w:w="80" w:type="dxa"/>
              <w:left w:w="100" w:type="dxa"/>
              <w:right w:w="100" w:type="dxa"/>
            </w:tcMar>
            <w:shd w:fill="FFFFFF"/>
          </w:tcPr>
          <w:p>
            <w:pPr>
              <w:keepNext w:val="0"/>
              <w:spacing w:after="0" w:before="0" w:line="252" w:lineRule="auto"/>
            </w:pPr>
            <w:r>
              <w:rPr>
                <w:b w:val="0"/>
                <w:i w:val="0"/>
                <w:sz w:val="20"/>
              </w:rPr>
              <w:t>The opportunity cost of releasing scarce New York inventory and the cost of rebuilding it.</w:t>
            </w:r>
          </w:p>
        </w:tc>
      </w:tr>
      <w:tr>
        <w:trPr>
          <w:cantSplit/>
        </w:trPr>
        <w:tc>
          <w:tcPr>
            <w:tcW w:type="dxa" w:w="3216"/>
            <w:vAlign w:val="center"/>
            <w:tcMar>
              <w:top w:w="80" w:type="dxa"/>
              <w:bottom w:w="80" w:type="dxa"/>
              <w:left w:w="100" w:type="dxa"/>
              <w:right w:w="100" w:type="dxa"/>
            </w:tcMar>
            <w:shd w:fill="F4F7F8"/>
          </w:tcPr>
          <w:p>
            <w:pPr>
              <w:keepNext w:val="0"/>
              <w:spacing w:after="0" w:before="0" w:line="252" w:lineRule="auto"/>
            </w:pPr>
            <w:r>
              <w:rPr>
                <w:b w:val="0"/>
                <w:i w:val="0"/>
                <w:sz w:val="20"/>
              </w:rPr>
              <w:t>Desk remuneration</w:t>
            </w:r>
          </w:p>
        </w:tc>
        <w:tc>
          <w:tcPr>
            <w:tcW w:type="dxa" w:w="6530"/>
            <w:vAlign w:val="center"/>
            <w:tcMar>
              <w:top w:w="80" w:type="dxa"/>
              <w:bottom w:w="80" w:type="dxa"/>
              <w:left w:w="100" w:type="dxa"/>
              <w:right w:w="100" w:type="dxa"/>
            </w:tcMar>
            <w:shd w:fill="F4F7F8"/>
          </w:tcPr>
          <w:p>
            <w:pPr>
              <w:keepNext w:val="0"/>
              <w:spacing w:after="0" w:before="0" w:line="252" w:lineRule="auto"/>
            </w:pPr>
            <w:r>
              <w:rPr>
                <w:b w:val="0"/>
                <w:i w:val="0"/>
                <w:sz w:val="20"/>
              </w:rPr>
              <w:t>Compensation for actual price, execution, funding and settlement commitments.</w:t>
            </w:r>
          </w:p>
        </w:tc>
      </w:tr>
    </w:tbl>
    <w:p>
      <w:pPr>
        <w:spacing w:after="60" w:before="0" w:line="40" w:lineRule="exact"/>
      </w:pPr>
      <w:r>
        <w:rPr>
          <w:sz w:val="4"/>
        </w:rPr>
      </w:r>
    </w:p>
    <w:p>
      <w:r>
        <w:rPr>
          <w:b w:val="0"/>
          <w:i w:val="0"/>
        </w:rPr>
        <w:t>The revised example allocates $0.855m each to BlackRock and Citigroup after $0.540m variable costs. BlackRock is a separate recipient: its payment is not automatically a credit to the fund. Fair consideration for the owner of the released silver must be assessed separately.</w:t>
      </w:r>
    </w:p>
    <w:p>
      <w:pPr>
        <w:spacing w:after="100"/>
      </w:pPr>
      <w:r>
        <w:rPr>
          <w:b w:val="0"/>
          <w:i w:val="0"/>
          <w:sz w:val="18"/>
        </w:rPr>
        <w:t>No reviewed clause assigns the fund every downstream bank trading profit. Fair consideration and contractual entitlements need explicit agreement; benchmark NAV alone does not resolve either.</w:t>
      </w:r>
    </w:p>
    <w:p>
      <w:pPr>
        <w:pStyle w:val="Heading3"/>
        <w:pageBreakBefore w:val="0"/>
      </w:pPr>
      <w:r>
        <w:t>Evidence and assumptions</w:t>
      </w:r>
    </w:p>
    <w:p>
      <w:hyperlink r:id="rId92">
        <w:r>
          <w:rPr>
            <w:color w:val="235779"/>
            <w:u w:val="single"/>
          </w:rPr>
          <w:t>Investor-value and legal analysis</w:t>
        </w:r>
      </w:hyperlink>
    </w:p>
    <w:p>
      <w:hyperlink r:id="rId97">
        <w:r>
          <w:rPr>
            <w:color w:val="235779"/>
            <w:u w:val="single"/>
          </w:rPr>
          <w:t>Commercial counterfactual</w:t>
        </w:r>
      </w:hyperlink>
    </w:p>
    <w:p>
      <w:bookmarkStart w:id="31" w:name="research_8"/>
      <w:pPr>
        <w:pStyle w:val="Heading1"/>
        <w:pageBreakBefore/>
      </w:pPr>
      <w:r>
        <w:t>08  SLV is the documented starting point</w:t>
      </w:r>
      <w:bookmarkEnd w:id="31"/>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9"/>
        <w:gridCol w:w="3703"/>
        <w:gridCol w:w="4093"/>
      </w:tblGrid>
      <w:tr>
        <w:trPr>
          <w:tblHeader/>
          <w:cantSplit/>
        </w:trPr>
        <w:tc>
          <w:tcPr>
            <w:tcW w:type="dxa" w:w="1949"/>
            <w:vAlign w:val="center"/>
            <w:tcMar>
              <w:top w:w="80" w:type="dxa"/>
              <w:bottom w:w="80" w:type="dxa"/>
              <w:left w:w="100" w:type="dxa"/>
              <w:right w:w="100" w:type="dxa"/>
            </w:tcMar>
            <w:shd w:fill="DCE6EB"/>
          </w:tcPr>
          <w:p>
            <w:pPr>
              <w:keepNext/>
              <w:spacing w:after="0" w:before="0" w:line="252" w:lineRule="auto"/>
            </w:pPr>
            <w:r>
              <w:rPr>
                <w:b/>
                <w:i w:val="0"/>
                <w:sz w:val="20"/>
              </w:rPr>
              <w:t>New York inventory</w:t>
            </w:r>
          </w:p>
        </w:tc>
        <w:tc>
          <w:tcPr>
            <w:tcW w:type="dxa" w:w="3703"/>
            <w:vAlign w:val="center"/>
            <w:tcMar>
              <w:top w:w="80" w:type="dxa"/>
              <w:bottom w:w="80" w:type="dxa"/>
              <w:left w:w="100" w:type="dxa"/>
              <w:right w:w="100" w:type="dxa"/>
            </w:tcMar>
            <w:shd w:fill="DCE6EB"/>
          </w:tcPr>
          <w:p>
            <w:pPr>
              <w:keepNext/>
              <w:spacing w:after="0" w:before="0" w:line="252" w:lineRule="auto"/>
            </w:pPr>
            <w:r>
              <w:rPr>
                <w:b/>
                <w:i w:val="0"/>
                <w:sz w:val="20"/>
              </w:rPr>
              <w:t>Fine troy ounces</w:t>
            </w:r>
          </w:p>
        </w:tc>
        <w:tc>
          <w:tcPr>
            <w:tcW w:type="dxa" w:w="4093"/>
            <w:vAlign w:val="center"/>
            <w:tcMar>
              <w:top w:w="80" w:type="dxa"/>
              <w:bottom w:w="80" w:type="dxa"/>
              <w:left w:w="100" w:type="dxa"/>
              <w:right w:w="100" w:type="dxa"/>
            </w:tcMar>
            <w:shd w:fill="DCE6EB"/>
          </w:tcPr>
          <w:p>
            <w:pPr>
              <w:keepNext/>
              <w:spacing w:after="0" w:before="0" w:line="252" w:lineRule="auto"/>
            </w:pPr>
            <w:r>
              <w:rPr>
                <w:b/>
                <w:i w:val="0"/>
                <w:sz w:val="20"/>
              </w:rPr>
              <w:t>Share of unchanged trust total</w:t>
            </w:r>
          </w:p>
        </w:tc>
      </w:tr>
      <w:tr>
        <w:trPr>
          <w:cantSplit/>
        </w:trPr>
        <w:tc>
          <w:tcPr>
            <w:tcW w:type="dxa" w:w="1949"/>
            <w:vAlign w:val="center"/>
            <w:tcMar>
              <w:top w:w="80" w:type="dxa"/>
              <w:bottom w:w="80" w:type="dxa"/>
              <w:left w:w="100" w:type="dxa"/>
              <w:right w:w="100" w:type="dxa"/>
            </w:tcMar>
            <w:shd w:fill="FFFFFF"/>
          </w:tcPr>
          <w:p>
            <w:pPr>
              <w:keepNext w:val="0"/>
              <w:spacing w:after="0" w:before="0" w:line="252" w:lineRule="auto"/>
            </w:pPr>
            <w:r>
              <w:rPr>
                <w:b w:val="0"/>
                <w:i w:val="0"/>
                <w:sz w:val="20"/>
              </w:rPr>
              <w:t>23 September weightlist</w:t>
            </w:r>
          </w:p>
        </w:tc>
        <w:tc>
          <w:tcPr>
            <w:tcW w:type="dxa" w:w="3703"/>
            <w:vAlign w:val="center"/>
            <w:tcMar>
              <w:top w:w="80" w:type="dxa"/>
              <w:bottom w:w="80" w:type="dxa"/>
              <w:left w:w="100" w:type="dxa"/>
              <w:right w:w="100" w:type="dxa"/>
            </w:tcMar>
            <w:shd w:fill="FFFFFF"/>
          </w:tcPr>
          <w:p>
            <w:pPr>
              <w:keepNext w:val="0"/>
              <w:spacing w:after="0" w:before="0" w:line="252" w:lineRule="auto"/>
            </w:pPr>
            <w:r>
              <w:rPr>
                <w:b w:val="0"/>
                <w:i w:val="0"/>
                <w:sz w:val="20"/>
              </w:rPr>
              <w:t>70.169m</w:t>
            </w:r>
          </w:p>
        </w:tc>
        <w:tc>
          <w:tcPr>
            <w:tcW w:type="dxa" w:w="4093"/>
            <w:vAlign w:val="center"/>
            <w:tcMar>
              <w:top w:w="80" w:type="dxa"/>
              <w:bottom w:w="80" w:type="dxa"/>
              <w:left w:w="100" w:type="dxa"/>
              <w:right w:w="100" w:type="dxa"/>
            </w:tcMar>
            <w:shd w:fill="FFFFFF"/>
          </w:tcPr>
          <w:p>
            <w:pPr>
              <w:keepNext w:val="0"/>
              <w:spacing w:after="0" w:before="0" w:line="252" w:lineRule="auto"/>
            </w:pPr>
            <w:r>
              <w:rPr>
                <w:b w:val="0"/>
                <w:i w:val="0"/>
                <w:sz w:val="20"/>
              </w:rPr>
              <w:t>14.22%</w:t>
            </w:r>
          </w:p>
        </w:tc>
      </w:tr>
      <w:tr>
        <w:trPr>
          <w:cantSplit/>
        </w:trPr>
        <w:tc>
          <w:tcPr>
            <w:tcW w:type="dxa" w:w="1949"/>
            <w:vAlign w:val="center"/>
            <w:tcMar>
              <w:top w:w="80" w:type="dxa"/>
              <w:bottom w:w="80" w:type="dxa"/>
              <w:left w:w="100" w:type="dxa"/>
              <w:right w:w="100" w:type="dxa"/>
            </w:tcMar>
            <w:shd w:fill="F4F7F8"/>
          </w:tcPr>
          <w:p>
            <w:pPr>
              <w:keepNext w:val="0"/>
              <w:spacing w:after="0" w:before="0" w:line="252" w:lineRule="auto"/>
            </w:pPr>
            <w:r>
              <w:rPr>
                <w:b w:val="0"/>
                <w:i w:val="0"/>
                <w:sz w:val="20"/>
              </w:rPr>
              <w:t>User’s proposed target</w:t>
            </w:r>
          </w:p>
        </w:tc>
        <w:tc>
          <w:tcPr>
            <w:tcW w:type="dxa" w:w="3703"/>
            <w:vAlign w:val="center"/>
            <w:tcMar>
              <w:top w:w="80" w:type="dxa"/>
              <w:bottom w:w="80" w:type="dxa"/>
              <w:left w:w="100" w:type="dxa"/>
              <w:right w:w="100" w:type="dxa"/>
            </w:tcMar>
            <w:shd w:fill="F4F7F8"/>
          </w:tcPr>
          <w:p>
            <w:pPr>
              <w:keepNext w:val="0"/>
              <w:spacing w:after="0" w:before="0" w:line="252" w:lineRule="auto"/>
            </w:pPr>
            <w:r>
              <w:rPr>
                <w:b w:val="0"/>
                <w:i w:val="0"/>
                <w:sz w:val="20"/>
              </w:rPr>
              <w:t>200.000m</w:t>
            </w:r>
          </w:p>
        </w:tc>
        <w:tc>
          <w:tcPr>
            <w:tcW w:type="dxa" w:w="4093"/>
            <w:vAlign w:val="center"/>
            <w:tcMar>
              <w:top w:w="80" w:type="dxa"/>
              <w:bottom w:w="80" w:type="dxa"/>
              <w:left w:w="100" w:type="dxa"/>
              <w:right w:w="100" w:type="dxa"/>
            </w:tcMar>
            <w:shd w:fill="F4F7F8"/>
          </w:tcPr>
          <w:p>
            <w:pPr>
              <w:keepNext w:val="0"/>
              <w:spacing w:after="0" w:before="0" w:line="252" w:lineRule="auto"/>
            </w:pPr>
            <w:r>
              <w:rPr>
                <w:b w:val="0"/>
                <w:i w:val="0"/>
                <w:sz w:val="20"/>
              </w:rPr>
              <w:t>40.52%</w:t>
            </w:r>
          </w:p>
        </w:tc>
      </w:tr>
      <w:tr>
        <w:trPr>
          <w:cantSplit/>
        </w:trPr>
        <w:tc>
          <w:tcPr>
            <w:tcW w:type="dxa" w:w="1949"/>
            <w:vAlign w:val="center"/>
            <w:tcMar>
              <w:top w:w="80" w:type="dxa"/>
              <w:bottom w:w="80" w:type="dxa"/>
              <w:left w:w="100" w:type="dxa"/>
              <w:right w:w="100" w:type="dxa"/>
            </w:tcMar>
            <w:shd w:fill="FFFFFF"/>
          </w:tcPr>
          <w:p>
            <w:pPr>
              <w:keepNext w:val="0"/>
              <w:spacing w:after="0" w:before="0" w:line="252" w:lineRule="auto"/>
            </w:pPr>
            <w:r>
              <w:rPr>
                <w:b w:val="0"/>
                <w:i w:val="0"/>
                <w:sz w:val="20"/>
              </w:rPr>
              <w:t>Additional positioning</w:t>
            </w:r>
          </w:p>
        </w:tc>
        <w:tc>
          <w:tcPr>
            <w:tcW w:type="dxa" w:w="3703"/>
            <w:vAlign w:val="center"/>
            <w:tcMar>
              <w:top w:w="80" w:type="dxa"/>
              <w:bottom w:w="80" w:type="dxa"/>
              <w:left w:w="100" w:type="dxa"/>
              <w:right w:w="100" w:type="dxa"/>
            </w:tcMar>
            <w:shd w:fill="FFFFFF"/>
          </w:tcPr>
          <w:p>
            <w:pPr>
              <w:keepNext w:val="0"/>
              <w:spacing w:after="0" w:before="0" w:line="252" w:lineRule="auto"/>
            </w:pPr>
            <w:r>
              <w:rPr>
                <w:b w:val="0"/>
                <w:i w:val="0"/>
                <w:sz w:val="20"/>
              </w:rPr>
              <w:t>129.831m</w:t>
            </w:r>
          </w:p>
        </w:tc>
        <w:tc>
          <w:tcPr>
            <w:tcW w:type="dxa" w:w="4093"/>
            <w:vAlign w:val="center"/>
            <w:tcMar>
              <w:top w:w="80" w:type="dxa"/>
              <w:bottom w:w="80" w:type="dxa"/>
              <w:left w:w="100" w:type="dxa"/>
              <w:right w:w="100" w:type="dxa"/>
            </w:tcMar>
            <w:shd w:fill="FFFFFF"/>
          </w:tcPr>
          <w:p>
            <w:pPr>
              <w:keepNext w:val="0"/>
              <w:spacing w:after="0" w:before="0" w:line="252" w:lineRule="auto"/>
            </w:pPr>
            <w:r>
              <w:rPr>
                <w:b w:val="0"/>
                <w:i w:val="0"/>
                <w:sz w:val="20"/>
              </w:rPr>
              <w:t>About 4,038 tonnes to relocate or substitute</w:t>
            </w:r>
          </w:p>
        </w:tc>
      </w:tr>
    </w:tbl>
    <w:p>
      <w:pPr>
        <w:spacing w:after="60" w:before="0" w:line="40" w:lineRule="exact"/>
      </w:pPr>
      <w:r>
        <w:rPr>
          <w:sz w:val="4"/>
        </w:rPr>
      </w:r>
    </w:p>
    <w:p>
      <w:r>
        <w:rPr>
          <w:b w:val="0"/>
          <w:i w:val="0"/>
        </w:rPr>
        <w:t>Use an initial approved transaction to establish price, controls and capacity before committing to the full target.</w:t>
      </w:r>
    </w:p>
    <w:p>
      <w:pPr>
        <w:spacing w:after="100"/>
      </w:pPr>
      <w:r>
        <w:rPr>
          <w:b w:val="0"/>
          <w:i w:val="0"/>
          <w:sz w:val="18"/>
        </w:rPr>
        <w:t>Initial cost on the additional ounces: 5¢ = $6.492m; 10¢ = $12.983m; 25¢ = $32.458m. These are sensitivities, not logistics quotes. England/New York is the SLV perimeter; no numerical geographic cap found is not unlimited capacity.</w:t>
      </w:r>
    </w:p>
    <w:p>
      <w:pPr>
        <w:pStyle w:val="Heading3"/>
        <w:pageBreakBefore w:val="0"/>
      </w:pPr>
      <w:r>
        <w:t>Evidence and assumptions</w:t>
      </w:r>
    </w:p>
    <w:p>
      <w:hyperlink r:id="rId99">
        <w:r>
          <w:rPr>
            <w:color w:val="235779"/>
            <w:u w:val="single"/>
          </w:rPr>
          <w:t>Retained JPMorgan inventory snapshot</w:t>
        </w:r>
      </w:hyperlink>
    </w:p>
    <w:p>
      <w:hyperlink r:id="rId92">
        <w:r>
          <w:rPr>
            <w:color w:val="235779"/>
            <w:u w:val="single"/>
          </w:rPr>
          <w:t>Location authority and limits</w:t>
        </w:r>
      </w:hyperlink>
    </w:p>
    <w:p>
      <w:bookmarkStart w:id="32" w:name="research_9"/>
      <w:pPr>
        <w:pStyle w:val="Heading1"/>
        <w:pageBreakBefore/>
      </w:pPr>
      <w:r>
        <w:t>09  Custodian appointment, authorised participant flows and desk execution</w:t>
      </w:r>
      <w:bookmarkEnd w:id="32"/>
    </w:p>
    <w:p>
      <w:pPr>
        <w:pStyle w:val="Heading2"/>
        <w:pageBreakBefore w:val="0"/>
      </w:pPr>
      <w:r>
        <w:t>Fixed capacity and alternative tariff cases</w:t>
      </w:r>
    </w:p>
    <w:p>
      <w:r>
        <w:rPr>
          <w:b w:val="0"/>
          <w:i w:val="0"/>
        </w:rPr>
        <w:t>Each allocation uses the original 35,084,496.7 oz pool. At $65 spot, the 10% and 20% tariff outcomes are separate scenarios, not cumulative stages.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16"/>
        <w:gridCol w:w="6530"/>
      </w:tblGrid>
      <w:tr>
        <w:trPr>
          <w:tblHeader/>
          <w:cantSplit/>
        </w:trPr>
        <w:tc>
          <w:tcPr>
            <w:tcW w:type="dxa" w:w="3216"/>
            <w:vAlign w:val="center"/>
            <w:tcMar>
              <w:top w:w="80" w:type="dxa"/>
              <w:bottom w:w="80" w:type="dxa"/>
              <w:left w:w="100" w:type="dxa"/>
              <w:right w:w="100" w:type="dxa"/>
            </w:tcMar>
            <w:shd w:fill="DCE6EB"/>
          </w:tcPr>
          <w:p>
            <w:pPr>
              <w:keepNext/>
              <w:spacing w:after="0" w:before="0" w:line="252" w:lineRule="auto"/>
            </w:pPr>
            <w:r>
              <w:rPr>
                <w:b/>
                <w:i w:val="0"/>
                <w:sz w:val="20"/>
              </w:rPr>
              <w:t>Scenario / calculation</w:t>
            </w:r>
          </w:p>
        </w:tc>
        <w:tc>
          <w:tcPr>
            <w:tcW w:type="dxa" w:w="6530"/>
            <w:vAlign w:val="center"/>
            <w:tcMar>
              <w:top w:w="80" w:type="dxa"/>
              <w:bottom w:w="80" w:type="dxa"/>
              <w:left w:w="100" w:type="dxa"/>
              <w:right w:w="100" w:type="dxa"/>
            </w:tcMar>
            <w:shd w:fill="DCE6EB"/>
          </w:tcPr>
          <w:p>
            <w:pPr>
              <w:keepNext/>
              <w:spacing w:after="0" w:before="0" w:line="252" w:lineRule="auto"/>
            </w:pPr>
            <w:r>
              <w:rPr>
                <w:b/>
                <w:i w:val="0"/>
                <w:sz w:val="20"/>
              </w:rPr>
              <w:t>Illustrative result</w:t>
            </w:r>
          </w:p>
        </w:tc>
      </w:tr>
      <w:tr>
        <w:trPr>
          <w:cantSplit/>
        </w:trPr>
        <w:tc>
          <w:tcPr>
            <w:tcW w:type="dxa" w:w="3216"/>
            <w:vAlign w:val="center"/>
            <w:tcMar>
              <w:top w:w="80" w:type="dxa"/>
              <w:bottom w:w="80" w:type="dxa"/>
              <w:left w:w="100" w:type="dxa"/>
              <w:right w:w="100" w:type="dxa"/>
            </w:tcMar>
            <w:shd w:fill="FFFFFF"/>
          </w:tcPr>
          <w:p>
            <w:pPr>
              <w:keepNext w:val="0"/>
              <w:spacing w:after="0" w:before="0" w:line="252" w:lineRule="auto"/>
            </w:pPr>
            <w:r>
              <w:rPr>
                <w:b w:val="0"/>
                <w:i w:val="0"/>
                <w:sz w:val="20"/>
              </w:rPr>
              <w:t>Starting New York stock</w:t>
            </w:r>
          </w:p>
        </w:tc>
        <w:tc>
          <w:tcPr>
            <w:tcW w:type="dxa" w:w="6530"/>
            <w:vAlign w:val="center"/>
            <w:tcMar>
              <w:top w:w="80" w:type="dxa"/>
              <w:bottom w:w="80" w:type="dxa"/>
              <w:left w:w="100" w:type="dxa"/>
              <w:right w:w="100" w:type="dxa"/>
            </w:tcMar>
            <w:shd w:fill="FFFFFF"/>
          </w:tcPr>
          <w:p>
            <w:pPr>
              <w:keepNext w:val="0"/>
              <w:spacing w:after="0" w:before="0" w:line="252" w:lineRule="auto"/>
            </w:pPr>
            <w:r>
              <w:rPr>
                <w:b w:val="0"/>
                <w:i w:val="0"/>
                <w:sz w:val="20"/>
              </w:rPr>
              <w:t>70,168,993.400 fine oz x $65 spot assumption = $4,560,984,571.00; inventory dated 23 Sep 2026</w:t>
            </w:r>
          </w:p>
        </w:tc>
      </w:tr>
      <w:tr>
        <w:trPr>
          <w:cantSplit/>
        </w:trPr>
        <w:tc>
          <w:tcPr>
            <w:tcW w:type="dxa" w:w="3216"/>
            <w:vAlign w:val="center"/>
            <w:tcMar>
              <w:top w:w="80" w:type="dxa"/>
              <w:bottom w:w="80" w:type="dxa"/>
              <w:left w:w="100" w:type="dxa"/>
              <w:right w:w="100" w:type="dxa"/>
            </w:tcMar>
            <w:shd w:fill="F4F7F8"/>
          </w:tcPr>
          <w:p>
            <w:pPr>
              <w:keepNext w:val="0"/>
              <w:spacing w:after="0" w:before="0" w:line="252" w:lineRule="auto"/>
            </w:pPr>
            <w:r>
              <w:rPr>
                <w:b w:val="0"/>
                <w:i w:val="0"/>
                <w:sz w:val="20"/>
              </w:rPr>
              <w:t>Fixed service capacity</w:t>
            </w:r>
          </w:p>
        </w:tc>
        <w:tc>
          <w:tcPr>
            <w:tcW w:type="dxa" w:w="6530"/>
            <w:vAlign w:val="center"/>
            <w:tcMar>
              <w:top w:w="80" w:type="dxa"/>
              <w:bottom w:w="80" w:type="dxa"/>
              <w:left w:w="100" w:type="dxa"/>
              <w:right w:w="100" w:type="dxa"/>
            </w:tcMar>
            <w:shd w:fill="F4F7F8"/>
          </w:tcPr>
          <w:p>
            <w:pPr>
              <w:keepNext w:val="0"/>
              <w:spacing w:after="0" w:before="0" w:line="252" w:lineRule="auto"/>
            </w:pPr>
            <w:r>
              <w:rPr>
                <w:b w:val="0"/>
                <w:i w:val="0"/>
                <w:sz w:val="20"/>
              </w:rPr>
              <w:t>50% x 70,168,993.400 = 35,084,496.700 oz; $2,280,492,285.50 reference notional</w:t>
            </w:r>
          </w:p>
        </w:tc>
      </w:tr>
      <w:tr>
        <w:trPr>
          <w:cantSplit/>
        </w:trPr>
        <w:tc>
          <w:tcPr>
            <w:tcW w:type="dxa" w:w="3216"/>
            <w:vAlign w:val="center"/>
            <w:tcMar>
              <w:top w:w="80" w:type="dxa"/>
              <w:bottom w:w="80" w:type="dxa"/>
              <w:left w:w="100" w:type="dxa"/>
              <w:right w:w="100" w:type="dxa"/>
            </w:tcMar>
            <w:shd w:fill="FFFFFF"/>
          </w:tcPr>
          <w:p>
            <w:pPr>
              <w:keepNext w:val="0"/>
              <w:spacing w:after="0" w:before="0" w:line="252" w:lineRule="auto"/>
            </w:pPr>
            <w:r>
              <w:rPr>
                <w:b w:val="0"/>
                <w:i w:val="0"/>
                <w:sz w:val="20"/>
              </w:rPr>
              <w:t>Separate initial position</w:t>
            </w:r>
          </w:p>
        </w:tc>
        <w:tc>
          <w:tcPr>
            <w:tcW w:type="dxa" w:w="6530"/>
            <w:vAlign w:val="center"/>
            <w:tcMar>
              <w:top w:w="80" w:type="dxa"/>
              <w:bottom w:w="80" w:type="dxa"/>
              <w:left w:w="100" w:type="dxa"/>
              <w:right w:w="100" w:type="dxa"/>
            </w:tcMar>
            <w:shd w:fill="FFFFFF"/>
          </w:tcPr>
          <w:p>
            <w:pPr>
              <w:keepNext w:val="0"/>
              <w:spacing w:after="0" w:before="0" w:line="252" w:lineRule="auto"/>
            </w:pPr>
            <w:r>
              <w:rPr>
                <w:b w:val="0"/>
                <w:i w:val="0"/>
                <w:sz w:val="20"/>
              </w:rPr>
              <w:t>10% x 35,084,496.700 = 3,508,449.670 oz. Gross $1,754,224.84 at illustrative $0.50/oz; Citigroup $877,112.42, BlackRock $877,112.42 before costs. Excluded from tariff headlines.</w:t>
            </w:r>
          </w:p>
        </w:tc>
      </w:tr>
      <w:tr>
        <w:trPr>
          <w:cantSplit/>
        </w:trPr>
        <w:tc>
          <w:tcPr>
            <w:tcW w:type="dxa" w:w="3216"/>
            <w:vAlign w:val="center"/>
            <w:tcMar>
              <w:top w:w="80" w:type="dxa"/>
              <w:bottom w:w="80" w:type="dxa"/>
              <w:left w:w="100" w:type="dxa"/>
              <w:right w:w="100" w:type="dxa"/>
            </w:tcMar>
            <w:shd w:fill="F4F7F8"/>
          </w:tcPr>
          <w:p>
            <w:pPr>
              <w:keepNext w:val="0"/>
              <w:spacing w:after="0" w:before="0" w:line="252" w:lineRule="auto"/>
            </w:pPr>
            <w:r>
              <w:rPr>
                <w:b w:val="0"/>
                <w:i w:val="0"/>
                <w:sz w:val="20"/>
              </w:rPr>
              <w:t>Alternative A: 10% tariff</w:t>
            </w:r>
          </w:p>
        </w:tc>
        <w:tc>
          <w:tcPr>
            <w:tcW w:type="dxa" w:w="6530"/>
            <w:vAlign w:val="center"/>
            <w:tcMar>
              <w:top w:w="80" w:type="dxa"/>
              <w:bottom w:w="80" w:type="dxa"/>
              <w:left w:w="100" w:type="dxa"/>
              <w:right w:w="100" w:type="dxa"/>
            </w:tcMar>
            <w:shd w:fill="F4F7F8"/>
          </w:tcPr>
          <w:p>
            <w:pPr>
              <w:keepNext w:val="0"/>
              <w:spacing w:after="0" w:before="0" w:line="252" w:lineRule="auto"/>
            </w:pPr>
            <w:r>
              <w:rPr>
                <w:b w:val="0"/>
                <w:i w:val="0"/>
                <w:sz w:val="20"/>
              </w:rPr>
              <w:t>20% x 35,084,496.700 = 7,016,899.340 oz. $65 x 10% x 85% = $5.525/oz. Gross $38,768,368.85; Citigroup $19,384,184.43, BlackRock $19,384,184.43 before costs.</w:t>
            </w:r>
          </w:p>
        </w:tc>
      </w:tr>
      <w:tr>
        <w:trPr>
          <w:cantSplit/>
        </w:trPr>
        <w:tc>
          <w:tcPr>
            <w:tcW w:type="dxa" w:w="3216"/>
            <w:vAlign w:val="center"/>
            <w:tcMar>
              <w:top w:w="80" w:type="dxa"/>
              <w:bottom w:w="80" w:type="dxa"/>
              <w:left w:w="100" w:type="dxa"/>
              <w:right w:w="100" w:type="dxa"/>
            </w:tcMar>
            <w:shd w:fill="FFFFFF"/>
          </w:tcPr>
          <w:p>
            <w:pPr>
              <w:keepNext w:val="0"/>
              <w:spacing w:after="0" w:before="0" w:line="252" w:lineRule="auto"/>
            </w:pPr>
            <w:r>
              <w:rPr>
                <w:b w:val="0"/>
                <w:i w:val="0"/>
                <w:sz w:val="20"/>
              </w:rPr>
              <w:t>Alternative B: 20% tariff</w:t>
            </w:r>
          </w:p>
        </w:tc>
        <w:tc>
          <w:tcPr>
            <w:tcW w:type="dxa" w:w="6530"/>
            <w:vAlign w:val="center"/>
            <w:tcMar>
              <w:top w:w="80" w:type="dxa"/>
              <w:bottom w:w="80" w:type="dxa"/>
              <w:left w:w="100" w:type="dxa"/>
              <w:right w:w="100" w:type="dxa"/>
            </w:tcMar>
            <w:shd w:fill="FFFFFF"/>
          </w:tcPr>
          <w:p>
            <w:pPr>
              <w:keepNext w:val="0"/>
              <w:spacing w:after="0" w:before="0" w:line="252" w:lineRule="auto"/>
            </w:pPr>
            <w:r>
              <w:rPr>
                <w:b w:val="0"/>
                <w:i w:val="0"/>
                <w:sz w:val="20"/>
              </w:rPr>
              <w:t>40% x 35,084,496.700 = 14,033,798.680 oz. $65 x 20% x 85% = $11.05/oz. Gross $155,073,475.41; Citigroup $77,536,737.71, BlackRock $77,536,737.71 before costs.</w:t>
            </w:r>
          </w:p>
        </w:tc>
      </w:tr>
      <w:tr>
        <w:trPr>
          <w:cantSplit/>
        </w:trPr>
        <w:tc>
          <w:tcPr>
            <w:tcW w:type="dxa" w:w="3216"/>
            <w:vAlign w:val="center"/>
            <w:tcMar>
              <w:top w:w="80" w:type="dxa"/>
              <w:bottom w:w="80" w:type="dxa"/>
              <w:left w:w="100" w:type="dxa"/>
              <w:right w:w="100" w:type="dxa"/>
            </w:tcMar>
            <w:shd w:fill="F4F7F8"/>
          </w:tcPr>
          <w:p>
            <w:pPr>
              <w:keepNext w:val="0"/>
              <w:spacing w:after="0" w:before="0" w:line="252" w:lineRule="auto"/>
            </w:pPr>
            <w:r>
              <w:rPr>
                <w:b w:val="0"/>
                <w:i w:val="0"/>
                <w:sz w:val="20"/>
              </w:rPr>
              <w:t>Comparison rule</w:t>
            </w:r>
          </w:p>
        </w:tc>
        <w:tc>
          <w:tcPr>
            <w:tcW w:type="dxa" w:w="6530"/>
            <w:vAlign w:val="center"/>
            <w:tcMar>
              <w:top w:w="80" w:type="dxa"/>
              <w:bottom w:w="80" w:type="dxa"/>
              <w:left w:w="100" w:type="dxa"/>
              <w:right w:w="100" w:type="dxa"/>
            </w:tcMar>
            <w:shd w:fill="F4F7F8"/>
          </w:tcPr>
          <w:p>
            <w:pPr>
              <w:keepNext w:val="0"/>
              <w:spacing w:after="0" w:before="0" w:line="252" w:lineRule="auto"/>
            </w:pPr>
            <w:r>
              <w:rPr>
                <w:b w:val="0"/>
                <w:i w:val="0"/>
                <w:sz w:val="20"/>
              </w:rPr>
              <w:t>Alternative outcomes: do not sum quantities or revenues. Neither percentage uses a balance reduced by the initial or another tariff allocation. The 20% tariff is a total rate, not an additional 20 points.</w:t>
            </w:r>
          </w:p>
        </w:tc>
      </w:tr>
      <w:tr>
        <w:trPr>
          <w:cantSplit/>
        </w:trPr>
        <w:tc>
          <w:tcPr>
            <w:tcW w:type="dxa" w:w="3216"/>
            <w:vAlign w:val="center"/>
            <w:tcMar>
              <w:top w:w="80" w:type="dxa"/>
              <w:bottom w:w="80" w:type="dxa"/>
              <w:left w:w="100" w:type="dxa"/>
              <w:right w:w="100" w:type="dxa"/>
            </w:tcMar>
            <w:shd w:fill="FFFFFF"/>
          </w:tcPr>
          <w:p>
            <w:pPr>
              <w:keepNext w:val="0"/>
              <w:spacing w:after="0" w:before="0" w:line="252" w:lineRule="auto"/>
            </w:pPr>
            <w:r>
              <w:rPr>
                <w:b w:val="0"/>
                <w:i w:val="0"/>
                <w:sz w:val="20"/>
              </w:rPr>
              <w:t>Capacity if initial is also committed</w:t>
            </w:r>
          </w:p>
        </w:tc>
        <w:tc>
          <w:tcPr>
            <w:tcW w:type="dxa" w:w="6530"/>
            <w:vAlign w:val="center"/>
            <w:tcMar>
              <w:top w:w="80" w:type="dxa"/>
              <w:bottom w:w="80" w:type="dxa"/>
              <w:left w:w="100" w:type="dxa"/>
              <w:right w:w="100" w:type="dxa"/>
            </w:tcMar>
            <w:shd w:fill="FFFFFF"/>
          </w:tcPr>
          <w:p>
            <w:pPr>
              <w:keepNext w:val="0"/>
              <w:spacing w:after="0" w:before="0" w:line="252" w:lineRule="auto"/>
            </w:pPr>
            <w:r>
              <w:rPr>
                <w:b w:val="0"/>
                <w:i w:val="0"/>
                <w:sz w:val="20"/>
              </w:rPr>
              <w:t>Case A only: 35,084,496.700 - 3,508,449.670 - 7,016,899.340 = 24,559,147.690 oz remaining. Case B only: 35,084,496.700 - 3,508,449.670 - 14,033,798.680 = 17,542,248.350 oz remaining.</w:t>
            </w:r>
          </w:p>
        </w:tc>
      </w:tr>
      <w:tr>
        <w:trPr>
          <w:cantSplit/>
        </w:trPr>
        <w:tc>
          <w:tcPr>
            <w:tcW w:type="dxa" w:w="3216"/>
            <w:vAlign w:val="center"/>
            <w:tcMar>
              <w:top w:w="80" w:type="dxa"/>
              <w:bottom w:w="80" w:type="dxa"/>
              <w:left w:w="100" w:type="dxa"/>
              <w:right w:w="100" w:type="dxa"/>
            </w:tcMar>
            <w:shd w:fill="F4F7F8"/>
          </w:tcPr>
          <w:p>
            <w:pPr>
              <w:keepNext w:val="0"/>
              <w:spacing w:after="0" w:before="0" w:line="252" w:lineRule="auto"/>
            </w:pPr>
            <w:r>
              <w:rPr>
                <w:b w:val="0"/>
                <w:i w:val="0"/>
                <w:sz w:val="20"/>
              </w:rPr>
              <w:t>Case A specified-cost sensitivity</w:t>
            </w:r>
          </w:p>
        </w:tc>
        <w:tc>
          <w:tcPr>
            <w:tcW w:type="dxa" w:w="6530"/>
            <w:vAlign w:val="center"/>
            <w:tcMar>
              <w:top w:w="80" w:type="dxa"/>
              <w:bottom w:w="80" w:type="dxa"/>
              <w:left w:w="100" w:type="dxa"/>
              <w:right w:w="100" w:type="dxa"/>
            </w:tcMar>
            <w:shd w:fill="F4F7F8"/>
          </w:tcPr>
          <w:p>
            <w:pPr>
              <w:keepNext w:val="0"/>
              <w:spacing w:after="0" w:before="0" w:line="252" w:lineRule="auto"/>
            </w:pPr>
            <w:r>
              <w:rPr>
                <w:b w:val="0"/>
                <w:i w:val="0"/>
                <w:sz w:val="20"/>
              </w:rPr>
              <w:t>One month and one potential 8c/oz shipment: shipping $561,351.95; initial margin funding $38,008.20. Contribution after only these costs: $38,169,008.70; Citigroup $19,084,504.35, BlackRock $19,084,504.35. Excludes initial-position P&amp;L and unpriced costs.</w:t>
            </w:r>
          </w:p>
        </w:tc>
      </w:tr>
      <w:tr>
        <w:trPr>
          <w:cantSplit/>
        </w:trPr>
        <w:tc>
          <w:tcPr>
            <w:tcW w:type="dxa" w:w="3216"/>
            <w:vAlign w:val="center"/>
            <w:tcMar>
              <w:top w:w="80" w:type="dxa"/>
              <w:bottom w:w="80" w:type="dxa"/>
              <w:left w:w="100" w:type="dxa"/>
              <w:right w:w="100" w:type="dxa"/>
            </w:tcMar>
            <w:shd w:fill="FFFFFF"/>
          </w:tcPr>
          <w:p>
            <w:pPr>
              <w:keepNext w:val="0"/>
              <w:spacing w:after="0" w:before="0" w:line="252" w:lineRule="auto"/>
            </w:pPr>
            <w:r>
              <w:rPr>
                <w:b w:val="0"/>
                <w:i w:val="0"/>
                <w:sz w:val="20"/>
              </w:rPr>
              <w:t>Case B specified-cost sensitivity</w:t>
            </w:r>
          </w:p>
        </w:tc>
        <w:tc>
          <w:tcPr>
            <w:tcW w:type="dxa" w:w="6530"/>
            <w:vAlign w:val="center"/>
            <w:tcMar>
              <w:top w:w="80" w:type="dxa"/>
              <w:bottom w:w="80" w:type="dxa"/>
              <w:left w:w="100" w:type="dxa"/>
              <w:right w:w="100" w:type="dxa"/>
            </w:tcMar>
            <w:shd w:fill="FFFFFF"/>
          </w:tcPr>
          <w:p>
            <w:pPr>
              <w:keepNext w:val="0"/>
              <w:spacing w:after="0" w:before="0" w:line="252" w:lineRule="auto"/>
            </w:pPr>
            <w:r>
              <w:rPr>
                <w:b w:val="0"/>
                <w:i w:val="0"/>
                <w:sz w:val="20"/>
              </w:rPr>
              <w:t>One month and one potential 8c/oz shipment: shipping $1,122,703.89; initial margin funding $76,016.41. Contribution after only these costs: $153,874,755.11; Citigroup $76,937,377.56, BlackRock $76,937,377.56. Excludes initial-position P&amp;L and unpriced costs.</w:t>
            </w:r>
          </w:p>
        </w:tc>
      </w:tr>
    </w:tbl>
    <w:p>
      <w:pPr>
        <w:spacing w:after="60" w:before="0" w:line="40" w:lineRule="exact"/>
      </w:pPr>
      <w:r>
        <w:rPr>
          <w:sz w:val="4"/>
        </w:rPr>
      </w:r>
    </w:p>
    <w:p>
      <w:pPr>
        <w:spacing w:after="100"/>
      </w:pPr>
      <w:r>
        <w:rPr>
          <w:b w:val="0"/>
          <w:i w:val="0"/>
          <w:sz w:val="18"/>
        </w:rPr>
        <w:t>The initial 10% trade is separate. Its $1.754m gross is not added to tariff headlines. A combined portfolio result needs its actual realised or marked outcome and costs. The detailed 250,000 oz examples below retain their separate $60 over-the-counter-forward reference; $65 here is the corrected spot input for inventory notionals and tariff calculations, not a verified forward quote.</w:t>
      </w:r>
    </w:p>
    <w:p>
      <w:pPr>
        <w:spacing w:after="100"/>
      </w:pPr>
      <w:r>
        <w:rPr>
          <w:b w:val="0"/>
          <w:i w:val="0"/>
          <w:sz w:val="18"/>
        </w:rPr>
        <w:t>The 50% capacity is a sizing assumption, not evidence of available bank inventory. Operational bar selection remains subject to instructions. Transactions need valid owner/agent authority, applicable approvals, replacement backing and fair consideration. Fund bars cannot be pledged for desk margin. Current stock is not gross authorised participant turnover.</w:t>
      </w:r>
    </w:p>
    <w:p>
      <w:pPr>
        <w:pStyle w:val="Heading3"/>
        <w:pageBreakBefore w:val="0"/>
      </w:pPr>
      <w:r>
        <w:t>Capture assumptions</w:t>
      </w:r>
    </w:p>
    <w:p>
      <w:pPr>
        <w:spacing w:after="100"/>
      </w:pPr>
      <w:r>
        <w:rPr>
          <w:b w:val="0"/>
          <w:i w:val="0"/>
          <w:sz w:val="18"/>
        </w:rPr>
        <w:t>At a constant $65 spot reference, assume the US basis fully prices the hypothetical tariff: $6.50/oz at 10%, $13/oz at 20%. Capture 85%: $5.525 and $11.05. The remaining 15% is uncaptured basis, not an all-inclusive cost reserve. No $0.50 is added to tariff edges. Origin, customs status, exemptions, entry date and taxable value need transaction-specific analysis. Neither tariff incidence nor the price response is established.</w:t>
      </w:r>
    </w:p>
    <w:p>
      <w:pPr>
        <w:spacing w:after="100"/>
      </w:pPr>
      <w:r>
        <w:rPr>
          <w:b w:val="0"/>
          <w:i w:val="0"/>
          <w:sz w:val="18"/>
        </w:rPr>
        <w:t>Fair compensation for the owner's US location value may absorb part or all of the spread. Newly imported replacement may incur duty. Capture requires a lawful, priced route that avoids paying the same tariff premium twice. Custody alone supplies neither these economics nor guaranteed inventory access.</w:t>
      </w:r>
    </w:p>
    <w:p>
      <w:pPr>
        <w:pStyle w:val="Heading3"/>
        <w:pageBreakBefore w:val="0"/>
      </w:pPr>
      <w:r>
        <w:t>Initial position and repricing</w:t>
      </w:r>
    </w:p>
    <w:p>
      <w:pPr>
        <w:spacing w:after="100"/>
      </w:pPr>
      <w:r>
        <w:rPr>
          <w:b w:val="0"/>
          <w:i w:val="0"/>
          <w:sz w:val="18"/>
        </w:rPr>
        <w:t>If the separate initial 3,508,449.670 oz short-CME/long-London remains open from $0.50, a $6.50 basis gives $-21,050,698.02 mark-to-market; the alternative $13 basis gives $-43,855,620.88. These are alternative unoffset sensitivities, excluded from tariff gross capture. Any offset must come from genuinely bank-owned US location value or a valid hedge, not an uncontracted claim on fund bars.</w:t>
      </w:r>
    </w:p>
    <w:p>
      <w:pPr>
        <w:pStyle w:val="Heading3"/>
        <w:pageBreakBefore w:val="0"/>
      </w:pPr>
      <w:r>
        <w:t>Revenue available for sharing</w:t>
      </w:r>
    </w:p>
    <w:p>
      <w:pPr>
        <w:spacing w:after="100"/>
      </w:pPr>
      <w:r>
        <w:rPr>
          <w:b w:val="0"/>
          <w:i w:val="0"/>
          <w:sz w:val="18"/>
        </w:rPr>
        <w:t>Shareable proceeds require eligible realised capture less execution/delivery, initial margin/variation margin and physical funding, lease, storage/insurance, duties/taxes, title/location consideration and agreed losses. The proposed split is 50% BlackRock / 50% Citigroup of positive realised net revenue after agreed deductions. The amounts beside gross headlines show the illustrative gross allocation to each party, not final earned revenue. BlackRock is the proposed recipient, not the ETF or its shareholders; payment authority and the contracting entities still require agreement. Cost sensitivities price only an 8c shipment and one month of initial margin funding, using 10% initial margin at $65 and 1% p.a.; they do not resolve all deductions.</w:t>
      </w:r>
    </w:p>
    <w:p>
      <w:pPr>
        <w:pStyle w:val="Heading3"/>
        <w:pageBreakBefore w:val="0"/>
      </w:pPr>
      <w:r>
        <w:t>Forward EFP chart insertion</w:t>
      </w:r>
    </w:p>
    <w:p>
      <w:pPr>
        <w:spacing w:after="100"/>
      </w:pPr>
      <w:r>
        <w:rPr>
          <w:b w:val="0"/>
          <w:i w:val="0"/>
          <w:sz w:val="18"/>
        </w:rPr>
        <w:t>Bring in matched charts: CME contract price(t) minus independent over-the-counter London outright forward(t) for its first delivery day. Retain timestamps, bid/ask, contract, value date and size. $65 spot does not supply the forward quote. Existing sparse observations cannot replace the missing matched history.</w:t>
      </w:r>
    </w:p>
    <w:p>
      <w:pPr>
        <w:pStyle w:val="Heading3"/>
        <w:pageBreakBefore w:val="0"/>
      </w:pPr>
      <w:r>
        <w:t>Bar choice and daily reporting</w:t>
      </w:r>
    </w:p>
    <w:p>
      <w:pPr>
        <w:spacing w:after="100"/>
      </w:pPr>
      <w:r>
        <w:rPr>
          <w:b w:val="0"/>
          <w:i w:val="0"/>
          <w:sz w:val="18"/>
        </w:rPr>
        <w:t>SLV and IAU custody clause 4.2(b) permits withdrawal-bar selection. Clause 4.1 requires trustee instructions; clause 2.7 governs approved substitutions. Creation location requires coordination. Filed procedures operate per authorised participant order, and clause 2.5(a) requires separately identified daily transactions. Current private batching/net settlement remains unverified. Use gross settled authorised participant flow by location, not exchange volume or net daily holdings.</w:t>
      </w:r>
    </w:p>
    <w:p>
      <w:pPr>
        <w:pStyle w:val="Heading3"/>
        <w:pageBreakBefore w:val="0"/>
      </w:pPr>
      <w:r>
        <w:t>Full current creation/redemption overview, retained for reference</w:t>
      </w:r>
    </w:p>
    <w:p>
      <w:pPr>
        <w:pStyle w:val="Heading2"/>
        <w:pageBreakBefore w:val="0"/>
      </w:pPr>
      <w:r>
        <w:t>How buying and selling reaches the vault</w:t>
      </w:r>
    </w:p>
    <w:p>
      <w:pPr>
        <w:spacing w:after="100" w:line="240" w:lineRule="auto"/>
        <w:jc w:val="center"/>
      </w:pPr>
      <w:r>
        <w:drawing>
          <wp:inline xmlns:a="http://schemas.openxmlformats.org/drawingml/2006/main" xmlns:pic="http://schemas.openxmlformats.org/drawingml/2006/picture">
            <wp:extent cx="6188456" cy="6665087"/>
            <wp:docPr id="1" name="Picture 1" descr="Eight-step buying and selling chains: investor, broker/market maker, authorised participant, trustee and custodian. Cash, shares, silver title and release instructions are shown separately."/>
            <wp:cNvGraphicFramePr>
              <a:graphicFrameLocks noChangeAspect="1"/>
            </wp:cNvGraphicFramePr>
            <a:graphic>
              <a:graphicData uri="http://schemas.openxmlformats.org/drawingml/2006/picture">
                <pic:pic>
                  <pic:nvPicPr>
                    <pic:cNvPr id="0" name="SLV-current-custody-workflow.png"/>
                    <pic:cNvPicPr/>
                  </pic:nvPicPr>
                  <pic:blipFill>
                    <a:blip r:embed="rId100"/>
                    <a:stretch>
                      <a:fillRect/>
                    </a:stretch>
                  </pic:blipFill>
                  <pic:spPr>
                    <a:xfrm>
                      <a:off x="0" y="0"/>
                      <a:ext cx="6188456" cy="6665087"/>
                    </a:xfrm>
                    <a:prstGeom prst="rect"/>
                  </pic:spPr>
                </pic:pic>
              </a:graphicData>
            </a:graphic>
          </wp:inline>
        </w:drawing>
      </w:r>
    </w:p>
    <w:p>
      <w:pPr>
        <w:spacing w:after="100"/>
      </w:pPr>
      <w:r>
        <w:rPr>
          <w:b w:val="0"/>
          <w:i w:val="0"/>
          <w:sz w:val="18"/>
        </w:rPr>
        <w:t>Illustrative market-maker route. Primary orders are optional and roles may sit within one firm. Released silver is outside the ETF but requires a valid transfer of title before our bank may trade it. Current private operating cutoffs remain unverified.</w:t>
      </w:r>
    </w:p>
    <w:p>
      <w:pPr>
        <w:pStyle w:val="Heading2"/>
        <w:pageBreakBefore w:val="0"/>
      </w:pPr>
      <w:r>
        <w:t>Creation and redemption steps</w:t>
      </w:r>
    </w:p>
    <w:p>
      <w:pPr>
        <w:pStyle w:val="Heading3"/>
        <w:pageBreakBefore w:val="0"/>
      </w:pPr>
      <w:r>
        <w:t>Creation</w:t>
      </w:r>
    </w:p>
    <w:p>
      <w:pPr>
        <w:keepNext/>
      </w:pPr>
      <w:r>
        <w:rPr>
          <w:b/>
        </w:rPr>
        <w:t>1. Investor buys shares</w:t>
      </w:r>
    </w:p>
    <w:p>
      <w:r>
        <w:rPr>
          <w:b w:val="0"/>
        </w:rPr>
        <w:t>Cash passes to the seller and shares to the investor through a broker.</w:t>
      </w:r>
    </w:p>
    <w:p>
      <w:pPr>
        <w:keepNext/>
      </w:pPr>
      <w:r>
        <w:rPr>
          <w:b/>
        </w:rPr>
        <w:t>2. Market maker manages share inventory</w:t>
      </w:r>
    </w:p>
    <w:p>
      <w:r>
        <w:rPr>
          <w:b w:val="0"/>
        </w:rPr>
        <w:t>It uses existing shares or asks an authorised participant to create new shares.</w:t>
      </w:r>
    </w:p>
    <w:p>
      <w:pPr>
        <w:keepNext/>
      </w:pPr>
      <w:r>
        <w:rPr>
          <w:b/>
        </w:rPr>
        <w:t>3. Authorised participant places the order</w:t>
      </w:r>
    </w:p>
    <w:p>
      <w:r>
        <w:rPr>
          <w:b w:val="0"/>
        </w:rPr>
        <w:t>It sends BNY Mellon a whole-basket creation order with an agreed delivery location.</w:t>
      </w:r>
    </w:p>
    <w:p>
      <w:pPr>
        <w:keepNext/>
      </w:pPr>
      <w:r>
        <w:rPr>
          <w:b/>
        </w:rPr>
        <w:t>4. Authorised participant sources silver</w:t>
      </w:r>
    </w:p>
    <w:p>
      <w:r>
        <w:rPr>
          <w:b w:val="0"/>
        </w:rPr>
        <w:t>It uses its own or client metal, or buys eligible bars with authority to transfer title.</w:t>
      </w:r>
    </w:p>
    <w:p>
      <w:pPr>
        <w:keepNext/>
      </w:pPr>
      <w:r>
        <w:rPr>
          <w:b/>
        </w:rPr>
        <w:t>5. Silver enters the trust custody account</w:t>
      </w:r>
    </w:p>
    <w:p>
      <w:r>
        <w:rPr>
          <w:b w:val="0"/>
        </w:rPr>
        <w:t>Silver is transferred for the trust. This may be a title transfer within the same vault.</w:t>
      </w:r>
    </w:p>
    <w:p>
      <w:pPr>
        <w:keepNext/>
      </w:pPr>
      <w:r>
        <w:rPr>
          <w:b/>
        </w:rPr>
        <w:t>6. Custodian allocates and confirms</w:t>
      </w:r>
    </w:p>
    <w:p>
      <w:r>
        <w:rPr>
          <w:b w:val="0"/>
        </w:rPr>
        <w:t>JPMorgan identifies and checks the bars. The permitted unallocated residual is at most 1,100 oz.</w:t>
      </w:r>
    </w:p>
    <w:p>
      <w:pPr>
        <w:keepNext/>
      </w:pPr>
      <w:r>
        <w:rPr>
          <w:b/>
        </w:rPr>
        <w:t>7. Trustee issues basket shares</w:t>
      </w:r>
    </w:p>
    <w:p>
      <w:r>
        <w:rPr>
          <w:b w:val="0"/>
        </w:rPr>
        <w:t>After allocation confirmation and required conditions, BNY Mellon issues through The Depository Trust Company.</w:t>
      </w:r>
    </w:p>
    <w:p>
      <w:pPr>
        <w:keepNext/>
      </w:pPr>
      <w:r>
        <w:rPr>
          <w:b/>
        </w:rPr>
        <w:t>8. New shares reach the buyer</w:t>
      </w:r>
    </w:p>
    <w:p>
      <w:r>
        <w:rPr>
          <w:b w:val="0"/>
        </w:rPr>
        <w:t>The authorised participant supplies shares to the market maker or creating client.</w:t>
      </w:r>
    </w:p>
    <w:p>
      <w:pPr>
        <w:pStyle w:val="Heading3"/>
        <w:pageBreakBefore w:val="0"/>
      </w:pPr>
      <w:r>
        <w:t>Redemption</w:t>
      </w:r>
    </w:p>
    <w:p>
      <w:pPr>
        <w:keepNext/>
      </w:pPr>
      <w:r>
        <w:rPr>
          <w:b/>
        </w:rPr>
        <w:t>1. Investor sells shares</w:t>
      </w:r>
    </w:p>
    <w:p>
      <w:r>
        <w:rPr>
          <w:b w:val="0"/>
        </w:rPr>
        <w:t>Shares pass to the buyer and cash to the investor through a broker.</w:t>
      </w:r>
    </w:p>
    <w:p>
      <w:pPr>
        <w:keepNext/>
      </w:pPr>
      <w:r>
        <w:rPr>
          <w:b/>
        </w:rPr>
        <w:t>2. Market maker chooses a share route</w:t>
      </w:r>
    </w:p>
    <w:p>
      <w:r>
        <w:rPr>
          <w:b w:val="0"/>
        </w:rPr>
        <w:t>It may keep or resell the shares, or ask an authorised participant to redeem them.</w:t>
      </w:r>
    </w:p>
    <w:p>
      <w:pPr>
        <w:keepNext/>
      </w:pPr>
      <w:r>
        <w:rPr>
          <w:b/>
        </w:rPr>
        <w:t>3. Authorised participant places the order</w:t>
      </w:r>
    </w:p>
    <w:p>
      <w:r>
        <w:rPr>
          <w:b w:val="0"/>
        </w:rPr>
        <w:t>It sends BNY Mellon a redemption order. The trustee accepts and the custodian designates the location.</w:t>
      </w:r>
    </w:p>
    <w:p>
      <w:pPr>
        <w:keepNext/>
      </w:pPr>
      <w:r>
        <w:rPr>
          <w:b/>
        </w:rPr>
        <w:t>4. Shares are surrendered for redemption</w:t>
      </w:r>
    </w:p>
    <w:p>
      <w:r>
        <w:rPr>
          <w:b w:val="0"/>
        </w:rPr>
        <w:t>The authorised participant delivers basket shares through The Depository Trust Company. Fees and conditions are satisfied.</w:t>
      </w:r>
    </w:p>
    <w:p>
      <w:pPr>
        <w:keepNext/>
      </w:pPr>
      <w:r>
        <w:rPr>
          <w:b/>
        </w:rPr>
        <w:t>5. Trustee authorises bullion release</w:t>
      </w:r>
    </w:p>
    <w:p>
      <w:r>
        <w:rPr>
          <w:b w:val="0"/>
        </w:rPr>
        <w:t>BNY Mellon checks receipt of shares and the required conditions, then instructs the custodian.</w:t>
      </w:r>
    </w:p>
    <w:p>
      <w:pPr>
        <w:keepNext/>
      </w:pPr>
      <w:r>
        <w:rPr>
          <w:b/>
        </w:rPr>
        <w:t>6. Custodian releases and confirms silver</w:t>
      </w:r>
    </w:p>
    <w:p>
      <w:r>
        <w:rPr>
          <w:b w:val="0"/>
        </w:rPr>
        <w:t>Silver leaves the ETF for the authorised participant or its client. The custodian confirms delivery.</w:t>
      </w:r>
    </w:p>
    <w:p>
      <w:pPr>
        <w:keepNext/>
      </w:pPr>
      <w:r>
        <w:rPr>
          <w:b/>
        </w:rPr>
        <w:t>7. Trustee cancels redeemed shares</w:t>
      </w:r>
    </w:p>
    <w:p>
      <w:r>
        <w:rPr>
          <w:b w:val="0"/>
        </w:rPr>
        <w:t>BNY Mellon cancels the shares after delivery confirmation. Released metal is outside ETF holdings.</w:t>
      </w:r>
    </w:p>
    <w:p>
      <w:pPr>
        <w:keepNext/>
      </w:pPr>
      <w:r>
        <w:rPr>
          <w:b/>
        </w:rPr>
        <w:t>8. Released silver can support trading</w:t>
      </w:r>
    </w:p>
    <w:p>
      <w:r>
        <w:rPr>
          <w:b w:val="0"/>
        </w:rPr>
        <w:t>Silver may remain in the vault. Our desk can trade it after a valid title transfer from the owner to the bank.</w:t>
      </w:r>
    </w:p>
    <w:p>
      <w:pPr>
        <w:spacing w:after="100"/>
      </w:pPr>
      <w:r>
        <w:rPr>
          <w:b w:val="0"/>
          <w:sz w:val="18"/>
        </w:rPr>
        <w:t>Illustrative dependency chains; secondary settlement and primary processing may overlap. Current private timetable has not been obtained.</w:t>
      </w:r>
    </w:p>
    <w:p>
      <w:pPr>
        <w:spacing w:after="100"/>
      </w:pPr>
      <w:r>
        <w:rPr>
          <w:b w:val="0"/>
          <w:sz w:val="18"/>
        </w:rPr>
        <w:t>Trust agreement sections 2.3, 2.4 and 2.6; legal and source qualifications in CUSTODY-PITCH.md.</w:t>
      </w:r>
    </w:p>
    <w:p>
      <w:r>
        <w:rPr>
          <w:b w:val="0"/>
          <w:i w:val="0"/>
        </w:rPr>
        <w:t>Current section 2 model: proposed successor custody plus separate bank-principal CME/over-the-counter execution.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16"/>
        <w:gridCol w:w="6530"/>
      </w:tblGrid>
      <w:tr>
        <w:trPr>
          <w:tblHeader/>
          <w:cantSplit/>
        </w:trPr>
        <w:tc>
          <w:tcPr>
            <w:tcW w:type="dxa" w:w="3216"/>
            <w:vAlign w:val="center"/>
            <w:tcMar>
              <w:top w:w="80" w:type="dxa"/>
              <w:bottom w:w="80" w:type="dxa"/>
              <w:left w:w="100" w:type="dxa"/>
              <w:right w:w="100" w:type="dxa"/>
            </w:tcMar>
            <w:shd w:fill="DCE6EB"/>
          </w:tcPr>
          <w:p>
            <w:pPr>
              <w:keepNext/>
              <w:spacing w:after="0" w:before="0" w:line="252" w:lineRule="auto"/>
            </w:pPr>
            <w:r>
              <w:rPr>
                <w:b/>
                <w:i w:val="0"/>
                <w:sz w:val="20"/>
              </w:rPr>
              <w:t>Input / output</w:t>
            </w:r>
          </w:p>
        </w:tc>
        <w:tc>
          <w:tcPr>
            <w:tcW w:type="dxa" w:w="6530"/>
            <w:vAlign w:val="center"/>
            <w:tcMar>
              <w:top w:w="80" w:type="dxa"/>
              <w:bottom w:w="80" w:type="dxa"/>
              <w:left w:w="100" w:type="dxa"/>
              <w:right w:w="100" w:type="dxa"/>
            </w:tcMar>
            <w:shd w:fill="DCE6EB"/>
          </w:tcPr>
          <w:p>
            <w:pPr>
              <w:keepNext/>
              <w:spacing w:after="0" w:before="0" w:line="252" w:lineRule="auto"/>
            </w:pPr>
            <w:r>
              <w:rPr>
                <w:b/>
                <w:i w:val="0"/>
                <w:sz w:val="20"/>
              </w:rPr>
              <w:t>250,000 oz illustration</w:t>
            </w:r>
          </w:p>
        </w:tc>
      </w:tr>
      <w:tr>
        <w:trPr>
          <w:cantSplit/>
        </w:trPr>
        <w:tc>
          <w:tcPr>
            <w:tcW w:type="dxa" w:w="3216"/>
            <w:vAlign w:val="center"/>
            <w:tcMar>
              <w:top w:w="80" w:type="dxa"/>
              <w:bottom w:w="80" w:type="dxa"/>
              <w:left w:w="100" w:type="dxa"/>
              <w:right w:w="100" w:type="dxa"/>
            </w:tcMar>
            <w:shd w:fill="FFFFFF"/>
          </w:tcPr>
          <w:p>
            <w:pPr>
              <w:keepNext w:val="0"/>
              <w:spacing w:after="0" w:before="0" w:line="252" w:lineRule="auto"/>
            </w:pPr>
            <w:r>
              <w:rPr>
                <w:b w:val="0"/>
                <w:i w:val="0"/>
                <w:sz w:val="20"/>
              </w:rPr>
              <w:t>Reference price / notional</w:t>
            </w:r>
          </w:p>
        </w:tc>
        <w:tc>
          <w:tcPr>
            <w:tcW w:type="dxa" w:w="6530"/>
            <w:vAlign w:val="center"/>
            <w:tcMar>
              <w:top w:w="80" w:type="dxa"/>
              <w:bottom w:w="80" w:type="dxa"/>
              <w:left w:w="100" w:type="dxa"/>
              <w:right w:w="100" w:type="dxa"/>
            </w:tcMar>
            <w:shd w:fill="FFFFFF"/>
          </w:tcPr>
          <w:p>
            <w:pPr>
              <w:keepNext w:val="0"/>
              <w:spacing w:after="0" w:before="0" w:line="252" w:lineRule="auto"/>
            </w:pPr>
            <w:r>
              <w:rPr>
                <w:b w:val="0"/>
                <w:i w:val="0"/>
                <w:sz w:val="20"/>
              </w:rPr>
              <w:t>$60/oz / $15,000,000</w:t>
            </w:r>
          </w:p>
        </w:tc>
      </w:tr>
      <w:tr>
        <w:trPr>
          <w:cantSplit/>
        </w:trPr>
        <w:tc>
          <w:tcPr>
            <w:tcW w:type="dxa" w:w="3216"/>
            <w:vAlign w:val="center"/>
            <w:tcMar>
              <w:top w:w="80" w:type="dxa"/>
              <w:bottom w:w="80" w:type="dxa"/>
              <w:left w:w="100" w:type="dxa"/>
              <w:right w:w="100" w:type="dxa"/>
            </w:tcMar>
            <w:shd w:fill="F4F7F8"/>
          </w:tcPr>
          <w:p>
            <w:pPr>
              <w:keepNext w:val="0"/>
              <w:spacing w:after="0" w:before="0" w:line="252" w:lineRule="auto"/>
            </w:pPr>
            <w:r>
              <w:rPr>
                <w:b w:val="0"/>
                <w:i w:val="0"/>
                <w:sz w:val="20"/>
              </w:rPr>
              <w:t>CME premium / discount</w:t>
            </w:r>
          </w:p>
        </w:tc>
        <w:tc>
          <w:tcPr>
            <w:tcW w:type="dxa" w:w="6530"/>
            <w:vAlign w:val="center"/>
            <w:tcMar>
              <w:top w:w="80" w:type="dxa"/>
              <w:bottom w:w="80" w:type="dxa"/>
              <w:left w:w="100" w:type="dxa"/>
              <w:right w:w="100" w:type="dxa"/>
            </w:tcMar>
            <w:shd w:fill="F4F7F8"/>
          </w:tcPr>
          <w:p>
            <w:pPr>
              <w:keepNext w:val="0"/>
              <w:spacing w:after="0" w:before="0" w:line="252" w:lineRule="auto"/>
            </w:pPr>
            <w:r>
              <w:rPr>
                <w:b w:val="0"/>
                <w:i w:val="0"/>
                <w:sz w:val="20"/>
              </w:rPr>
              <w:t>+$0.50 or -$0.50 versus a simultaneously quoted London outright forward to the selected CME first delivery day</w:t>
            </w:r>
          </w:p>
        </w:tc>
      </w:tr>
      <w:tr>
        <w:trPr>
          <w:cantSplit/>
        </w:trPr>
        <w:tc>
          <w:tcPr>
            <w:tcW w:type="dxa" w:w="3216"/>
            <w:vAlign w:val="center"/>
            <w:tcMar>
              <w:top w:w="80" w:type="dxa"/>
              <w:bottom w:w="80" w:type="dxa"/>
              <w:left w:w="100" w:type="dxa"/>
              <w:right w:w="100" w:type="dxa"/>
            </w:tcMar>
            <w:shd w:fill="FFFFFF"/>
          </w:tcPr>
          <w:p>
            <w:pPr>
              <w:keepNext w:val="0"/>
              <w:spacing w:after="0" w:before="0" w:line="252" w:lineRule="auto"/>
            </w:pPr>
            <w:r>
              <w:rPr>
                <w:b w:val="0"/>
                <w:i w:val="0"/>
                <w:sz w:val="20"/>
              </w:rPr>
              <w:t>Desk position at premium</w:t>
            </w:r>
          </w:p>
        </w:tc>
        <w:tc>
          <w:tcPr>
            <w:tcW w:type="dxa" w:w="6530"/>
            <w:vAlign w:val="center"/>
            <w:tcMar>
              <w:top w:w="80" w:type="dxa"/>
              <w:bottom w:w="80" w:type="dxa"/>
              <w:left w:w="100" w:type="dxa"/>
              <w:right w:w="100" w:type="dxa"/>
            </w:tcMar>
            <w:shd w:fill="FFFFFF"/>
          </w:tcPr>
          <w:p>
            <w:pPr>
              <w:keepNext w:val="0"/>
              <w:spacing w:after="0" w:before="0" w:line="252" w:lineRule="auto"/>
            </w:pPr>
            <w:r>
              <w:rPr>
                <w:b w:val="0"/>
                <w:i w:val="0"/>
                <w:sz w:val="20"/>
              </w:rPr>
              <w:t>Short 50 standard SI futures; long 250,000 oz over-the-counter London forward</w:t>
            </w:r>
          </w:p>
        </w:tc>
      </w:tr>
      <w:tr>
        <w:trPr>
          <w:cantSplit/>
        </w:trPr>
        <w:tc>
          <w:tcPr>
            <w:tcW w:type="dxa" w:w="3216"/>
            <w:vAlign w:val="center"/>
            <w:tcMar>
              <w:top w:w="80" w:type="dxa"/>
              <w:bottom w:w="80" w:type="dxa"/>
              <w:left w:w="100" w:type="dxa"/>
              <w:right w:w="100" w:type="dxa"/>
            </w:tcMar>
            <w:shd w:fill="F4F7F8"/>
          </w:tcPr>
          <w:p>
            <w:pPr>
              <w:keepNext w:val="0"/>
              <w:spacing w:after="0" w:before="0" w:line="252" w:lineRule="auto"/>
            </w:pPr>
            <w:r>
              <w:rPr>
                <w:b w:val="0"/>
                <w:i w:val="0"/>
                <w:sz w:val="20"/>
              </w:rPr>
              <w:t>Desk position at discount</w:t>
            </w:r>
          </w:p>
        </w:tc>
        <w:tc>
          <w:tcPr>
            <w:tcW w:type="dxa" w:w="6530"/>
            <w:vAlign w:val="center"/>
            <w:tcMar>
              <w:top w:w="80" w:type="dxa"/>
              <w:bottom w:w="80" w:type="dxa"/>
              <w:left w:w="100" w:type="dxa"/>
              <w:right w:w="100" w:type="dxa"/>
            </w:tcMar>
            <w:shd w:fill="F4F7F8"/>
          </w:tcPr>
          <w:p>
            <w:pPr>
              <w:keepNext w:val="0"/>
              <w:spacing w:after="0" w:before="0" w:line="252" w:lineRule="auto"/>
            </w:pPr>
            <w:r>
              <w:rPr>
                <w:b w:val="0"/>
                <w:i w:val="0"/>
                <w:sz w:val="20"/>
              </w:rPr>
              <w:t>Long 50 standard SI futures; short 250,000 oz over-the-counter London forward</w:t>
            </w:r>
          </w:p>
        </w:tc>
      </w:tr>
      <w:tr>
        <w:trPr>
          <w:cantSplit/>
        </w:trPr>
        <w:tc>
          <w:tcPr>
            <w:tcW w:type="dxa" w:w="3216"/>
            <w:vAlign w:val="center"/>
            <w:tcMar>
              <w:top w:w="80" w:type="dxa"/>
              <w:bottom w:w="80" w:type="dxa"/>
              <w:left w:w="100" w:type="dxa"/>
              <w:right w:w="100" w:type="dxa"/>
            </w:tcMar>
            <w:shd w:fill="FFFFFF"/>
          </w:tcPr>
          <w:p>
            <w:pPr>
              <w:keepNext w:val="0"/>
              <w:spacing w:after="0" w:before="0" w:line="252" w:lineRule="auto"/>
            </w:pPr>
            <w:r>
              <w:rPr>
                <w:b w:val="0"/>
                <w:i w:val="0"/>
                <w:sz w:val="20"/>
              </w:rPr>
              <w:t>Initial margin / monthly funding</w:t>
            </w:r>
          </w:p>
        </w:tc>
        <w:tc>
          <w:tcPr>
            <w:tcW w:type="dxa" w:w="6530"/>
            <w:vAlign w:val="center"/>
            <w:tcMar>
              <w:top w:w="80" w:type="dxa"/>
              <w:bottom w:w="80" w:type="dxa"/>
              <w:left w:w="100" w:type="dxa"/>
              <w:right w:w="100" w:type="dxa"/>
            </w:tcMar>
            <w:shd w:fill="FFFFFF"/>
          </w:tcPr>
          <w:p>
            <w:pPr>
              <w:keepNext w:val="0"/>
              <w:spacing w:after="0" w:before="0" w:line="252" w:lineRule="auto"/>
            </w:pPr>
            <w:r>
              <w:rPr>
                <w:b w:val="0"/>
                <w:i w:val="0"/>
                <w:sz w:val="20"/>
              </w:rPr>
              <w:t>$1,500,000 assumed cash initial margin; $1,250/month at 1% p.a.</w:t>
            </w:r>
          </w:p>
        </w:tc>
      </w:tr>
      <w:tr>
        <w:trPr>
          <w:cantSplit/>
        </w:trPr>
        <w:tc>
          <w:tcPr>
            <w:tcW w:type="dxa" w:w="3216"/>
            <w:vAlign w:val="center"/>
            <w:tcMar>
              <w:top w:w="80" w:type="dxa"/>
              <w:bottom w:w="80" w:type="dxa"/>
              <w:left w:w="100" w:type="dxa"/>
              <w:right w:w="100" w:type="dxa"/>
            </w:tcMar>
            <w:shd w:fill="F4F7F8"/>
          </w:tcPr>
          <w:p>
            <w:pPr>
              <w:keepNext w:val="0"/>
              <w:spacing w:after="0" w:before="0" w:line="252" w:lineRule="auto"/>
            </w:pPr>
            <w:r>
              <w:rPr>
                <w:b w:val="0"/>
                <w:i w:val="0"/>
                <w:sz w:val="20"/>
              </w:rPr>
              <w:t>One-time shipment allowance</w:t>
            </w:r>
          </w:p>
        </w:tc>
        <w:tc>
          <w:tcPr>
            <w:tcW w:type="dxa" w:w="6530"/>
            <w:vAlign w:val="center"/>
            <w:tcMar>
              <w:top w:w="80" w:type="dxa"/>
              <w:bottom w:w="80" w:type="dxa"/>
              <w:left w:w="100" w:type="dxa"/>
              <w:right w:w="100" w:type="dxa"/>
            </w:tcMar>
            <w:shd w:fill="F4F7F8"/>
          </w:tcPr>
          <w:p>
            <w:pPr>
              <w:keepNext w:val="0"/>
              <w:spacing w:after="0" w:before="0" w:line="252" w:lineRule="auto"/>
            </w:pPr>
            <w:r>
              <w:rPr>
                <w:b w:val="0"/>
                <w:i w:val="0"/>
                <w:sz w:val="20"/>
              </w:rPr>
              <w:t>$20,000, if physical routing is required; 8¢/oz is a user assumption</w:t>
            </w:r>
          </w:p>
        </w:tc>
      </w:tr>
      <w:tr>
        <w:trPr>
          <w:cantSplit/>
        </w:trPr>
        <w:tc>
          <w:tcPr>
            <w:tcW w:type="dxa" w:w="3216"/>
            <w:vAlign w:val="center"/>
            <w:tcMar>
              <w:top w:w="80" w:type="dxa"/>
              <w:bottom w:w="80" w:type="dxa"/>
              <w:left w:w="100" w:type="dxa"/>
              <w:right w:w="100" w:type="dxa"/>
            </w:tcMar>
            <w:shd w:fill="FFFFFF"/>
          </w:tcPr>
          <w:p>
            <w:pPr>
              <w:keepNext w:val="0"/>
              <w:spacing w:after="0" w:before="0" w:line="252" w:lineRule="auto"/>
            </w:pPr>
            <w:r>
              <w:rPr>
                <w:b w:val="0"/>
                <w:i w:val="0"/>
                <w:sz w:val="20"/>
              </w:rPr>
              <w:t>Gross full spread capture</w:t>
            </w:r>
          </w:p>
        </w:tc>
        <w:tc>
          <w:tcPr>
            <w:tcW w:type="dxa" w:w="6530"/>
            <w:vAlign w:val="center"/>
            <w:tcMar>
              <w:top w:w="80" w:type="dxa"/>
              <w:bottom w:w="80" w:type="dxa"/>
              <w:left w:w="100" w:type="dxa"/>
              <w:right w:w="100" w:type="dxa"/>
            </w:tcMar>
            <w:shd w:fill="FFFFFF"/>
          </w:tcPr>
          <w:p>
            <w:pPr>
              <w:keepNext w:val="0"/>
              <w:spacing w:after="0" w:before="0" w:line="252" w:lineRule="auto"/>
            </w:pPr>
            <w:r>
              <w:rPr>
                <w:b w:val="0"/>
                <w:i w:val="0"/>
                <w:sz w:val="20"/>
              </w:rPr>
              <w:t>$125,000, conditional on delivery economics or a complete 50¢ favourable spread move</w:t>
            </w:r>
          </w:p>
        </w:tc>
      </w:tr>
      <w:tr>
        <w:trPr>
          <w:cantSplit/>
        </w:trPr>
        <w:tc>
          <w:tcPr>
            <w:tcW w:type="dxa" w:w="3216"/>
            <w:vAlign w:val="center"/>
            <w:tcMar>
              <w:top w:w="80" w:type="dxa"/>
              <w:bottom w:w="80" w:type="dxa"/>
              <w:left w:w="100" w:type="dxa"/>
              <w:right w:w="100" w:type="dxa"/>
            </w:tcMar>
            <w:shd w:fill="F4F7F8"/>
          </w:tcPr>
          <w:p>
            <w:pPr>
              <w:keepNext w:val="0"/>
              <w:spacing w:after="0" w:before="0" w:line="252" w:lineRule="auto"/>
            </w:pPr>
            <w:r>
              <w:rPr>
                <w:b w:val="0"/>
                <w:i w:val="0"/>
                <w:sz w:val="20"/>
              </w:rPr>
              <w:t>One-month contribution</w:t>
            </w:r>
          </w:p>
        </w:tc>
        <w:tc>
          <w:tcPr>
            <w:tcW w:type="dxa" w:w="6530"/>
            <w:vAlign w:val="center"/>
            <w:tcMar>
              <w:top w:w="80" w:type="dxa"/>
              <w:bottom w:w="80" w:type="dxa"/>
              <w:left w:w="100" w:type="dxa"/>
              <w:right w:w="100" w:type="dxa"/>
            </w:tcMar>
            <w:shd w:fill="F4F7F8"/>
          </w:tcPr>
          <w:p>
            <w:pPr>
              <w:keepNext w:val="0"/>
              <w:spacing w:after="0" w:before="0" w:line="252" w:lineRule="auto"/>
            </w:pPr>
            <w:r>
              <w:rPr>
                <w:b w:val="0"/>
                <w:i w:val="0"/>
                <w:sz w:val="20"/>
              </w:rPr>
              <w:t>$103,750 before unpriced costs, losses and revenue share</w:t>
            </w:r>
          </w:p>
        </w:tc>
      </w:tr>
    </w:tbl>
    <w:p>
      <w:pPr>
        <w:spacing w:after="60" w:before="0" w:line="40" w:lineRule="exact"/>
      </w:pPr>
      <w:r>
        <w:rPr>
          <w:sz w:val="4"/>
        </w:rPr>
      </w:r>
    </w:p>
    <w:p>
      <w:pPr>
        <w:spacing w:after="100"/>
      </w:pPr>
      <w:r>
        <w:rPr>
          <w:b w:val="0"/>
          <w:i w:val="0"/>
          <w:sz w:val="18"/>
        </w:rPr>
        <w:t>Cash initial margin = 250,000 oz × $60 × 10% = $1.5m. Funding = $1.5m × 1% p.a. ÷ 12 = $1,250/month (0.5¢/oz). Shipment = 250,000 oz × 8¢ = $20,000 once, if required. initial margin itself is not an expense; actual exchange/broker requirements may differ.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62"/>
        <w:gridCol w:w="1559"/>
        <w:gridCol w:w="1949"/>
        <w:gridCol w:w="1657"/>
        <w:gridCol w:w="1559"/>
        <w:gridCol w:w="1559"/>
      </w:tblGrid>
      <w:tr>
        <w:trPr>
          <w:tblHeader/>
          <w:cantSplit/>
        </w:trPr>
        <w:tc>
          <w:tcPr>
            <w:tcW w:type="dxa" w:w="1462"/>
            <w:vAlign w:val="center"/>
            <w:tcMar>
              <w:top w:w="80" w:type="dxa"/>
              <w:bottom w:w="80" w:type="dxa"/>
              <w:left w:w="100" w:type="dxa"/>
              <w:right w:w="100" w:type="dxa"/>
            </w:tcMar>
            <w:shd w:fill="DCE6EB"/>
          </w:tcPr>
          <w:p>
            <w:pPr>
              <w:keepNext/>
              <w:spacing w:after="0" w:before="0" w:line="252" w:lineRule="auto"/>
            </w:pPr>
            <w:r>
              <w:rPr>
                <w:b/>
                <w:i w:val="0"/>
                <w:sz w:val="18"/>
              </w:rPr>
              <w:t>Holding period</w:t>
            </w:r>
          </w:p>
        </w:tc>
        <w:tc>
          <w:tcPr>
            <w:tcW w:type="dxa" w:w="1559"/>
            <w:vAlign w:val="center"/>
            <w:tcMar>
              <w:top w:w="80" w:type="dxa"/>
              <w:bottom w:w="80" w:type="dxa"/>
              <w:left w:w="100" w:type="dxa"/>
              <w:right w:w="100" w:type="dxa"/>
            </w:tcMar>
            <w:shd w:fill="DCE6EB"/>
          </w:tcPr>
          <w:p>
            <w:pPr>
              <w:keepNext/>
              <w:spacing w:after="0" w:before="0" w:line="252" w:lineRule="auto"/>
            </w:pPr>
            <w:r>
              <w:rPr>
                <w:b/>
                <w:i w:val="0"/>
                <w:sz w:val="18"/>
              </w:rPr>
              <w:t>Initial margin funding</w:t>
            </w:r>
          </w:p>
        </w:tc>
        <w:tc>
          <w:tcPr>
            <w:tcW w:type="dxa" w:w="1949"/>
            <w:vAlign w:val="center"/>
            <w:tcMar>
              <w:top w:w="80" w:type="dxa"/>
              <w:bottom w:w="80" w:type="dxa"/>
              <w:left w:w="100" w:type="dxa"/>
              <w:right w:w="100" w:type="dxa"/>
            </w:tcMar>
            <w:shd w:fill="DCE6EB"/>
          </w:tcPr>
          <w:p>
            <w:pPr>
              <w:keepNext/>
              <w:spacing w:after="0" w:before="0" w:line="252" w:lineRule="auto"/>
            </w:pPr>
            <w:r>
              <w:rPr>
                <w:b/>
                <w:i w:val="0"/>
                <w:sz w:val="18"/>
              </w:rPr>
              <w:t>Shipment + initial margin funding</w:t>
            </w:r>
          </w:p>
        </w:tc>
        <w:tc>
          <w:tcPr>
            <w:tcW w:type="dxa" w:w="1657"/>
            <w:vAlign w:val="center"/>
            <w:tcMar>
              <w:top w:w="80" w:type="dxa"/>
              <w:bottom w:w="80" w:type="dxa"/>
              <w:left w:w="100" w:type="dxa"/>
              <w:right w:w="100" w:type="dxa"/>
            </w:tcMar>
            <w:shd w:fill="DCE6EB"/>
          </w:tcPr>
          <w:p>
            <w:pPr>
              <w:keepNext/>
              <w:spacing w:after="0" w:before="0" w:line="252" w:lineRule="auto"/>
            </w:pPr>
            <w:r>
              <w:rPr>
                <w:b/>
                <w:i w:val="0"/>
                <w:sz w:val="18"/>
              </w:rPr>
              <w:t>Contribution*</w:t>
            </w:r>
          </w:p>
        </w:tc>
        <w:tc>
          <w:tcPr>
            <w:tcW w:type="dxa" w:w="1559"/>
            <w:vAlign w:val="center"/>
            <w:tcMar>
              <w:top w:w="80" w:type="dxa"/>
              <w:bottom w:w="80" w:type="dxa"/>
              <w:left w:w="100" w:type="dxa"/>
              <w:right w:w="100" w:type="dxa"/>
            </w:tcMar>
            <w:shd w:fill="DCE6EB"/>
          </w:tcPr>
          <w:p>
            <w:pPr>
              <w:keepNext/>
              <w:spacing w:after="0" w:before="0" w:line="252" w:lineRule="auto"/>
            </w:pPr>
            <w:r>
              <w:rPr>
                <w:b/>
                <w:i w:val="0"/>
                <w:sz w:val="18"/>
              </w:rPr>
              <w:t>Citigroup 50%*</w:t>
            </w:r>
          </w:p>
        </w:tc>
        <w:tc>
          <w:tcPr>
            <w:tcW w:type="dxa" w:w="1559"/>
            <w:vAlign w:val="center"/>
            <w:tcMar>
              <w:top w:w="80" w:type="dxa"/>
              <w:bottom w:w="80" w:type="dxa"/>
              <w:left w:w="100" w:type="dxa"/>
              <w:right w:w="100" w:type="dxa"/>
            </w:tcMar>
            <w:shd w:fill="DCE6EB"/>
          </w:tcPr>
          <w:p>
            <w:pPr>
              <w:keepNext/>
              <w:spacing w:after="0" w:before="0" w:line="252" w:lineRule="auto"/>
            </w:pPr>
            <w:r>
              <w:rPr>
                <w:b/>
                <w:i w:val="0"/>
                <w:sz w:val="18"/>
              </w:rPr>
              <w:t>BlackRock 50%*</w:t>
            </w:r>
          </w:p>
        </w:tc>
      </w:tr>
      <w:tr>
        <w:trPr>
          <w:cantSplit/>
        </w:trPr>
        <w:tc>
          <w:tcPr>
            <w:tcW w:type="dxa" w:w="1462"/>
            <w:vAlign w:val="center"/>
            <w:tcMar>
              <w:top w:w="80" w:type="dxa"/>
              <w:bottom w:w="80" w:type="dxa"/>
              <w:left w:w="100" w:type="dxa"/>
              <w:right w:w="100" w:type="dxa"/>
            </w:tcMar>
            <w:shd w:fill="FFFFFF"/>
          </w:tcPr>
          <w:p>
            <w:pPr>
              <w:keepNext w:val="0"/>
              <w:spacing w:after="0" w:before="0" w:line="252" w:lineRule="auto"/>
            </w:pPr>
            <w:r>
              <w:rPr>
                <w:b w:val="0"/>
                <w:i w:val="0"/>
                <w:sz w:val="18"/>
              </w:rPr>
              <w:t>1 month</w:t>
            </w:r>
          </w:p>
        </w:tc>
        <w:tc>
          <w:tcPr>
            <w:tcW w:type="dxa" w:w="1559"/>
            <w:vAlign w:val="center"/>
            <w:tcMar>
              <w:top w:w="80" w:type="dxa"/>
              <w:bottom w:w="80" w:type="dxa"/>
              <w:left w:w="100" w:type="dxa"/>
              <w:right w:w="100" w:type="dxa"/>
            </w:tcMar>
            <w:shd w:fill="FFFFFF"/>
          </w:tcPr>
          <w:p>
            <w:pPr>
              <w:keepNext w:val="0"/>
              <w:spacing w:after="0" w:before="0" w:line="252" w:lineRule="auto"/>
            </w:pPr>
            <w:r>
              <w:rPr>
                <w:b w:val="0"/>
                <w:i w:val="0"/>
                <w:sz w:val="18"/>
              </w:rPr>
              <w:t>$1,250</w:t>
            </w:r>
          </w:p>
        </w:tc>
        <w:tc>
          <w:tcPr>
            <w:tcW w:type="dxa" w:w="1949"/>
            <w:vAlign w:val="center"/>
            <w:tcMar>
              <w:top w:w="80" w:type="dxa"/>
              <w:bottom w:w="80" w:type="dxa"/>
              <w:left w:w="100" w:type="dxa"/>
              <w:right w:w="100" w:type="dxa"/>
            </w:tcMar>
            <w:shd w:fill="FFFFFF"/>
          </w:tcPr>
          <w:p>
            <w:pPr>
              <w:keepNext w:val="0"/>
              <w:spacing w:after="0" w:before="0" w:line="252" w:lineRule="auto"/>
            </w:pPr>
            <w:r>
              <w:rPr>
                <w:b w:val="0"/>
                <w:i w:val="0"/>
                <w:sz w:val="18"/>
              </w:rPr>
              <w:t>$21,250</w:t>
            </w:r>
          </w:p>
        </w:tc>
        <w:tc>
          <w:tcPr>
            <w:tcW w:type="dxa" w:w="1657"/>
            <w:vAlign w:val="center"/>
            <w:tcMar>
              <w:top w:w="80" w:type="dxa"/>
              <w:bottom w:w="80" w:type="dxa"/>
              <w:left w:w="100" w:type="dxa"/>
              <w:right w:w="100" w:type="dxa"/>
            </w:tcMar>
            <w:shd w:fill="FFFFFF"/>
          </w:tcPr>
          <w:p>
            <w:pPr>
              <w:keepNext w:val="0"/>
              <w:spacing w:after="0" w:before="0" w:line="252" w:lineRule="auto"/>
            </w:pPr>
            <w:r>
              <w:rPr>
                <w:b w:val="0"/>
                <w:i w:val="0"/>
                <w:sz w:val="18"/>
              </w:rPr>
              <w:t>$103,750</w:t>
            </w:r>
          </w:p>
        </w:tc>
        <w:tc>
          <w:tcPr>
            <w:tcW w:type="dxa" w:w="1559"/>
            <w:vAlign w:val="center"/>
            <w:tcMar>
              <w:top w:w="80" w:type="dxa"/>
              <w:bottom w:w="80" w:type="dxa"/>
              <w:left w:w="100" w:type="dxa"/>
              <w:right w:w="100" w:type="dxa"/>
            </w:tcMar>
            <w:shd w:fill="FFFFFF"/>
          </w:tcPr>
          <w:p>
            <w:pPr>
              <w:keepNext w:val="0"/>
              <w:spacing w:after="0" w:before="0" w:line="252" w:lineRule="auto"/>
            </w:pPr>
            <w:r>
              <w:rPr>
                <w:b w:val="0"/>
                <w:i w:val="0"/>
                <w:sz w:val="18"/>
              </w:rPr>
              <w:t>$51,875</w:t>
            </w:r>
          </w:p>
        </w:tc>
        <w:tc>
          <w:tcPr>
            <w:tcW w:type="dxa" w:w="1559"/>
            <w:vAlign w:val="center"/>
            <w:tcMar>
              <w:top w:w="80" w:type="dxa"/>
              <w:bottom w:w="80" w:type="dxa"/>
              <w:left w:w="100" w:type="dxa"/>
              <w:right w:w="100" w:type="dxa"/>
            </w:tcMar>
            <w:shd w:fill="FFFFFF"/>
          </w:tcPr>
          <w:p>
            <w:pPr>
              <w:keepNext w:val="0"/>
              <w:spacing w:after="0" w:before="0" w:line="252" w:lineRule="auto"/>
            </w:pPr>
            <w:r>
              <w:rPr>
                <w:b w:val="0"/>
                <w:i w:val="0"/>
                <w:sz w:val="18"/>
              </w:rPr>
              <w:t>$51,875</w:t>
            </w:r>
          </w:p>
        </w:tc>
      </w:tr>
      <w:tr>
        <w:trPr>
          <w:cantSplit/>
        </w:trPr>
        <w:tc>
          <w:tcPr>
            <w:tcW w:type="dxa" w:w="1462"/>
            <w:vAlign w:val="center"/>
            <w:tcMar>
              <w:top w:w="80" w:type="dxa"/>
              <w:bottom w:w="80" w:type="dxa"/>
              <w:left w:w="100" w:type="dxa"/>
              <w:right w:w="100" w:type="dxa"/>
            </w:tcMar>
            <w:shd w:fill="F4F7F8"/>
          </w:tcPr>
          <w:p>
            <w:pPr>
              <w:keepNext w:val="0"/>
              <w:spacing w:after="0" w:before="0" w:line="252" w:lineRule="auto"/>
            </w:pPr>
            <w:r>
              <w:rPr>
                <w:b w:val="0"/>
                <w:i w:val="0"/>
                <w:sz w:val="18"/>
              </w:rPr>
              <w:t>3 months</w:t>
            </w:r>
          </w:p>
        </w:tc>
        <w:tc>
          <w:tcPr>
            <w:tcW w:type="dxa" w:w="1559"/>
            <w:vAlign w:val="center"/>
            <w:tcMar>
              <w:top w:w="80" w:type="dxa"/>
              <w:bottom w:w="80" w:type="dxa"/>
              <w:left w:w="100" w:type="dxa"/>
              <w:right w:w="100" w:type="dxa"/>
            </w:tcMar>
            <w:shd w:fill="F4F7F8"/>
          </w:tcPr>
          <w:p>
            <w:pPr>
              <w:keepNext w:val="0"/>
              <w:spacing w:after="0" w:before="0" w:line="252" w:lineRule="auto"/>
            </w:pPr>
            <w:r>
              <w:rPr>
                <w:b w:val="0"/>
                <w:i w:val="0"/>
                <w:sz w:val="18"/>
              </w:rPr>
              <w:t>$3,750</w:t>
            </w:r>
          </w:p>
        </w:tc>
        <w:tc>
          <w:tcPr>
            <w:tcW w:type="dxa" w:w="1949"/>
            <w:vAlign w:val="center"/>
            <w:tcMar>
              <w:top w:w="80" w:type="dxa"/>
              <w:bottom w:w="80" w:type="dxa"/>
              <w:left w:w="100" w:type="dxa"/>
              <w:right w:w="100" w:type="dxa"/>
            </w:tcMar>
            <w:shd w:fill="F4F7F8"/>
          </w:tcPr>
          <w:p>
            <w:pPr>
              <w:keepNext w:val="0"/>
              <w:spacing w:after="0" w:before="0" w:line="252" w:lineRule="auto"/>
            </w:pPr>
            <w:r>
              <w:rPr>
                <w:b w:val="0"/>
                <w:i w:val="0"/>
                <w:sz w:val="18"/>
              </w:rPr>
              <w:t>$23,750</w:t>
            </w:r>
          </w:p>
        </w:tc>
        <w:tc>
          <w:tcPr>
            <w:tcW w:type="dxa" w:w="1657"/>
            <w:vAlign w:val="center"/>
            <w:tcMar>
              <w:top w:w="80" w:type="dxa"/>
              <w:bottom w:w="80" w:type="dxa"/>
              <w:left w:w="100" w:type="dxa"/>
              <w:right w:w="100" w:type="dxa"/>
            </w:tcMar>
            <w:shd w:fill="F4F7F8"/>
          </w:tcPr>
          <w:p>
            <w:pPr>
              <w:keepNext w:val="0"/>
              <w:spacing w:after="0" w:before="0" w:line="252" w:lineRule="auto"/>
            </w:pPr>
            <w:r>
              <w:rPr>
                <w:b w:val="0"/>
                <w:i w:val="0"/>
                <w:sz w:val="18"/>
              </w:rPr>
              <w:t>$101,250</w:t>
            </w:r>
          </w:p>
        </w:tc>
        <w:tc>
          <w:tcPr>
            <w:tcW w:type="dxa" w:w="1559"/>
            <w:vAlign w:val="center"/>
            <w:tcMar>
              <w:top w:w="80" w:type="dxa"/>
              <w:bottom w:w="80" w:type="dxa"/>
              <w:left w:w="100" w:type="dxa"/>
              <w:right w:w="100" w:type="dxa"/>
            </w:tcMar>
            <w:shd w:fill="F4F7F8"/>
          </w:tcPr>
          <w:p>
            <w:pPr>
              <w:keepNext w:val="0"/>
              <w:spacing w:after="0" w:before="0" w:line="252" w:lineRule="auto"/>
            </w:pPr>
            <w:r>
              <w:rPr>
                <w:b w:val="0"/>
                <w:i w:val="0"/>
                <w:sz w:val="18"/>
              </w:rPr>
              <w:t>$50,625</w:t>
            </w:r>
          </w:p>
        </w:tc>
        <w:tc>
          <w:tcPr>
            <w:tcW w:type="dxa" w:w="1559"/>
            <w:vAlign w:val="center"/>
            <w:tcMar>
              <w:top w:w="80" w:type="dxa"/>
              <w:bottom w:w="80" w:type="dxa"/>
              <w:left w:w="100" w:type="dxa"/>
              <w:right w:w="100" w:type="dxa"/>
            </w:tcMar>
            <w:shd w:fill="F4F7F8"/>
          </w:tcPr>
          <w:p>
            <w:pPr>
              <w:keepNext w:val="0"/>
              <w:spacing w:after="0" w:before="0" w:line="252" w:lineRule="auto"/>
            </w:pPr>
            <w:r>
              <w:rPr>
                <w:b w:val="0"/>
                <w:i w:val="0"/>
                <w:sz w:val="18"/>
              </w:rPr>
              <w:t>$50,625</w:t>
            </w:r>
          </w:p>
        </w:tc>
      </w:tr>
      <w:tr>
        <w:trPr>
          <w:cantSplit/>
        </w:trPr>
        <w:tc>
          <w:tcPr>
            <w:tcW w:type="dxa" w:w="1462"/>
            <w:vAlign w:val="center"/>
            <w:tcMar>
              <w:top w:w="80" w:type="dxa"/>
              <w:bottom w:w="80" w:type="dxa"/>
              <w:left w:w="100" w:type="dxa"/>
              <w:right w:w="100" w:type="dxa"/>
            </w:tcMar>
            <w:shd w:fill="FFFFFF"/>
          </w:tcPr>
          <w:p>
            <w:pPr>
              <w:keepNext w:val="0"/>
              <w:spacing w:after="0" w:before="0" w:line="252" w:lineRule="auto"/>
            </w:pPr>
            <w:r>
              <w:rPr>
                <w:b w:val="0"/>
                <w:i w:val="0"/>
                <w:sz w:val="18"/>
              </w:rPr>
              <w:t>6 months</w:t>
            </w:r>
          </w:p>
        </w:tc>
        <w:tc>
          <w:tcPr>
            <w:tcW w:type="dxa" w:w="1559"/>
            <w:vAlign w:val="center"/>
            <w:tcMar>
              <w:top w:w="80" w:type="dxa"/>
              <w:bottom w:w="80" w:type="dxa"/>
              <w:left w:w="100" w:type="dxa"/>
              <w:right w:w="100" w:type="dxa"/>
            </w:tcMar>
            <w:shd w:fill="FFFFFF"/>
          </w:tcPr>
          <w:p>
            <w:pPr>
              <w:keepNext w:val="0"/>
              <w:spacing w:after="0" w:before="0" w:line="252" w:lineRule="auto"/>
            </w:pPr>
            <w:r>
              <w:rPr>
                <w:b w:val="0"/>
                <w:i w:val="0"/>
                <w:sz w:val="18"/>
              </w:rPr>
              <w:t>$7,500</w:t>
            </w:r>
          </w:p>
        </w:tc>
        <w:tc>
          <w:tcPr>
            <w:tcW w:type="dxa" w:w="1949"/>
            <w:vAlign w:val="center"/>
            <w:tcMar>
              <w:top w:w="80" w:type="dxa"/>
              <w:bottom w:w="80" w:type="dxa"/>
              <w:left w:w="100" w:type="dxa"/>
              <w:right w:w="100" w:type="dxa"/>
            </w:tcMar>
            <w:shd w:fill="FFFFFF"/>
          </w:tcPr>
          <w:p>
            <w:pPr>
              <w:keepNext w:val="0"/>
              <w:spacing w:after="0" w:before="0" w:line="252" w:lineRule="auto"/>
            </w:pPr>
            <w:r>
              <w:rPr>
                <w:b w:val="0"/>
                <w:i w:val="0"/>
                <w:sz w:val="18"/>
              </w:rPr>
              <w:t>$27,500</w:t>
            </w:r>
          </w:p>
        </w:tc>
        <w:tc>
          <w:tcPr>
            <w:tcW w:type="dxa" w:w="1657"/>
            <w:vAlign w:val="center"/>
            <w:tcMar>
              <w:top w:w="80" w:type="dxa"/>
              <w:bottom w:w="80" w:type="dxa"/>
              <w:left w:w="100" w:type="dxa"/>
              <w:right w:w="100" w:type="dxa"/>
            </w:tcMar>
            <w:shd w:fill="FFFFFF"/>
          </w:tcPr>
          <w:p>
            <w:pPr>
              <w:keepNext w:val="0"/>
              <w:spacing w:after="0" w:before="0" w:line="252" w:lineRule="auto"/>
            </w:pPr>
            <w:r>
              <w:rPr>
                <w:b w:val="0"/>
                <w:i w:val="0"/>
                <w:sz w:val="18"/>
              </w:rPr>
              <w:t>$97,500</w:t>
            </w:r>
          </w:p>
        </w:tc>
        <w:tc>
          <w:tcPr>
            <w:tcW w:type="dxa" w:w="1559"/>
            <w:vAlign w:val="center"/>
            <w:tcMar>
              <w:top w:w="80" w:type="dxa"/>
              <w:bottom w:w="80" w:type="dxa"/>
              <w:left w:w="100" w:type="dxa"/>
              <w:right w:w="100" w:type="dxa"/>
            </w:tcMar>
            <w:shd w:fill="FFFFFF"/>
          </w:tcPr>
          <w:p>
            <w:pPr>
              <w:keepNext w:val="0"/>
              <w:spacing w:after="0" w:before="0" w:line="252" w:lineRule="auto"/>
            </w:pPr>
            <w:r>
              <w:rPr>
                <w:b w:val="0"/>
                <w:i w:val="0"/>
                <w:sz w:val="18"/>
              </w:rPr>
              <w:t>$48,750</w:t>
            </w:r>
          </w:p>
        </w:tc>
        <w:tc>
          <w:tcPr>
            <w:tcW w:type="dxa" w:w="1559"/>
            <w:vAlign w:val="center"/>
            <w:tcMar>
              <w:top w:w="80" w:type="dxa"/>
              <w:bottom w:w="80" w:type="dxa"/>
              <w:left w:w="100" w:type="dxa"/>
              <w:right w:w="100" w:type="dxa"/>
            </w:tcMar>
            <w:shd w:fill="FFFFFF"/>
          </w:tcPr>
          <w:p>
            <w:pPr>
              <w:keepNext w:val="0"/>
              <w:spacing w:after="0" w:before="0" w:line="252" w:lineRule="auto"/>
            </w:pPr>
            <w:r>
              <w:rPr>
                <w:b w:val="0"/>
                <w:i w:val="0"/>
                <w:sz w:val="18"/>
              </w:rPr>
              <w:t>$48,750</w:t>
            </w:r>
          </w:p>
        </w:tc>
      </w:tr>
    </w:tbl>
    <w:p>
      <w:pPr>
        <w:spacing w:after="60" w:before="0" w:line="40" w:lineRule="exact"/>
      </w:pPr>
      <w:r>
        <w:rPr>
          <w:sz w:val="4"/>
        </w:rPr>
      </w:r>
    </w:p>
    <w:p>
      <w:pPr>
        <w:spacing w:after="100"/>
      </w:pPr>
      <w:r>
        <w:rPr>
          <w:b w:val="0"/>
          <w:i w:val="0"/>
          <w:sz w:val="18"/>
        </w:rPr>
        <w:t>Assumes the full 50¢ spread is captured. Contributions and 50:50 allocations are after specified costs, before further deductions. The proposed payable share is 50% of positive realised net revenue for each party. Variation-margin liquidity, over-the-counter collateral, metal funding/lease, storage, insurance, fees, tax and residual basis are not priced. Shipping is a placeholder in each direction, not a quote.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16"/>
        <w:gridCol w:w="6530"/>
      </w:tblGrid>
      <w:tr>
        <w:trPr>
          <w:tblHeader/>
          <w:cantSplit/>
        </w:trPr>
        <w:tc>
          <w:tcPr>
            <w:tcW w:type="dxa" w:w="3216"/>
            <w:vAlign w:val="center"/>
            <w:tcMar>
              <w:top w:w="80" w:type="dxa"/>
              <w:bottom w:w="80" w:type="dxa"/>
              <w:left w:w="100" w:type="dxa"/>
              <w:right w:w="100" w:type="dxa"/>
            </w:tcMar>
            <w:shd w:fill="DCE6EB"/>
          </w:tcPr>
          <w:p>
            <w:pPr>
              <w:keepNext/>
              <w:spacing w:after="0" w:before="0" w:line="252" w:lineRule="auto"/>
            </w:pPr>
            <w:r>
              <w:rPr>
                <w:b/>
                <w:i w:val="0"/>
                <w:sz w:val="20"/>
              </w:rPr>
              <w:t>Operational point</w:t>
            </w:r>
          </w:p>
        </w:tc>
        <w:tc>
          <w:tcPr>
            <w:tcW w:type="dxa" w:w="6530"/>
            <w:vAlign w:val="center"/>
            <w:tcMar>
              <w:top w:w="80" w:type="dxa"/>
              <w:bottom w:w="80" w:type="dxa"/>
              <w:left w:w="100" w:type="dxa"/>
              <w:right w:w="100" w:type="dxa"/>
            </w:tcMar>
            <w:shd w:fill="DCE6EB"/>
          </w:tcPr>
          <w:p>
            <w:pPr>
              <w:keepNext/>
              <w:spacing w:after="0" w:before="0" w:line="252" w:lineRule="auto"/>
            </w:pPr>
            <w:r>
              <w:rPr>
                <w:b/>
                <w:i w:val="0"/>
                <w:sz w:val="20"/>
              </w:rPr>
              <w:t>Required interpretation</w:t>
            </w:r>
          </w:p>
        </w:tc>
      </w:tr>
      <w:tr>
        <w:trPr>
          <w:cantSplit/>
        </w:trPr>
        <w:tc>
          <w:tcPr>
            <w:tcW w:type="dxa" w:w="3216"/>
            <w:vAlign w:val="center"/>
            <w:tcMar>
              <w:top w:w="80" w:type="dxa"/>
              <w:bottom w:w="80" w:type="dxa"/>
              <w:left w:w="100" w:type="dxa"/>
              <w:right w:w="100" w:type="dxa"/>
            </w:tcMar>
            <w:shd w:fill="FFFFFF"/>
          </w:tcPr>
          <w:p>
            <w:pPr>
              <w:keepNext w:val="0"/>
              <w:spacing w:after="0" w:before="0" w:line="252" w:lineRule="auto"/>
            </w:pPr>
            <w:r>
              <w:rPr>
                <w:b w:val="0"/>
                <w:i w:val="0"/>
                <w:sz w:val="20"/>
              </w:rPr>
              <w:t>Secondary vs primary</w:t>
            </w:r>
          </w:p>
        </w:tc>
        <w:tc>
          <w:tcPr>
            <w:tcW w:type="dxa" w:w="6530"/>
            <w:vAlign w:val="center"/>
            <w:tcMar>
              <w:top w:w="80" w:type="dxa"/>
              <w:bottom w:w="80" w:type="dxa"/>
              <w:left w:w="100" w:type="dxa"/>
              <w:right w:w="100" w:type="dxa"/>
            </w:tcMar>
            <w:shd w:fill="FFFFFF"/>
          </w:tcPr>
          <w:p>
            <w:pPr>
              <w:keepNext w:val="0"/>
              <w:spacing w:after="0" w:before="0" w:line="252" w:lineRule="auto"/>
            </w:pPr>
            <w:r>
              <w:rPr>
                <w:b w:val="0"/>
                <w:i w:val="0"/>
                <w:sz w:val="20"/>
              </w:rPr>
              <w:t>An investor buy/sell alone does not allocate/deallocate metal. authorised participants place actual primary orders in whole share baskets.</w:t>
            </w:r>
          </w:p>
        </w:tc>
      </w:tr>
      <w:tr>
        <w:trPr>
          <w:cantSplit/>
        </w:trPr>
        <w:tc>
          <w:tcPr>
            <w:tcW w:type="dxa" w:w="3216"/>
            <w:vAlign w:val="center"/>
            <w:tcMar>
              <w:top w:w="80" w:type="dxa"/>
              <w:bottom w:w="80" w:type="dxa"/>
              <w:left w:w="100" w:type="dxa"/>
              <w:right w:w="100" w:type="dxa"/>
            </w:tcMar>
            <w:shd w:fill="F4F7F8"/>
          </w:tcPr>
          <w:p>
            <w:pPr>
              <w:keepNext w:val="0"/>
              <w:spacing w:after="0" w:before="0" w:line="252" w:lineRule="auto"/>
            </w:pPr>
            <w:r>
              <w:rPr>
                <w:b w:val="0"/>
                <w:i w:val="0"/>
                <w:sz w:val="20"/>
              </w:rPr>
              <w:t>Exact basket size</w:t>
            </w:r>
          </w:p>
        </w:tc>
        <w:tc>
          <w:tcPr>
            <w:tcW w:type="dxa" w:w="6530"/>
            <w:vAlign w:val="center"/>
            <w:tcMar>
              <w:top w:w="80" w:type="dxa"/>
              <w:bottom w:w="80" w:type="dxa"/>
              <w:left w:w="100" w:type="dxa"/>
              <w:right w:w="100" w:type="dxa"/>
            </w:tcMar>
            <w:shd w:fill="F4F7F8"/>
          </w:tcPr>
          <w:p>
            <w:pPr>
              <w:keepNext w:val="0"/>
              <w:spacing w:after="0" w:before="0" w:line="252" w:lineRule="auto"/>
            </w:pPr>
            <w:r>
              <w:rPr>
                <w:b w:val="0"/>
                <w:i w:val="0"/>
                <w:sz w:val="20"/>
              </w:rPr>
              <w:t>23 Sep basket silver amount: 45,160.40 oz per 50,000 shares. 250,000 oz is about 5.5358 baskets; six baskets are 300,000 shares / 270,962.4 oz. Actual orders and hedges need rounding/residual management.</w:t>
            </w:r>
          </w:p>
        </w:tc>
      </w:tr>
      <w:tr>
        <w:trPr>
          <w:cantSplit/>
        </w:trPr>
        <w:tc>
          <w:tcPr>
            <w:tcW w:type="dxa" w:w="3216"/>
            <w:vAlign w:val="center"/>
            <w:tcMar>
              <w:top w:w="80" w:type="dxa"/>
              <w:bottom w:w="80" w:type="dxa"/>
              <w:left w:w="100" w:type="dxa"/>
              <w:right w:w="100" w:type="dxa"/>
            </w:tcMar>
            <w:shd w:fill="FFFFFF"/>
          </w:tcPr>
          <w:p>
            <w:pPr>
              <w:keepNext w:val="0"/>
              <w:spacing w:after="0" w:before="0" w:line="252" w:lineRule="auto"/>
            </w:pPr>
            <w:r>
              <w:rPr>
                <w:b w:val="0"/>
                <w:i w:val="0"/>
                <w:sz w:val="20"/>
              </w:rPr>
              <w:t>Existing notional</w:t>
            </w:r>
          </w:p>
        </w:tc>
        <w:tc>
          <w:tcPr>
            <w:tcW w:type="dxa" w:w="6530"/>
            <w:vAlign w:val="center"/>
            <w:tcMar>
              <w:top w:w="80" w:type="dxa"/>
              <w:bottom w:w="80" w:type="dxa"/>
              <w:left w:w="100" w:type="dxa"/>
              <w:right w:w="100" w:type="dxa"/>
            </w:tcMar>
            <w:shd w:fill="FFFFFF"/>
          </w:tcPr>
          <w:p>
            <w:pPr>
              <w:keepNext w:val="0"/>
              <w:spacing w:after="0" w:before="0" w:line="252" w:lineRule="auto"/>
            </w:pPr>
            <w:r>
              <w:rPr>
                <w:b w:val="0"/>
                <w:i w:val="0"/>
                <w:sz w:val="20"/>
              </w:rPr>
              <w:t>23 Sep bar list: New York 70,168,993.4 fine oz ($4,560,984,571 at $65); London 423,364,332 fine oz ($27,518,681,580 at $65). Total $32,079,666,151; scenario notional, not NAV. The separate 250,000 oz trading example uses the stated $60 forward reference.</w:t>
            </w:r>
          </w:p>
        </w:tc>
      </w:tr>
      <w:tr>
        <w:trPr>
          <w:cantSplit/>
        </w:trPr>
        <w:tc>
          <w:tcPr>
            <w:tcW w:type="dxa" w:w="3216"/>
            <w:vAlign w:val="center"/>
            <w:tcMar>
              <w:top w:w="80" w:type="dxa"/>
              <w:bottom w:w="80" w:type="dxa"/>
              <w:left w:w="100" w:type="dxa"/>
              <w:right w:w="100" w:type="dxa"/>
            </w:tcMar>
            <w:shd w:fill="F4F7F8"/>
          </w:tcPr>
          <w:p>
            <w:pPr>
              <w:keepNext w:val="0"/>
              <w:spacing w:after="0" w:before="0" w:line="252" w:lineRule="auto"/>
            </w:pPr>
            <w:r>
              <w:rPr>
                <w:b w:val="0"/>
                <w:i w:val="0"/>
                <w:sz w:val="20"/>
              </w:rPr>
              <w:t>Premium location flows</w:t>
            </w:r>
          </w:p>
        </w:tc>
        <w:tc>
          <w:tcPr>
            <w:tcW w:type="dxa" w:w="6530"/>
            <w:vAlign w:val="center"/>
            <w:tcMar>
              <w:top w:w="80" w:type="dxa"/>
              <w:bottom w:w="80" w:type="dxa"/>
              <w:left w:w="100" w:type="dxa"/>
              <w:right w:w="100" w:type="dxa"/>
            </w:tcMar>
            <w:shd w:fill="F4F7F8"/>
          </w:tcPr>
          <w:p>
            <w:pPr>
              <w:keepNext w:val="0"/>
              <w:spacing w:after="0" w:before="0" w:line="252" w:lineRule="auto"/>
            </w:pPr>
            <w:r>
              <w:rPr>
                <w:b w:val="0"/>
                <w:i w:val="0"/>
                <w:sz w:val="20"/>
              </w:rPr>
              <w:t>Redeem 250,000 oz in New York and create with 250,000 oz in London. Fund holdings change by -250,000 oz New York / +250,000 oz London; total ounces are unchanged. Released silver is outside the ETF. The example assumes standing authorised arrangements give the bank valid title to released metal for trading. The location shift alone does not generate or finance a trading profit.</w:t>
            </w:r>
          </w:p>
        </w:tc>
      </w:tr>
      <w:tr>
        <w:trPr>
          <w:cantSplit/>
        </w:trPr>
        <w:tc>
          <w:tcPr>
            <w:tcW w:type="dxa" w:w="3216"/>
            <w:vAlign w:val="center"/>
            <w:tcMar>
              <w:top w:w="80" w:type="dxa"/>
              <w:bottom w:w="80" w:type="dxa"/>
              <w:left w:w="100" w:type="dxa"/>
              <w:right w:w="100" w:type="dxa"/>
            </w:tcMar>
            <w:shd w:fill="FFFFFF"/>
          </w:tcPr>
          <w:p>
            <w:pPr>
              <w:keepNext w:val="0"/>
              <w:spacing w:after="0" w:before="0" w:line="252" w:lineRule="auto"/>
            </w:pPr>
            <w:r>
              <w:rPr>
                <w:b w:val="0"/>
                <w:i w:val="0"/>
                <w:sz w:val="20"/>
              </w:rPr>
              <w:t>Cross-location discount flows</w:t>
            </w:r>
          </w:p>
        </w:tc>
        <w:tc>
          <w:tcPr>
            <w:tcW w:type="dxa" w:w="6530"/>
            <w:vAlign w:val="center"/>
            <w:tcMar>
              <w:top w:w="80" w:type="dxa"/>
              <w:bottom w:w="80" w:type="dxa"/>
              <w:left w:w="100" w:type="dxa"/>
              <w:right w:w="100" w:type="dxa"/>
            </w:tcMar>
            <w:shd w:fill="FFFFFF"/>
          </w:tcPr>
          <w:p>
            <w:pPr>
              <w:keepNext w:val="0"/>
              <w:spacing w:after="0" w:before="0" w:line="252" w:lineRule="auto"/>
            </w:pPr>
            <w:r>
              <w:rPr>
                <w:b w:val="0"/>
                <w:i w:val="0"/>
                <w:sz w:val="20"/>
              </w:rPr>
              <w:t>Redemption -250k London and creation +250k New York raise US holdings and reduce UK holdings equally. Allocation geography is subject to accepted instructions and fair pricing.</w:t>
            </w:r>
          </w:p>
        </w:tc>
      </w:tr>
      <w:tr>
        <w:trPr>
          <w:cantSplit/>
        </w:trPr>
        <w:tc>
          <w:tcPr>
            <w:tcW w:type="dxa" w:w="3216"/>
            <w:vAlign w:val="center"/>
            <w:tcMar>
              <w:top w:w="80" w:type="dxa"/>
              <w:bottom w:w="80" w:type="dxa"/>
              <w:left w:w="100" w:type="dxa"/>
              <w:right w:w="100" w:type="dxa"/>
            </w:tcMar>
            <w:shd w:fill="F4F7F8"/>
          </w:tcPr>
          <w:p>
            <w:pPr>
              <w:keepNext w:val="0"/>
              <w:spacing w:after="0" w:before="0" w:line="252" w:lineRule="auto"/>
            </w:pPr>
            <w:r>
              <w:rPr>
                <w:b w:val="0"/>
                <w:i w:val="0"/>
                <w:sz w:val="20"/>
              </w:rPr>
              <w:t>Standing access assumption</w:t>
            </w:r>
          </w:p>
        </w:tc>
        <w:tc>
          <w:tcPr>
            <w:tcW w:type="dxa" w:w="6530"/>
            <w:vAlign w:val="center"/>
            <w:tcMar>
              <w:top w:w="80" w:type="dxa"/>
              <w:bottom w:w="80" w:type="dxa"/>
              <w:left w:w="100" w:type="dxa"/>
              <w:right w:w="100" w:type="dxa"/>
            </w:tcMar>
            <w:shd w:fill="F4F7F8"/>
          </w:tcPr>
          <w:p>
            <w:pPr>
              <w:keepNext w:val="0"/>
              <w:spacing w:after="0" w:before="0" w:line="252" w:lineRule="auto"/>
            </w:pPr>
            <w:r>
              <w:rPr>
                <w:b w:val="0"/>
                <w:i w:val="0"/>
                <w:sz w:val="20"/>
              </w:rPr>
              <w:t>The worked examples assume that released metal becomes available to the desk under standing authorised terms, including valid transfer of title to the bank. This removes the need to show a fresh purchase-agreement step in each example. It is a proposed commercial assumption, not a right created automatically by custody or redemption. The current trust delivers to or to the order of the authorised participant, which may act for a client. Creation still requires authority to transfer good, unencumbered title.</w:t>
            </w:r>
          </w:p>
        </w:tc>
      </w:tr>
      <w:tr>
        <w:trPr>
          <w:cantSplit/>
        </w:trPr>
        <w:tc>
          <w:tcPr>
            <w:tcW w:type="dxa" w:w="3216"/>
            <w:vAlign w:val="center"/>
            <w:tcMar>
              <w:top w:w="80" w:type="dxa"/>
              <w:bottom w:w="80" w:type="dxa"/>
              <w:left w:w="100" w:type="dxa"/>
              <w:right w:w="100" w:type="dxa"/>
            </w:tcMar>
            <w:shd w:fill="FFFFFF"/>
          </w:tcPr>
          <w:p>
            <w:pPr>
              <w:keepNext w:val="0"/>
              <w:spacing w:after="0" w:before="0" w:line="252" w:lineRule="auto"/>
            </w:pPr>
            <w:r>
              <w:rPr>
                <w:b w:val="0"/>
                <w:i w:val="0"/>
                <w:sz w:val="20"/>
              </w:rPr>
              <w:t>Warranting and delivery</w:t>
            </w:r>
          </w:p>
        </w:tc>
        <w:tc>
          <w:tcPr>
            <w:tcW w:type="dxa" w:w="6530"/>
            <w:vAlign w:val="center"/>
            <w:tcMar>
              <w:top w:w="80" w:type="dxa"/>
              <w:bottom w:w="80" w:type="dxa"/>
              <w:left w:w="100" w:type="dxa"/>
              <w:right w:w="100" w:type="dxa"/>
            </w:tcMar>
            <w:shd w:fill="FFFFFF"/>
          </w:tcPr>
          <w:p>
            <w:pPr>
              <w:keepNext w:val="0"/>
              <w:spacing w:after="0" w:before="0" w:line="252" w:lineRule="auto"/>
            </w:pPr>
            <w:r>
              <w:rPr>
                <w:b w:val="0"/>
                <w:i w:val="0"/>
                <w:sz w:val="20"/>
              </w:rPr>
              <w:t>For the premium route, place released, eligible, bank-owned New York bars on warrant through a clearing member at a CME-approved facility. The warrant is then available for delivery of the short futures. Eligibility, brand, weight, depository and registration must be confirmed; New York location alone does not ensure eligibility. For the discount route, receive New York warrants through the long futures, cancel the warrants and arrange valid ETF allocation; deliver released London metal into the over-the-counter forward. Warrant receipt, cancellation and allocation timing must be reconciled.</w:t>
            </w:r>
          </w:p>
        </w:tc>
      </w:tr>
      <w:tr>
        <w:trPr>
          <w:cantSplit/>
        </w:trPr>
        <w:tc>
          <w:tcPr>
            <w:tcW w:type="dxa" w:w="3216"/>
            <w:vAlign w:val="center"/>
            <w:tcMar>
              <w:top w:w="80" w:type="dxa"/>
              <w:bottom w:w="80" w:type="dxa"/>
              <w:left w:w="100" w:type="dxa"/>
              <w:right w:w="100" w:type="dxa"/>
            </w:tcMar>
            <w:shd w:fill="F4F7F8"/>
          </w:tcPr>
          <w:p>
            <w:pPr>
              <w:keepNext w:val="0"/>
              <w:spacing w:after="0" w:before="0" w:line="252" w:lineRule="auto"/>
            </w:pPr>
            <w:r>
              <w:rPr>
                <w:b w:val="0"/>
                <w:i w:val="0"/>
                <w:sz w:val="20"/>
              </w:rPr>
              <w:t>Issuance and cancellation sequence</w:t>
            </w:r>
          </w:p>
        </w:tc>
        <w:tc>
          <w:tcPr>
            <w:tcW w:type="dxa" w:w="6530"/>
            <w:vAlign w:val="center"/>
            <w:tcMar>
              <w:top w:w="80" w:type="dxa"/>
              <w:bottom w:w="80" w:type="dxa"/>
              <w:left w:w="100" w:type="dxa"/>
              <w:right w:w="100" w:type="dxa"/>
            </w:tcMar>
            <w:shd w:fill="F4F7F8"/>
          </w:tcPr>
          <w:p>
            <w:pPr>
              <w:keepNext w:val="0"/>
              <w:spacing w:after="0" w:before="0" w:line="252" w:lineRule="auto"/>
            </w:pPr>
            <w:r>
              <w:rPr>
                <w:b w:val="0"/>
                <w:i w:val="0"/>
                <w:sz w:val="20"/>
              </w:rPr>
              <w:t>Filed Schedule 1 sections 2.01(g)-(h) require allocation/eligibility confirmation before issuance, with a limited 1,100 oz unallocated allowance. Section 3.01(e) puts custodian delivery confirmation before trustee cancellation. Actual private operating cutoffs remain unverified.</w:t>
            </w:r>
          </w:p>
        </w:tc>
      </w:tr>
      <w:tr>
        <w:trPr>
          <w:cantSplit/>
        </w:trPr>
        <w:tc>
          <w:tcPr>
            <w:tcW w:type="dxa" w:w="3216"/>
            <w:vAlign w:val="center"/>
            <w:tcMar>
              <w:top w:w="80" w:type="dxa"/>
              <w:bottom w:w="80" w:type="dxa"/>
              <w:left w:w="100" w:type="dxa"/>
              <w:right w:w="100" w:type="dxa"/>
            </w:tcMar>
            <w:shd w:fill="FFFFFF"/>
          </w:tcPr>
          <w:p>
            <w:pPr>
              <w:keepNext w:val="0"/>
              <w:spacing w:after="0" w:before="0" w:line="252" w:lineRule="auto"/>
            </w:pPr>
            <w:r>
              <w:rPr>
                <w:b w:val="0"/>
                <w:i w:val="0"/>
                <w:sz w:val="20"/>
              </w:rPr>
              <w:t>Realisation</w:t>
            </w:r>
          </w:p>
        </w:tc>
        <w:tc>
          <w:tcPr>
            <w:tcW w:type="dxa" w:w="6530"/>
            <w:vAlign w:val="center"/>
            <w:tcMar>
              <w:top w:w="80" w:type="dxa"/>
              <w:bottom w:w="80" w:type="dxa"/>
              <w:left w:w="100" w:type="dxa"/>
              <w:right w:w="100" w:type="dxa"/>
            </w:tcMar>
            <w:shd w:fill="FFFFFF"/>
          </w:tcPr>
          <w:p>
            <w:pPr>
              <w:keepNext w:val="0"/>
              <w:spacing w:after="0" w:before="0" w:line="252" w:lineRule="auto"/>
            </w:pPr>
            <w:r>
              <w:rPr>
                <w:b w:val="0"/>
                <w:i w:val="0"/>
                <w:sz w:val="20"/>
              </w:rPr>
              <w:t>Entering a futures/forward spread is not an immediate $125,000 cash receipt. Delivery, an agreed EFRP/location exchange or closing both legs must realise it. An early close depends on the remaining spread.</w:t>
            </w:r>
          </w:p>
        </w:tc>
      </w:tr>
      <w:tr>
        <w:trPr>
          <w:cantSplit/>
        </w:trPr>
        <w:tc>
          <w:tcPr>
            <w:tcW w:type="dxa" w:w="3216"/>
            <w:vAlign w:val="center"/>
            <w:tcMar>
              <w:top w:w="80" w:type="dxa"/>
              <w:bottom w:w="80" w:type="dxa"/>
              <w:left w:w="100" w:type="dxa"/>
              <w:right w:w="100" w:type="dxa"/>
            </w:tcMar>
            <w:shd w:fill="F4F7F8"/>
          </w:tcPr>
          <w:p>
            <w:pPr>
              <w:keepNext w:val="0"/>
              <w:spacing w:after="0" w:before="0" w:line="252" w:lineRule="auto"/>
            </w:pPr>
            <w:r>
              <w:rPr>
                <w:b w:val="0"/>
                <w:i w:val="0"/>
                <w:sz w:val="20"/>
              </w:rPr>
              <w:t>Premium unwind formula</w:t>
            </w:r>
          </w:p>
        </w:tc>
        <w:tc>
          <w:tcPr>
            <w:tcW w:type="dxa" w:w="6530"/>
            <w:vAlign w:val="center"/>
            <w:tcMar>
              <w:top w:w="80" w:type="dxa"/>
              <w:bottom w:w="80" w:type="dxa"/>
              <w:left w:w="100" w:type="dxa"/>
              <w:right w:w="100" w:type="dxa"/>
            </w:tcMar>
            <w:shd w:fill="F4F7F8"/>
          </w:tcPr>
          <w:p>
            <w:pPr>
              <w:keepNext w:val="0"/>
              <w:spacing w:after="0" w:before="0" w:line="252" w:lineRule="auto"/>
            </w:pPr>
            <w:r>
              <w:rPr>
                <w:b w:val="0"/>
                <w:i w:val="0"/>
                <w:sz w:val="20"/>
              </w:rPr>
              <w:t>Q × (entry CME-minus-over-the-counter spread - exit spread), before costs. Entry +50¢, exit +20¢ produces $75,000 gross; exit +70¢ loses $50,000 gross.</w:t>
            </w:r>
          </w:p>
        </w:tc>
      </w:tr>
      <w:tr>
        <w:trPr>
          <w:cantSplit/>
        </w:trPr>
        <w:tc>
          <w:tcPr>
            <w:tcW w:type="dxa" w:w="3216"/>
            <w:vAlign w:val="center"/>
            <w:tcMar>
              <w:top w:w="80" w:type="dxa"/>
              <w:bottom w:w="80" w:type="dxa"/>
              <w:left w:w="100" w:type="dxa"/>
              <w:right w:w="100" w:type="dxa"/>
            </w:tcMar>
            <w:shd w:fill="FFFFFF"/>
          </w:tcPr>
          <w:p>
            <w:pPr>
              <w:keepNext w:val="0"/>
              <w:spacing w:after="0" w:before="0" w:line="252" w:lineRule="auto"/>
            </w:pPr>
            <w:r>
              <w:rPr>
                <w:b w:val="0"/>
                <w:i w:val="0"/>
                <w:sz w:val="20"/>
              </w:rPr>
              <w:t>Discount unwind formula</w:t>
            </w:r>
          </w:p>
        </w:tc>
        <w:tc>
          <w:tcPr>
            <w:tcW w:type="dxa" w:w="6530"/>
            <w:vAlign w:val="center"/>
            <w:tcMar>
              <w:top w:w="80" w:type="dxa"/>
              <w:bottom w:w="80" w:type="dxa"/>
              <w:left w:w="100" w:type="dxa"/>
              <w:right w:w="100" w:type="dxa"/>
            </w:tcMar>
            <w:shd w:fill="FFFFFF"/>
          </w:tcPr>
          <w:p>
            <w:pPr>
              <w:keepNext w:val="0"/>
              <w:spacing w:after="0" w:before="0" w:line="252" w:lineRule="auto"/>
            </w:pPr>
            <w:r>
              <w:rPr>
                <w:b w:val="0"/>
                <w:i w:val="0"/>
                <w:sz w:val="20"/>
              </w:rPr>
              <w:t>Q × (exit CME-minus-over-the-counter spread - entry spread), before costs. Entry -50¢, exit -20¢ produces $75,000 gross; exit -70¢ loses $50,000 gross.</w:t>
            </w:r>
          </w:p>
        </w:tc>
      </w:tr>
      <w:tr>
        <w:trPr>
          <w:cantSplit/>
        </w:trPr>
        <w:tc>
          <w:tcPr>
            <w:tcW w:type="dxa" w:w="3216"/>
            <w:vAlign w:val="center"/>
            <w:tcMar>
              <w:top w:w="80" w:type="dxa"/>
              <w:bottom w:w="80" w:type="dxa"/>
              <w:left w:w="100" w:type="dxa"/>
              <w:right w:w="100" w:type="dxa"/>
            </w:tcMar>
            <w:shd w:fill="F4F7F8"/>
          </w:tcPr>
          <w:p>
            <w:pPr>
              <w:keepNext w:val="0"/>
              <w:spacing w:after="0" w:before="0" w:line="252" w:lineRule="auto"/>
            </w:pPr>
            <w:r>
              <w:rPr>
                <w:b w:val="0"/>
                <w:i w:val="0"/>
                <w:sz w:val="20"/>
              </w:rPr>
              <w:t>Delivery and collateral</w:t>
            </w:r>
          </w:p>
        </w:tc>
        <w:tc>
          <w:tcPr>
            <w:tcW w:type="dxa" w:w="6530"/>
            <w:vAlign w:val="center"/>
            <w:tcMar>
              <w:top w:w="80" w:type="dxa"/>
              <w:bottom w:w="80" w:type="dxa"/>
              <w:left w:w="100" w:type="dxa"/>
              <w:right w:w="100" w:type="dxa"/>
            </w:tcMar>
            <w:shd w:fill="F4F7F8"/>
          </w:tcPr>
          <w:p>
            <w:pPr>
              <w:keepNext w:val="0"/>
              <w:spacing w:after="0" w:before="0" w:line="252" w:lineRule="auto"/>
            </w:pPr>
            <w:r>
              <w:rPr>
                <w:b w:val="0"/>
                <w:i w:val="0"/>
                <w:sz w:val="20"/>
              </w:rPr>
              <w:t>CME delivery may occur across the delivery month; matching over-the-counter first-delivery-day value does not assure delivery that day. Margin and cash/metal funding bridge timing mismatches. Fund bars do not fund desk margin.</w:t>
            </w:r>
          </w:p>
        </w:tc>
      </w:tr>
      <w:tr>
        <w:trPr>
          <w:cantSplit/>
        </w:trPr>
        <w:tc>
          <w:tcPr>
            <w:tcW w:type="dxa" w:w="3216"/>
            <w:vAlign w:val="center"/>
            <w:tcMar>
              <w:top w:w="80" w:type="dxa"/>
              <w:bottom w:w="80" w:type="dxa"/>
              <w:left w:w="100" w:type="dxa"/>
              <w:right w:w="100" w:type="dxa"/>
            </w:tcMar>
            <w:shd w:fill="FFFFFF"/>
          </w:tcPr>
          <w:p>
            <w:pPr>
              <w:keepNext w:val="0"/>
              <w:spacing w:after="0" w:before="0" w:line="252" w:lineRule="auto"/>
            </w:pPr>
            <w:r>
              <w:rPr>
                <w:b w:val="0"/>
                <w:i w:val="0"/>
                <w:sz w:val="20"/>
              </w:rPr>
              <w:t>Revenue share</w:t>
            </w:r>
          </w:p>
        </w:tc>
        <w:tc>
          <w:tcPr>
            <w:tcW w:type="dxa" w:w="6530"/>
            <w:vAlign w:val="center"/>
            <w:tcMar>
              <w:top w:w="80" w:type="dxa"/>
              <w:bottom w:w="80" w:type="dxa"/>
              <w:left w:w="100" w:type="dxa"/>
              <w:right w:w="100" w:type="dxa"/>
            </w:tcMar>
            <w:shd w:fill="FFFFFF"/>
          </w:tcPr>
          <w:p>
            <w:pPr>
              <w:keepNext w:val="0"/>
              <w:spacing w:after="0" w:before="0" w:line="252" w:lineRule="auto"/>
            </w:pPr>
            <w:r>
              <w:rPr>
                <w:b w:val="0"/>
                <w:i w:val="0"/>
                <w:sz w:val="20"/>
              </w:rPr>
              <w:t>Proposed 50% BlackRock / 50% Citigroup. The $103,750 contribution after specified one-month costs allocates $51,875 to each before further deductions. Make a cash payment to BlackRock for 50% of positive realised net trading revenue after agreed costs; Citigroup retains the other 50%. Reconcile metals, cash and all costs for disclosure to BlackRock. BlackRock is the proposed recipient, not automatically the ETF.</w:t>
            </w:r>
          </w:p>
        </w:tc>
      </w:tr>
    </w:tbl>
    <w:p>
      <w:pPr>
        <w:spacing w:after="60" w:before="0" w:line="40" w:lineRule="exact"/>
      </w:pPr>
      <w:r>
        <w:rPr>
          <w:sz w:val="4"/>
        </w:rPr>
      </w:r>
    </w:p>
    <w:p>
      <w:pPr>
        <w:spacing w:after="100"/>
      </w:pPr>
      <w:r>
        <w:rPr>
          <w:b w:val="0"/>
          <w:i w:val="0"/>
          <w:sz w:val="18"/>
        </w:rPr>
        <w:t>If initial margin were 10% of each scenario’s CME price instead of the common $60 reference, it would be $1,512,500 / $1,487,500 and monthly funding $1,260.42 / $1,239.58. The main diagrams use the user-confirmed common $60 assumption for comparability.</w:t>
      </w:r>
    </w:p>
    <w:p>
      <w:pPr>
        <w:pStyle w:val="Heading3"/>
        <w:pageBreakBefore w:val="0"/>
      </w:pPr>
      <w:r>
        <w:t>Earlier stand-alone substitution route, retained for reference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9"/>
        <w:gridCol w:w="3703"/>
        <w:gridCol w:w="4093"/>
      </w:tblGrid>
      <w:tr>
        <w:trPr>
          <w:tblHeader/>
          <w:cantSplit/>
        </w:trPr>
        <w:tc>
          <w:tcPr>
            <w:tcW w:type="dxa" w:w="1949"/>
            <w:vAlign w:val="center"/>
            <w:tcMar>
              <w:top w:w="80" w:type="dxa"/>
              <w:bottom w:w="80" w:type="dxa"/>
              <w:left w:w="100" w:type="dxa"/>
              <w:right w:w="100" w:type="dxa"/>
            </w:tcMar>
            <w:shd w:fill="DCE6EB"/>
          </w:tcPr>
          <w:p>
            <w:pPr>
              <w:keepNext/>
              <w:spacing w:after="0" w:before="0" w:line="252" w:lineRule="auto"/>
            </w:pPr>
            <w:r>
              <w:rPr>
                <w:b/>
                <w:i w:val="0"/>
                <w:sz w:val="20"/>
              </w:rPr>
              <w:t>Step</w:t>
            </w:r>
          </w:p>
        </w:tc>
        <w:tc>
          <w:tcPr>
            <w:tcW w:type="dxa" w:w="3703"/>
            <w:vAlign w:val="center"/>
            <w:tcMar>
              <w:top w:w="80" w:type="dxa"/>
              <w:bottom w:w="80" w:type="dxa"/>
              <w:left w:w="100" w:type="dxa"/>
              <w:right w:w="100" w:type="dxa"/>
            </w:tcMar>
            <w:shd w:fill="DCE6EB"/>
          </w:tcPr>
          <w:p>
            <w:pPr>
              <w:keepNext/>
              <w:spacing w:after="0" w:before="0" w:line="252" w:lineRule="auto"/>
            </w:pPr>
            <w:r>
              <w:rPr>
                <w:b/>
                <w:i w:val="0"/>
                <w:sz w:val="20"/>
              </w:rPr>
              <w:t>Fund / custodian</w:t>
            </w:r>
          </w:p>
        </w:tc>
        <w:tc>
          <w:tcPr>
            <w:tcW w:type="dxa" w:w="4093"/>
            <w:vAlign w:val="center"/>
            <w:tcMar>
              <w:top w:w="80" w:type="dxa"/>
              <w:bottom w:w="80" w:type="dxa"/>
              <w:left w:w="100" w:type="dxa"/>
              <w:right w:w="100" w:type="dxa"/>
            </w:tcMar>
            <w:shd w:fill="DCE6EB"/>
          </w:tcPr>
          <w:p>
            <w:pPr>
              <w:keepNext/>
              <w:spacing w:after="0" w:before="0" w:line="252" w:lineRule="auto"/>
            </w:pPr>
            <w:r>
              <w:rPr>
                <w:b/>
                <w:i w:val="0"/>
                <w:sz w:val="20"/>
              </w:rPr>
              <w:t>Bank / execution desk</w:t>
            </w:r>
          </w:p>
        </w:tc>
      </w:tr>
      <w:tr>
        <w:trPr>
          <w:cantSplit/>
        </w:trPr>
        <w:tc>
          <w:tcPr>
            <w:tcW w:type="dxa" w:w="1949"/>
            <w:vAlign w:val="center"/>
            <w:tcMar>
              <w:top w:w="80" w:type="dxa"/>
              <w:bottom w:w="80" w:type="dxa"/>
              <w:left w:w="100" w:type="dxa"/>
              <w:right w:w="100" w:type="dxa"/>
            </w:tcMar>
            <w:shd w:fill="FFFFFF"/>
          </w:tcPr>
          <w:p>
            <w:pPr>
              <w:keepNext w:val="0"/>
              <w:spacing w:after="0" w:before="0" w:line="252" w:lineRule="auto"/>
            </w:pPr>
            <w:r>
              <w:rPr>
                <w:b w:val="0"/>
                <w:i w:val="0"/>
                <w:sz w:val="20"/>
              </w:rPr>
              <w:t>1 · Approve and quote</w:t>
            </w:r>
          </w:p>
        </w:tc>
        <w:tc>
          <w:tcPr>
            <w:tcW w:type="dxa" w:w="3703"/>
            <w:vAlign w:val="center"/>
            <w:tcMar>
              <w:top w:w="80" w:type="dxa"/>
              <w:bottom w:w="80" w:type="dxa"/>
              <w:left w:w="100" w:type="dxa"/>
              <w:right w:w="100" w:type="dxa"/>
            </w:tcMar>
            <w:shd w:fill="FFFFFF"/>
          </w:tcPr>
          <w:p>
            <w:pPr>
              <w:keepNext w:val="0"/>
              <w:spacing w:after="0" w:before="0" w:line="252" w:lineRule="auto"/>
            </w:pPr>
            <w:r>
              <w:rPr>
                <w:b w:val="0"/>
                <w:i w:val="0"/>
                <w:sz w:val="20"/>
              </w:rPr>
              <w:t>Trustee approves eligible substitution; sponsor consulted</w:t>
            </w:r>
          </w:p>
        </w:tc>
        <w:tc>
          <w:tcPr>
            <w:tcW w:type="dxa" w:w="4093"/>
            <w:vAlign w:val="center"/>
            <w:tcMar>
              <w:top w:w="80" w:type="dxa"/>
              <w:bottom w:w="80" w:type="dxa"/>
              <w:left w:w="100" w:type="dxa"/>
              <w:right w:w="100" w:type="dxa"/>
            </w:tcMar>
            <w:shd w:fill="FFFFFF"/>
          </w:tcPr>
          <w:p>
            <w:pPr>
              <w:keepNext w:val="0"/>
              <w:spacing w:after="0" w:before="0" w:line="252" w:lineRule="auto"/>
            </w:pPr>
            <w:r>
              <w:rPr>
                <w:b w:val="0"/>
                <w:i w:val="0"/>
                <w:sz w:val="20"/>
              </w:rPr>
              <w:t>Commit replacement metal, net consideration, size and expiry.</w:t>
            </w:r>
          </w:p>
        </w:tc>
      </w:tr>
      <w:tr>
        <w:trPr>
          <w:cantSplit/>
        </w:trPr>
        <w:tc>
          <w:tcPr>
            <w:tcW w:type="dxa" w:w="1949"/>
            <w:vAlign w:val="center"/>
            <w:tcMar>
              <w:top w:w="80" w:type="dxa"/>
              <w:bottom w:w="80" w:type="dxa"/>
              <w:left w:w="100" w:type="dxa"/>
              <w:right w:w="100" w:type="dxa"/>
            </w:tcMar>
            <w:shd w:fill="F4F7F8"/>
          </w:tcPr>
          <w:p>
            <w:pPr>
              <w:keepNext w:val="0"/>
              <w:spacing w:after="0" w:before="0" w:line="252" w:lineRule="auto"/>
            </w:pPr>
            <w:r>
              <w:rPr>
                <w:b w:val="0"/>
                <w:i w:val="0"/>
                <w:sz w:val="20"/>
              </w:rPr>
              <w:t>2 · Prepare settlement</w:t>
            </w:r>
          </w:p>
        </w:tc>
        <w:tc>
          <w:tcPr>
            <w:tcW w:type="dxa" w:w="3703"/>
            <w:vAlign w:val="center"/>
            <w:tcMar>
              <w:top w:w="80" w:type="dxa"/>
              <w:bottom w:w="80" w:type="dxa"/>
              <w:left w:w="100" w:type="dxa"/>
              <w:right w:w="100" w:type="dxa"/>
            </w:tcMar>
            <w:shd w:fill="F4F7F8"/>
          </w:tcPr>
          <w:p>
            <w:pPr>
              <w:keepNext w:val="0"/>
              <w:spacing w:after="0" w:before="0" w:line="252" w:lineRule="auto"/>
            </w:pPr>
            <w:r>
              <w:rPr>
                <w:b w:val="0"/>
                <w:i w:val="0"/>
                <w:sz w:val="20"/>
              </w:rPr>
              <w:t>Identify both bar lists, title conditions and approved accounts</w:t>
            </w:r>
          </w:p>
        </w:tc>
        <w:tc>
          <w:tcPr>
            <w:tcW w:type="dxa" w:w="4093"/>
            <w:vAlign w:val="center"/>
            <w:tcMar>
              <w:top w:w="80" w:type="dxa"/>
              <w:bottom w:w="80" w:type="dxa"/>
              <w:left w:w="100" w:type="dxa"/>
              <w:right w:w="100" w:type="dxa"/>
            </w:tcMar>
            <w:shd w:fill="F4F7F8"/>
          </w:tcPr>
          <w:p>
            <w:pPr>
              <w:keepNext w:val="0"/>
              <w:spacing w:after="0" w:before="0" w:line="252" w:lineRule="auto"/>
            </w:pPr>
            <w:r>
              <w:rPr>
                <w:b w:val="0"/>
                <w:i w:val="0"/>
                <w:sz w:val="20"/>
              </w:rPr>
              <w:t>Fund replacement stock and arrange any separate hedge.</w:t>
            </w:r>
          </w:p>
        </w:tc>
      </w:tr>
      <w:tr>
        <w:trPr>
          <w:cantSplit/>
        </w:trPr>
        <w:tc>
          <w:tcPr>
            <w:tcW w:type="dxa" w:w="1949"/>
            <w:vAlign w:val="center"/>
            <w:tcMar>
              <w:top w:w="80" w:type="dxa"/>
              <w:bottom w:w="80" w:type="dxa"/>
              <w:left w:w="100" w:type="dxa"/>
              <w:right w:w="100" w:type="dxa"/>
            </w:tcMar>
            <w:shd w:fill="FFFFFF"/>
          </w:tcPr>
          <w:p>
            <w:pPr>
              <w:keepNext w:val="0"/>
              <w:spacing w:after="0" w:before="0" w:line="252" w:lineRule="auto"/>
            </w:pPr>
            <w:r>
              <w:rPr>
                <w:b w:val="0"/>
                <w:i w:val="0"/>
                <w:sz w:val="20"/>
              </w:rPr>
              <w:t>3 · Exchange title</w:t>
            </w:r>
          </w:p>
        </w:tc>
        <w:tc>
          <w:tcPr>
            <w:tcW w:type="dxa" w:w="3703"/>
            <w:vAlign w:val="center"/>
            <w:tcMar>
              <w:top w:w="80" w:type="dxa"/>
              <w:bottom w:w="80" w:type="dxa"/>
              <w:left w:w="100" w:type="dxa"/>
              <w:right w:w="100" w:type="dxa"/>
            </w:tcMar>
            <w:shd w:fill="FFFFFF"/>
          </w:tcPr>
          <w:p>
            <w:pPr>
              <w:keepNext w:val="0"/>
              <w:spacing w:after="0" w:before="0" w:line="252" w:lineRule="auto"/>
            </w:pPr>
            <w:r>
              <w:rPr>
                <w:b w:val="0"/>
                <w:i w:val="0"/>
                <w:sz w:val="20"/>
              </w:rPr>
              <w:t>Receive allocated replacement before or legally with release</w:t>
            </w:r>
          </w:p>
        </w:tc>
        <w:tc>
          <w:tcPr>
            <w:tcW w:type="dxa" w:w="4093"/>
            <w:vAlign w:val="center"/>
            <w:tcMar>
              <w:top w:w="80" w:type="dxa"/>
              <w:bottom w:w="80" w:type="dxa"/>
              <w:left w:w="100" w:type="dxa"/>
              <w:right w:w="100" w:type="dxa"/>
            </w:tcMar>
            <w:shd w:fill="FFFFFF"/>
          </w:tcPr>
          <w:p>
            <w:pPr>
              <w:keepNext w:val="0"/>
              <w:spacing w:after="0" w:before="0" w:line="252" w:lineRule="auto"/>
            </w:pPr>
            <w:r>
              <w:rPr>
                <w:b w:val="0"/>
                <w:i w:val="0"/>
                <w:sz w:val="20"/>
              </w:rPr>
              <w:t>Acquire released bars under the agreed principal contract.</w:t>
            </w:r>
          </w:p>
        </w:tc>
      </w:tr>
      <w:tr>
        <w:trPr>
          <w:cantSplit/>
        </w:trPr>
        <w:tc>
          <w:tcPr>
            <w:tcW w:type="dxa" w:w="1949"/>
            <w:vAlign w:val="center"/>
            <w:tcMar>
              <w:top w:w="80" w:type="dxa"/>
              <w:bottom w:w="80" w:type="dxa"/>
              <w:left w:w="100" w:type="dxa"/>
              <w:right w:w="100" w:type="dxa"/>
            </w:tcMar>
            <w:shd w:fill="F4F7F8"/>
          </w:tcPr>
          <w:p>
            <w:pPr>
              <w:keepNext w:val="0"/>
              <w:spacing w:after="0" w:before="0" w:line="252" w:lineRule="auto"/>
            </w:pPr>
            <w:r>
              <w:rPr>
                <w:b w:val="0"/>
                <w:i w:val="0"/>
                <w:sz w:val="20"/>
              </w:rPr>
              <w:t>4 · Complete and reconcile</w:t>
            </w:r>
          </w:p>
        </w:tc>
        <w:tc>
          <w:tcPr>
            <w:tcW w:type="dxa" w:w="3703"/>
            <w:vAlign w:val="center"/>
            <w:tcMar>
              <w:top w:w="80" w:type="dxa"/>
              <w:bottom w:w="80" w:type="dxa"/>
              <w:left w:w="100" w:type="dxa"/>
              <w:right w:w="100" w:type="dxa"/>
            </w:tcMar>
            <w:shd w:fill="F4F7F8"/>
          </w:tcPr>
          <w:p>
            <w:pPr>
              <w:keepNext w:val="0"/>
              <w:spacing w:after="0" w:before="0" w:line="252" w:lineRule="auto"/>
            </w:pPr>
            <w:r>
              <w:rPr>
                <w:b w:val="0"/>
                <w:i w:val="0"/>
                <w:sz w:val="20"/>
              </w:rPr>
              <w:t>Confirm ounces, permitted payment and investor treatment</w:t>
            </w:r>
          </w:p>
        </w:tc>
        <w:tc>
          <w:tcPr>
            <w:tcW w:type="dxa" w:w="4093"/>
            <w:vAlign w:val="center"/>
            <w:tcMar>
              <w:top w:w="80" w:type="dxa"/>
              <w:bottom w:w="80" w:type="dxa"/>
              <w:left w:w="100" w:type="dxa"/>
              <w:right w:w="100" w:type="dxa"/>
            </w:tcMar>
            <w:shd w:fill="F4F7F8"/>
          </w:tcPr>
          <w:p>
            <w:pPr>
              <w:keepNext w:val="0"/>
              <w:spacing w:after="0" w:before="0" w:line="252" w:lineRule="auto"/>
            </w:pPr>
            <w:r>
              <w:rPr>
                <w:b w:val="0"/>
                <w:i w:val="0"/>
                <w:sz w:val="20"/>
              </w:rPr>
              <w:t>Own subsequent resale, transport and hedge obligations.</w:t>
            </w:r>
          </w:p>
        </w:tc>
      </w:tr>
      <w:tr>
        <w:trPr>
          <w:cantSplit/>
        </w:trPr>
        <w:tc>
          <w:tcPr>
            <w:tcW w:type="dxa" w:w="1949"/>
            <w:vAlign w:val="center"/>
            <w:tcMar>
              <w:top w:w="80" w:type="dxa"/>
              <w:bottom w:w="80" w:type="dxa"/>
              <w:left w:w="100" w:type="dxa"/>
              <w:right w:w="100" w:type="dxa"/>
            </w:tcMar>
            <w:shd w:fill="FFFFFF"/>
          </w:tcPr>
          <w:p>
            <w:pPr>
              <w:keepNext w:val="0"/>
              <w:spacing w:after="0" w:before="0" w:line="252" w:lineRule="auto"/>
            </w:pPr>
            <w:r>
              <w:rPr>
                <w:b w:val="0"/>
                <w:i w:val="0"/>
                <w:sz w:val="20"/>
              </w:rPr>
              <w:t>5 · Review exceptions</w:t>
            </w:r>
          </w:p>
        </w:tc>
        <w:tc>
          <w:tcPr>
            <w:tcW w:type="dxa" w:w="3703"/>
            <w:vAlign w:val="center"/>
            <w:tcMar>
              <w:top w:w="80" w:type="dxa"/>
              <w:bottom w:w="80" w:type="dxa"/>
              <w:left w:w="100" w:type="dxa"/>
              <w:right w:w="100" w:type="dxa"/>
            </w:tcMar>
            <w:shd w:fill="FFFFFF"/>
          </w:tcPr>
          <w:p>
            <w:pPr>
              <w:keepNext w:val="0"/>
              <w:spacing w:after="0" w:before="0" w:line="252" w:lineRule="auto"/>
            </w:pPr>
            <w:r>
              <w:rPr>
                <w:b w:val="0"/>
                <w:i w:val="0"/>
                <w:sz w:val="20"/>
              </w:rPr>
              <w:t>Independent reconciliation and custody oversight</w:t>
            </w:r>
          </w:p>
        </w:tc>
        <w:tc>
          <w:tcPr>
            <w:tcW w:type="dxa" w:w="4093"/>
            <w:vAlign w:val="center"/>
            <w:tcMar>
              <w:top w:w="80" w:type="dxa"/>
              <w:bottom w:w="80" w:type="dxa"/>
              <w:left w:w="100" w:type="dxa"/>
              <w:right w:w="100" w:type="dxa"/>
            </w:tcMar>
            <w:shd w:fill="FFFFFF"/>
          </w:tcPr>
          <w:p>
            <w:pPr>
              <w:keepNext w:val="0"/>
              <w:spacing w:after="0" w:before="0" w:line="252" w:lineRule="auto"/>
            </w:pPr>
            <w:r>
              <w:rPr>
                <w:b w:val="0"/>
                <w:i w:val="0"/>
                <w:sz w:val="20"/>
              </w:rPr>
              <w:t>Resolve failed legs and costs under the agreed loss rules.</w:t>
            </w:r>
          </w:p>
        </w:tc>
      </w:tr>
    </w:tbl>
    <w:p>
      <w:pPr>
        <w:spacing w:after="60" w:before="0" w:line="40" w:lineRule="exact"/>
      </w:pPr>
      <w:r>
        <w:rPr>
          <w:sz w:val="4"/>
        </w:rPr>
      </w:r>
    </w:p>
    <w:p>
      <w:pPr>
        <w:spacing w:after="100"/>
      </w:pPr>
      <w:r>
        <w:rPr>
          <w:b w:val="0"/>
          <w:i w:val="0"/>
          <w:sz w:val="18"/>
        </w:rPr>
        <w:t>An investor share purchase does not automatically create metal flow. authorised participant redemptions follow designated delivery rules; they do not grant an unrestricted choice of the highest-premium location.</w:t>
      </w:r>
    </w:p>
    <w:p>
      <w:pPr>
        <w:pStyle w:val="Heading3"/>
        <w:pageBreakBefore w:val="0"/>
      </w:pPr>
      <w:r>
        <w:t>Custodian transition and operating controls</w:t>
      </w:r>
    </w:p>
    <w:p>
      <w:r>
        <w:rPr>
          <w:b w:val="0"/>
          <w:i w:val="0"/>
        </w:rPr>
        <w:t>Take over safekeeping and primary-market servicing under a documented transition, while the desk trades on the bank’s own balance sheet.</w:t>
      </w:r>
    </w:p>
    <w:p>
      <w:pPr>
        <w:ind w:left="360" w:hanging="360"/>
      </w:pPr>
      <w:r>
        <w:t xml:space="preserve">1. </w:t>
      </w:r>
      <w:r>
        <w:rPr>
          <w:b/>
          <w:i w:val="0"/>
        </w:rPr>
        <w:t>Appoint and transfer.</w:t>
      </w:r>
      <w:r>
        <w:rPr>
          <w:b w:val="0"/>
          <w:i w:val="0"/>
        </w:rPr>
        <w:t xml:space="preserve"> Agree trustee/sponsor approval, custody contract, vault network, insurance and bar-by-bar reconciliation.</w:t>
      </w:r>
    </w:p>
    <w:p>
      <w:pPr>
        <w:ind w:left="360" w:hanging="360"/>
      </w:pPr>
      <w:r>
        <w:t xml:space="preserve">2. </w:t>
      </w:r>
      <w:r>
        <w:rPr>
          <w:b/>
          <w:i w:val="0"/>
        </w:rPr>
        <w:t>Service authorised participant orders.</w:t>
      </w:r>
      <w:r>
        <w:rPr>
          <w:b w:val="0"/>
          <w:i w:val="0"/>
        </w:rPr>
        <w:t xml:space="preserve"> Confirm delivery locations, allocation/release controls, current settlement procedures and independent custody records.</w:t>
      </w:r>
    </w:p>
    <w:p>
      <w:pPr>
        <w:ind w:left="360" w:hanging="360"/>
      </w:pPr>
      <w:r>
        <w:t xml:space="preserve">3. </w:t>
      </w:r>
      <w:r>
        <w:rPr>
          <w:b/>
          <w:i w:val="0"/>
        </w:rPr>
        <w:t>Separate desk execution.</w:t>
      </w:r>
      <w:r>
        <w:rPr>
          <w:b w:val="0"/>
          <w:i w:val="0"/>
        </w:rPr>
        <w:t xml:space="preserve"> Agree principal transactions, information controls, funding, margin, fair consideration and revenue allocation.</w:t>
      </w:r>
    </w:p>
    <w:p>
      <w:r>
        <w:rPr>
          <w:b w:val="0"/>
          <w:i w:val="0"/>
        </w:rPr>
        <w:t>Preserve fund backing and redemption capacity throughout the transition. The 200moz New York ambition is a later inventory decision.</w:t>
      </w:r>
    </w:p>
    <w:p>
      <w:pPr>
        <w:spacing w:after="100"/>
      </w:pPr>
      <w:r>
        <w:rPr>
          <w:b w:val="0"/>
          <w:i w:val="0"/>
          <w:sz w:val="18"/>
        </w:rPr>
        <w:t>Existing New York holdings are about 70.17moz at 23 September 2026. A new custody appointment does not itself confer authorised participant status, ownership of redeemed metal or permission to pledge trust assets for desk margin.</w:t>
      </w:r>
    </w:p>
    <w:p>
      <w:pPr>
        <w:pStyle w:val="Heading3"/>
        <w:pageBreakBefore w:val="0"/>
      </w:pPr>
      <w:r>
        <w:t>Appointment and implementation workstreams</w:t>
      </w:r>
    </w:p>
    <w:p>
      <w:r>
        <w:rPr>
          <w:b w:val="0"/>
          <w:i w:val="0"/>
        </w:rPr>
        <w:t>Seek a joint review of our bank as successor custodian, supported by a costed transition and a separately governed execution service.</w:t>
      </w:r>
    </w:p>
    <w:p>
      <w:r>
        <w:rPr>
          <w:b w:val="0"/>
        </w:rPr>
        <w:t>CUSTODY</w:t>
      </w:r>
    </w:p>
    <w:p>
      <w:pPr>
        <w:pStyle w:val="Heading2"/>
        <w:pageBreakBefore w:val="0"/>
      </w:pPr>
      <w:r>
        <w:t>Price the mandate</w:t>
      </w:r>
    </w:p>
    <w:p>
      <w:r>
        <w:rPr>
          <w:b w:val="0"/>
          <w:i w:val="0"/>
        </w:rPr>
        <w:t>Quote safekeeping and servicing fees, vault capacity, insurance and transition costs.</w:t>
      </w:r>
    </w:p>
    <w:p>
      <w:r>
        <w:rPr>
          <w:b w:val="0"/>
        </w:rPr>
        <w:t>EXECUTION</w:t>
      </w:r>
    </w:p>
    <w:p>
      <w:pPr>
        <w:pStyle w:val="Heading2"/>
        <w:pageBreakBefore w:val="0"/>
      </w:pPr>
      <w:r>
        <w:t>Validate the economics</w:t>
      </w:r>
    </w:p>
    <w:p>
      <w:r>
        <w:rPr>
          <w:b w:val="0"/>
          <w:i w:val="0"/>
        </w:rPr>
        <w:t>Firm CME and over-the-counter quotes, agreed authorised participant flow, all funding and delivery costs, and the proposed 50:50 BlackRock / Citigroup payment terms.</w:t>
      </w:r>
    </w:p>
    <w:p>
      <w:r>
        <w:rPr>
          <w:b w:val="0"/>
        </w:rPr>
        <w:t>TRANSITION</w:t>
      </w:r>
    </w:p>
    <w:p>
      <w:pPr>
        <w:pStyle w:val="Heading2"/>
        <w:pageBreakBefore w:val="0"/>
      </w:pPr>
      <w:r>
        <w:t>Prove the operation</w:t>
      </w:r>
    </w:p>
    <w:p>
      <w:r>
        <w:rPr>
          <w:b w:val="0"/>
          <w:i w:val="0"/>
        </w:rPr>
        <w:t>Reconcile bars, test allocations and releases, and agree exceptions, oversight and a controlled migration.</w:t>
      </w:r>
    </w:p>
    <w:p>
      <w:r>
        <w:rPr>
          <w:b w:val="0"/>
          <w:i w:val="0"/>
        </w:rPr>
        <w:t>The ask: a custody appointment evaluation with BlackRock, the trustee and relevant authorised participants before any transfer or trading commitment.</w:t>
      </w:r>
    </w:p>
    <w:p>
      <w:pPr>
        <w:spacing w:after="100"/>
      </w:pPr>
      <w:r>
        <w:rPr>
          <w:b w:val="0"/>
          <w:i w:val="0"/>
          <w:sz w:val="18"/>
        </w:rPr>
        <w:t>The 200moz target and any $10m annual desk case remain scale hypotheses, not forecast income. Any shared proceeds must follow approved contracts and tax/accounting treatment.</w:t>
      </w:r>
    </w:p>
    <w:p>
      <w:pPr>
        <w:spacing w:after="100"/>
      </w:pPr>
      <w:r>
        <w:rPr>
          <w:b w:val="0"/>
          <w:i w:val="0"/>
          <w:sz w:val="18"/>
        </w:rPr>
        <w:t>Settlement timing: London replacement for an immediate creation must already be available from inventory or a separate physical supply arrangement; a future-dated London forward does not satisfy today’s allocation. The same applies to New York supply before the long CME contract delivers. The cash and metal ledger must include interim inventory, settlement amounts, owner consideration and all costs before determining realised trading revenue.</w:t>
      </w:r>
    </w:p>
    <w:p>
      <w:pPr>
        <w:pStyle w:val="Heading3"/>
        <w:pageBreakBefore w:val="0"/>
      </w:pPr>
      <w:r>
        <w:t>Evidence and assumptions</w:t>
      </w:r>
    </w:p>
    <w:p>
      <w:hyperlink r:id="rId92">
        <w:r>
          <w:rPr>
            <w:color w:val="235779"/>
            <w:u w:val="single"/>
          </w:rPr>
          <w:t>Custody §2.7 and current-document review</w:t>
        </w:r>
      </w:hyperlink>
    </w:p>
    <w:p>
      <w:pPr>
        <w:pStyle w:val="Heading3"/>
        <w:pageBreakBefore w:val="0"/>
      </w:pPr>
      <w:r>
        <w:t>Evidence and assumptions</w:t>
      </w:r>
    </w:p>
    <w:p>
      <w:hyperlink r:id="rId101">
        <w:r>
          <w:rPr>
            <w:color w:val="235779"/>
            <w:u w:val="single"/>
          </w:rPr>
          <w:t>Current model and evidence</w:t>
        </w:r>
      </w:hyperlink>
    </w:p>
    <w:p>
      <w:hyperlink r:id="rId55">
        <w:r>
          <w:rPr>
            <w:color w:val="235779"/>
            <w:u w:val="single"/>
          </w:rPr>
          <w:t>SLV fund data</w:t>
        </w:r>
      </w:hyperlink>
    </w:p>
    <w:p>
      <w:hyperlink r:id="rId95">
        <w:r>
          <w:rPr>
            <w:color w:val="235779"/>
            <w:u w:val="single"/>
          </w:rPr>
          <w:t>SLV trust, primary orders and successor custodian</w:t>
        </w:r>
      </w:hyperlink>
    </w:p>
    <w:p>
      <w:hyperlink r:id="rId102">
        <w:r>
          <w:rPr>
            <w:color w:val="235779"/>
            <w:u w:val="single"/>
          </w:rPr>
          <w:t>CME silver Chapter 112</w:t>
        </w:r>
      </w:hyperlink>
    </w:p>
    <w:p>
      <w:hyperlink r:id="rId103">
        <w:r>
          <w:rPr>
            <w:color w:val="235779"/>
            <w:u w:val="single"/>
          </w:rPr>
          <w:t>CME warranting and physical delivery</w:t>
        </w:r>
      </w:hyperlink>
    </w:p>
    <w:p>
      <w:hyperlink r:id="rId104">
        <w:r>
          <w:rPr>
            <w:color w:val="235779"/>
            <w:u w:val="single"/>
          </w:rPr>
          <w:t>Mechanics verification, 24 September</w:t>
        </w:r>
      </w:hyperlink>
    </w:p>
    <w:p>
      <w:pPr>
        <w:pStyle w:val="Heading3"/>
        <w:pageBreakBefore w:val="0"/>
      </w:pPr>
      <w:r>
        <w:t>Evidence and assumptions</w:t>
      </w:r>
    </w:p>
    <w:p>
      <w:hyperlink r:id="rId105">
        <w:r>
          <w:rPr>
            <w:color w:val="235779"/>
            <w:u w:val="single"/>
          </w:rPr>
          <w:t>Alternative tariff model</w:t>
        </w:r>
      </w:hyperlink>
    </w:p>
    <w:p>
      <w:hyperlink r:id="rId106">
        <w:r>
          <w:rPr>
            <w:color w:val="235779"/>
            <w:u w:val="single"/>
          </w:rPr>
          <w:t>Deployment assumptions</w:t>
        </w:r>
      </w:hyperlink>
    </w:p>
    <w:p>
      <w:hyperlink r:id="rId107">
        <w:r>
          <w:rPr>
            <w:color w:val="235779"/>
            <w:u w:val="single"/>
          </w:rPr>
          <w:t>Forward EFP definition</w:t>
        </w:r>
      </w:hyperlink>
    </w:p>
    <w:p>
      <w:hyperlink r:id="rId54">
        <w:r>
          <w:rPr>
            <w:color w:val="235779"/>
            <w:u w:val="single"/>
          </w:rPr>
          <w:t>SLV custody §§2.5,2.7,4.1,4.2</w:t>
        </w:r>
      </w:hyperlink>
    </w:p>
    <w:p>
      <w:hyperlink r:id="rId36">
        <w:r>
          <w:rPr>
            <w:color w:val="235779"/>
            <w:u w:val="single"/>
          </w:rPr>
          <w:t>IAU custody §4.2</w:t>
        </w:r>
      </w:hyperlink>
    </w:p>
    <w:p>
      <w:bookmarkStart w:id="33" w:name="research_10"/>
      <w:pPr>
        <w:pStyle w:val="Heading1"/>
        <w:pageBreakBefore/>
      </w:pPr>
      <w:r>
        <w:t>10  Physical liquidity throughout the transaction</w:t>
      </w:r>
      <w:bookmarkEnd w:id="33"/>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9"/>
        <w:gridCol w:w="3703"/>
        <w:gridCol w:w="4093"/>
      </w:tblGrid>
      <w:tr>
        <w:trPr>
          <w:tblHeader/>
          <w:cantSplit/>
        </w:trPr>
        <w:tc>
          <w:tcPr>
            <w:tcW w:type="dxa" w:w="1949"/>
            <w:vAlign w:val="center"/>
            <w:tcMar>
              <w:top w:w="80" w:type="dxa"/>
              <w:bottom w:w="80" w:type="dxa"/>
              <w:left w:w="100" w:type="dxa"/>
              <w:right w:w="100" w:type="dxa"/>
            </w:tcMar>
            <w:shd w:fill="DCE6EB"/>
          </w:tcPr>
          <w:p>
            <w:pPr>
              <w:keepNext/>
              <w:spacing w:after="0" w:before="0" w:line="252" w:lineRule="auto"/>
            </w:pPr>
            <w:r>
              <w:rPr>
                <w:b/>
                <w:i w:val="0"/>
                <w:sz w:val="20"/>
              </w:rPr>
              <w:t>Activity</w:t>
            </w:r>
          </w:p>
        </w:tc>
        <w:tc>
          <w:tcPr>
            <w:tcW w:type="dxa" w:w="3703"/>
            <w:vAlign w:val="center"/>
            <w:tcMar>
              <w:top w:w="80" w:type="dxa"/>
              <w:bottom w:w="80" w:type="dxa"/>
              <w:left w:w="100" w:type="dxa"/>
              <w:right w:w="100" w:type="dxa"/>
            </w:tcMar>
            <w:shd w:fill="DCE6EB"/>
          </w:tcPr>
          <w:p>
            <w:pPr>
              <w:keepNext/>
              <w:spacing w:after="0" w:before="0" w:line="252" w:lineRule="auto"/>
            </w:pPr>
            <w:r>
              <w:rPr>
                <w:b/>
                <w:i w:val="0"/>
                <w:sz w:val="20"/>
              </w:rPr>
              <w:t>Physical consequence</w:t>
            </w:r>
          </w:p>
        </w:tc>
        <w:tc>
          <w:tcPr>
            <w:tcW w:type="dxa" w:w="4093"/>
            <w:vAlign w:val="center"/>
            <w:tcMar>
              <w:top w:w="80" w:type="dxa"/>
              <w:bottom w:w="80" w:type="dxa"/>
              <w:left w:w="100" w:type="dxa"/>
              <w:right w:w="100" w:type="dxa"/>
            </w:tcMar>
            <w:shd w:fill="DCE6EB"/>
          </w:tcPr>
          <w:p>
            <w:pPr>
              <w:keepNext/>
              <w:spacing w:after="0" w:before="0" w:line="252" w:lineRule="auto"/>
            </w:pPr>
            <w:r>
              <w:rPr>
                <w:b/>
                <w:i w:val="0"/>
                <w:sz w:val="20"/>
              </w:rPr>
              <w:t>Control</w:t>
            </w:r>
          </w:p>
        </w:tc>
      </w:tr>
      <w:tr>
        <w:trPr>
          <w:cantSplit/>
        </w:trPr>
        <w:tc>
          <w:tcPr>
            <w:tcW w:type="dxa" w:w="1949"/>
            <w:vAlign w:val="center"/>
            <w:tcMar>
              <w:top w:w="80" w:type="dxa"/>
              <w:bottom w:w="80" w:type="dxa"/>
              <w:left w:w="100" w:type="dxa"/>
              <w:right w:w="100" w:type="dxa"/>
            </w:tcMar>
            <w:shd w:fill="FFFFFF"/>
          </w:tcPr>
          <w:p>
            <w:pPr>
              <w:keepNext w:val="0"/>
              <w:spacing w:after="0" w:before="0" w:line="252" w:lineRule="auto"/>
            </w:pPr>
            <w:r>
              <w:rPr>
                <w:b w:val="0"/>
                <w:i w:val="0"/>
                <w:sz w:val="20"/>
              </w:rPr>
              <w:t>Allocation or same-vault ownership change</w:t>
            </w:r>
          </w:p>
        </w:tc>
        <w:tc>
          <w:tcPr>
            <w:tcW w:type="dxa" w:w="3703"/>
            <w:vAlign w:val="center"/>
            <w:tcMar>
              <w:top w:w="80" w:type="dxa"/>
              <w:bottom w:w="80" w:type="dxa"/>
              <w:left w:w="100" w:type="dxa"/>
              <w:right w:w="100" w:type="dxa"/>
            </w:tcMar>
            <w:shd w:fill="FFFFFF"/>
          </w:tcPr>
          <w:p>
            <w:pPr>
              <w:keepNext w:val="0"/>
              <w:spacing w:after="0" w:before="0" w:line="252" w:lineRule="auto"/>
            </w:pPr>
            <w:r>
              <w:rPr>
                <w:b w:val="0"/>
                <w:i w:val="0"/>
                <w:sz w:val="20"/>
              </w:rPr>
              <w:t>Bars may stay in place</w:t>
            </w:r>
          </w:p>
        </w:tc>
        <w:tc>
          <w:tcPr>
            <w:tcW w:type="dxa" w:w="4093"/>
            <w:vAlign w:val="center"/>
            <w:tcMar>
              <w:top w:w="80" w:type="dxa"/>
              <w:bottom w:w="80" w:type="dxa"/>
              <w:left w:w="100" w:type="dxa"/>
              <w:right w:w="100" w:type="dxa"/>
            </w:tcMar>
            <w:shd w:fill="FFFFFF"/>
          </w:tcPr>
          <w:p>
            <w:pPr>
              <w:keepNext w:val="0"/>
              <w:spacing w:after="0" w:before="0" w:line="252" w:lineRule="auto"/>
            </w:pPr>
            <w:r>
              <w:rPr>
                <w:b w:val="0"/>
                <w:i w:val="0"/>
                <w:sz w:val="20"/>
              </w:rPr>
              <w:t>Identify enforceable title and segregation; reconcile fine weight.</w:t>
            </w:r>
          </w:p>
        </w:tc>
      </w:tr>
      <w:tr>
        <w:trPr>
          <w:cantSplit/>
        </w:trPr>
        <w:tc>
          <w:tcPr>
            <w:tcW w:type="dxa" w:w="1949"/>
            <w:vAlign w:val="center"/>
            <w:tcMar>
              <w:top w:w="80" w:type="dxa"/>
              <w:bottom w:w="80" w:type="dxa"/>
              <w:left w:w="100" w:type="dxa"/>
              <w:right w:w="100" w:type="dxa"/>
            </w:tcMar>
            <w:shd w:fill="F4F7F8"/>
          </w:tcPr>
          <w:p>
            <w:pPr>
              <w:keepNext w:val="0"/>
              <w:spacing w:after="0" w:before="0" w:line="252" w:lineRule="auto"/>
            </w:pPr>
            <w:r>
              <w:rPr>
                <w:b w:val="0"/>
                <w:i w:val="0"/>
                <w:sz w:val="20"/>
              </w:rPr>
              <w:t>New York–London location exchange</w:t>
            </w:r>
          </w:p>
        </w:tc>
        <w:tc>
          <w:tcPr>
            <w:tcW w:type="dxa" w:w="3703"/>
            <w:vAlign w:val="center"/>
            <w:tcMar>
              <w:top w:w="80" w:type="dxa"/>
              <w:bottom w:w="80" w:type="dxa"/>
              <w:left w:w="100" w:type="dxa"/>
              <w:right w:w="100" w:type="dxa"/>
            </w:tcMar>
            <w:shd w:fill="F4F7F8"/>
          </w:tcPr>
          <w:p>
            <w:pPr>
              <w:keepNext w:val="0"/>
              <w:spacing w:after="0" w:before="0" w:line="252" w:lineRule="auto"/>
            </w:pPr>
            <w:r>
              <w:rPr>
                <w:b w:val="0"/>
                <w:i w:val="0"/>
                <w:sz w:val="20"/>
              </w:rPr>
              <w:t>Two local metal deliveries; the same bars need not cross the Atlantic</w:t>
            </w:r>
          </w:p>
        </w:tc>
        <w:tc>
          <w:tcPr>
            <w:tcW w:type="dxa" w:w="4093"/>
            <w:vAlign w:val="center"/>
            <w:tcMar>
              <w:top w:w="80" w:type="dxa"/>
              <w:bottom w:w="80" w:type="dxa"/>
              <w:left w:w="100" w:type="dxa"/>
              <w:right w:w="100" w:type="dxa"/>
            </w:tcMar>
            <w:shd w:fill="F4F7F8"/>
          </w:tcPr>
          <w:p>
            <w:pPr>
              <w:keepNext w:val="0"/>
              <w:spacing w:after="0" w:before="0" w:line="252" w:lineRule="auto"/>
            </w:pPr>
            <w:r>
              <w:rPr>
                <w:b w:val="0"/>
                <w:i w:val="0"/>
                <w:sz w:val="20"/>
              </w:rPr>
              <w:t>Commit both legs and prevent a temporary shortfall in fund backing.</w:t>
            </w:r>
          </w:p>
        </w:tc>
      </w:tr>
      <w:tr>
        <w:trPr>
          <w:cantSplit/>
        </w:trPr>
        <w:tc>
          <w:tcPr>
            <w:tcW w:type="dxa" w:w="1949"/>
            <w:vAlign w:val="center"/>
            <w:tcMar>
              <w:top w:w="80" w:type="dxa"/>
              <w:bottom w:w="80" w:type="dxa"/>
              <w:left w:w="100" w:type="dxa"/>
              <w:right w:w="100" w:type="dxa"/>
            </w:tcMar>
            <w:shd w:fill="FFFFFF"/>
          </w:tcPr>
          <w:p>
            <w:pPr>
              <w:keepNext w:val="0"/>
              <w:spacing w:after="0" w:before="0" w:line="252" w:lineRule="auto"/>
            </w:pPr>
            <w:r>
              <w:rPr>
                <w:b w:val="0"/>
                <w:i w:val="0"/>
                <w:sz w:val="20"/>
              </w:rPr>
              <w:t>Physical replenishment</w:t>
            </w:r>
          </w:p>
        </w:tc>
        <w:tc>
          <w:tcPr>
            <w:tcW w:type="dxa" w:w="3703"/>
            <w:vAlign w:val="center"/>
            <w:tcMar>
              <w:top w:w="80" w:type="dxa"/>
              <w:bottom w:w="80" w:type="dxa"/>
              <w:left w:w="100" w:type="dxa"/>
              <w:right w:w="100" w:type="dxa"/>
            </w:tcMar>
            <w:shd w:fill="FFFFFF"/>
          </w:tcPr>
          <w:p>
            <w:pPr>
              <w:keepNext w:val="0"/>
              <w:spacing w:after="0" w:before="0" w:line="252" w:lineRule="auto"/>
            </w:pPr>
            <w:r>
              <w:rPr>
                <w:b w:val="0"/>
                <w:i w:val="0"/>
                <w:sz w:val="20"/>
              </w:rPr>
              <w:t>Transport, customs entry, receipt and possible conversion</w:t>
            </w:r>
          </w:p>
        </w:tc>
        <w:tc>
          <w:tcPr>
            <w:tcW w:type="dxa" w:w="4093"/>
            <w:vAlign w:val="center"/>
            <w:tcMar>
              <w:top w:w="80" w:type="dxa"/>
              <w:bottom w:w="80" w:type="dxa"/>
              <w:left w:w="100" w:type="dxa"/>
              <w:right w:w="100" w:type="dxa"/>
            </w:tcMar>
            <w:shd w:fill="FFFFFF"/>
          </w:tcPr>
          <w:p>
            <w:pPr>
              <w:keepNext w:val="0"/>
              <w:spacing w:after="0" w:before="0" w:line="252" w:lineRule="auto"/>
            </w:pPr>
            <w:r>
              <w:rPr>
                <w:b w:val="0"/>
                <w:i w:val="0"/>
                <w:sz w:val="20"/>
              </w:rPr>
              <w:t>Use confirmed carriers, insured capacity and receiving-vault acceptance.</w:t>
            </w:r>
          </w:p>
        </w:tc>
      </w:tr>
      <w:tr>
        <w:trPr>
          <w:cantSplit/>
        </w:trPr>
        <w:tc>
          <w:tcPr>
            <w:tcW w:type="dxa" w:w="1949"/>
            <w:vAlign w:val="center"/>
            <w:tcMar>
              <w:top w:w="80" w:type="dxa"/>
              <w:bottom w:w="80" w:type="dxa"/>
              <w:left w:w="100" w:type="dxa"/>
              <w:right w:w="100" w:type="dxa"/>
            </w:tcMar>
            <w:shd w:fill="F4F7F8"/>
          </w:tcPr>
          <w:p>
            <w:pPr>
              <w:keepNext w:val="0"/>
              <w:spacing w:after="0" w:before="0" w:line="252" w:lineRule="auto"/>
            </w:pPr>
            <w:r>
              <w:rPr>
                <w:b w:val="0"/>
                <w:i w:val="0"/>
                <w:sz w:val="20"/>
              </w:rPr>
              <w:t>India supply after bank ownership</w:t>
            </w:r>
          </w:p>
        </w:tc>
        <w:tc>
          <w:tcPr>
            <w:tcW w:type="dxa" w:w="3703"/>
            <w:vAlign w:val="center"/>
            <w:tcMar>
              <w:top w:w="80" w:type="dxa"/>
              <w:bottom w:w="80" w:type="dxa"/>
              <w:left w:w="100" w:type="dxa"/>
              <w:right w:w="100" w:type="dxa"/>
            </w:tcMar>
            <w:shd w:fill="F4F7F8"/>
          </w:tcPr>
          <w:p>
            <w:pPr>
              <w:keepNext w:val="0"/>
              <w:spacing w:after="0" w:before="0" w:line="252" w:lineRule="auto"/>
            </w:pPr>
            <w:r>
              <w:rPr>
                <w:b w:val="0"/>
                <w:i w:val="0"/>
                <w:sz w:val="20"/>
              </w:rPr>
              <w:t>Export/ship, eligible vault deposit, BDR and buyer delivery</w:t>
            </w:r>
          </w:p>
        </w:tc>
        <w:tc>
          <w:tcPr>
            <w:tcW w:type="dxa" w:w="4093"/>
            <w:vAlign w:val="center"/>
            <w:tcMar>
              <w:top w:w="80" w:type="dxa"/>
              <w:bottom w:w="80" w:type="dxa"/>
              <w:left w:w="100" w:type="dxa"/>
              <w:right w:w="100" w:type="dxa"/>
            </w:tcMar>
            <w:shd w:fill="F4F7F8"/>
          </w:tcPr>
          <w:p>
            <w:pPr>
              <w:keepNext w:val="0"/>
              <w:spacing w:after="0" w:before="0" w:line="252" w:lineRule="auto"/>
            </w:pPr>
            <w:r>
              <w:rPr>
                <w:b w:val="0"/>
                <w:i w:val="0"/>
                <w:sz w:val="20"/>
              </w:rPr>
              <w:t>Track desk-funded inventory through entry, quality and cash settlement.</w:t>
            </w:r>
          </w:p>
        </w:tc>
      </w:tr>
    </w:tbl>
    <w:p>
      <w:pPr>
        <w:spacing w:after="60" w:before="0" w:line="40" w:lineRule="exact"/>
      </w:pPr>
      <w:r>
        <w:rPr>
          <w:sz w:val="4"/>
        </w:rPr>
      </w:r>
    </w:p>
    <w:p>
      <w:r>
        <w:rPr>
          <w:b w:val="0"/>
          <w:i w:val="0"/>
        </w:rPr>
        <w:t>Available stock excludes inventory already committed, in transit, awaiting clearance, pledged or reserved for another delivery.</w:t>
      </w:r>
    </w:p>
    <w:p>
      <w:pPr>
        <w:spacing w:after="100"/>
      </w:pPr>
      <w:r>
        <w:rPr>
          <w:b w:val="0"/>
          <w:i w:val="0"/>
          <w:sz w:val="18"/>
        </w:rPr>
        <w:t>Vault throughput, replacement availability and stressed lead times limit size. The 200moz target inventory cannot override redemption obligations; the model’s reserve is 180moz with 20moz working stock. No generic “instant metal settlement” assumption.</w:t>
      </w:r>
    </w:p>
    <w:p>
      <w:pPr>
        <w:pStyle w:val="Heading3"/>
        <w:pageBreakBefore w:val="0"/>
      </w:pPr>
      <w:r>
        <w:t>Evidence and assumptions</w:t>
      </w:r>
    </w:p>
    <w:p>
      <w:hyperlink r:id="rId108">
        <w:r>
          <w:rPr>
            <w:color w:val="235779"/>
            <w:u w:val="single"/>
          </w:rPr>
          <w:t>Liquidity and movement controls</w:t>
        </w:r>
      </w:hyperlink>
    </w:p>
    <w:p>
      <w:bookmarkStart w:id="34" w:name="research_11"/>
      <w:pPr>
        <w:pStyle w:val="Heading1"/>
        <w:pageBreakBefore/>
      </w:pPr>
      <w:r>
        <w:t>11  Insurance and recovery rights</w:t>
      </w:r>
      <w:bookmarkEnd w:id="34"/>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16"/>
        <w:gridCol w:w="6530"/>
      </w:tblGrid>
      <w:tr>
        <w:trPr>
          <w:tblHeader/>
          <w:cantSplit/>
        </w:trPr>
        <w:tc>
          <w:tcPr>
            <w:tcW w:type="dxa" w:w="3216"/>
            <w:vAlign w:val="center"/>
            <w:tcMar>
              <w:top w:w="80" w:type="dxa"/>
              <w:bottom w:w="80" w:type="dxa"/>
              <w:left w:w="100" w:type="dxa"/>
              <w:right w:w="100" w:type="dxa"/>
            </w:tcMar>
            <w:shd w:fill="DCE6EB"/>
          </w:tcPr>
          <w:p>
            <w:pPr>
              <w:keepNext/>
              <w:spacing w:after="0" w:before="0" w:line="252" w:lineRule="auto"/>
            </w:pPr>
            <w:r>
              <w:rPr>
                <w:b/>
                <w:i w:val="0"/>
                <w:sz w:val="20"/>
              </w:rPr>
              <w:t>Public SLV terms</w:t>
            </w:r>
          </w:p>
        </w:tc>
        <w:tc>
          <w:tcPr>
            <w:tcW w:type="dxa" w:w="6530"/>
            <w:vAlign w:val="center"/>
            <w:tcMar>
              <w:top w:w="80" w:type="dxa"/>
              <w:bottom w:w="80" w:type="dxa"/>
              <w:left w:w="100" w:type="dxa"/>
              <w:right w:w="100" w:type="dxa"/>
            </w:tcMar>
            <w:shd w:fill="DCE6EB"/>
          </w:tcPr>
          <w:p>
            <w:pPr>
              <w:keepNext/>
              <w:spacing w:after="0" w:before="0" w:line="252" w:lineRule="auto"/>
            </w:pPr>
            <w:r>
              <w:rPr>
                <w:b/>
                <w:i w:val="0"/>
                <w:sz w:val="20"/>
              </w:rPr>
              <w:t>What the programme must confirm</w:t>
            </w:r>
          </w:p>
        </w:tc>
      </w:tr>
      <w:tr>
        <w:trPr>
          <w:cantSplit/>
        </w:trPr>
        <w:tc>
          <w:tcPr>
            <w:tcW w:type="dxa" w:w="3216"/>
            <w:vAlign w:val="center"/>
            <w:tcMar>
              <w:top w:w="80" w:type="dxa"/>
              <w:bottom w:w="80" w:type="dxa"/>
              <w:left w:w="100" w:type="dxa"/>
              <w:right w:w="100" w:type="dxa"/>
            </w:tcMar>
            <w:shd w:fill="FFFFFF"/>
          </w:tcPr>
          <w:p>
            <w:pPr>
              <w:keepNext w:val="0"/>
              <w:spacing w:after="0" w:before="0" w:line="252" w:lineRule="auto"/>
            </w:pPr>
            <w:r>
              <w:rPr>
                <w:b w:val="0"/>
                <w:i w:val="0"/>
                <w:sz w:val="20"/>
              </w:rPr>
              <w:t>Custodian maintains insurance in support of custody obligations</w:t>
            </w:r>
          </w:p>
        </w:tc>
        <w:tc>
          <w:tcPr>
            <w:tcW w:type="dxa" w:w="6530"/>
            <w:vAlign w:val="center"/>
            <w:tcMar>
              <w:top w:w="80" w:type="dxa"/>
              <w:bottom w:w="80" w:type="dxa"/>
              <w:left w:w="100" w:type="dxa"/>
              <w:right w:w="100" w:type="dxa"/>
            </w:tcMar>
            <w:shd w:fill="FFFFFF"/>
          </w:tcPr>
          <w:p>
            <w:pPr>
              <w:keepNext w:val="0"/>
              <w:spacing w:after="0" w:before="0" w:line="252" w:lineRule="auto"/>
            </w:pPr>
            <w:r>
              <w:rPr>
                <w:b w:val="0"/>
                <w:i w:val="0"/>
                <w:sz w:val="20"/>
              </w:rPr>
              <w:t>Named insured, policy evidence, limits by vault/transit/event and aggregate usage.</w:t>
            </w:r>
          </w:p>
        </w:tc>
      </w:tr>
      <w:tr>
        <w:trPr>
          <w:cantSplit/>
        </w:trPr>
        <w:tc>
          <w:tcPr>
            <w:tcW w:type="dxa" w:w="3216"/>
            <w:vAlign w:val="center"/>
            <w:tcMar>
              <w:top w:w="80" w:type="dxa"/>
              <w:bottom w:w="80" w:type="dxa"/>
              <w:left w:w="100" w:type="dxa"/>
              <w:right w:w="100" w:type="dxa"/>
            </w:tcMar>
            <w:shd w:fill="F4F7F8"/>
          </w:tcPr>
          <w:p>
            <w:pPr>
              <w:keepNext w:val="0"/>
              <w:spacing w:after="0" w:before="0" w:line="252" w:lineRule="auto"/>
            </w:pPr>
            <w:r>
              <w:rPr>
                <w:b w:val="0"/>
                <w:i w:val="0"/>
                <w:sz w:val="20"/>
              </w:rPr>
              <w:t>Policy benefits the custodian; trust cannot claim directly</w:t>
            </w:r>
          </w:p>
        </w:tc>
        <w:tc>
          <w:tcPr>
            <w:tcW w:type="dxa" w:w="6530"/>
            <w:vAlign w:val="center"/>
            <w:tcMar>
              <w:top w:w="80" w:type="dxa"/>
              <w:bottom w:w="80" w:type="dxa"/>
              <w:left w:w="100" w:type="dxa"/>
              <w:right w:w="100" w:type="dxa"/>
            </w:tcMar>
            <w:shd w:fill="F4F7F8"/>
          </w:tcPr>
          <w:p>
            <w:pPr>
              <w:keepNext w:val="0"/>
              <w:spacing w:after="0" w:before="0" w:line="252" w:lineRule="auto"/>
            </w:pPr>
            <w:r>
              <w:rPr>
                <w:b w:val="0"/>
                <w:i w:val="0"/>
                <w:sz w:val="20"/>
              </w:rPr>
              <w:t>Enforceable recovery route, claims process, bank liability and insurer credit quality.</w:t>
            </w:r>
          </w:p>
        </w:tc>
      </w:tr>
      <w:tr>
        <w:trPr>
          <w:cantSplit/>
        </w:trPr>
        <w:tc>
          <w:tcPr>
            <w:tcW w:type="dxa" w:w="3216"/>
            <w:vAlign w:val="center"/>
            <w:tcMar>
              <w:top w:w="80" w:type="dxa"/>
              <w:bottom w:w="80" w:type="dxa"/>
              <w:left w:w="100" w:type="dxa"/>
              <w:right w:w="100" w:type="dxa"/>
            </w:tcMar>
            <w:shd w:fill="FFFFFF"/>
          </w:tcPr>
          <w:p>
            <w:pPr>
              <w:keepNext w:val="0"/>
              <w:spacing w:after="0" w:before="0" w:line="252" w:lineRule="auto"/>
            </w:pPr>
            <w:r>
              <w:rPr>
                <w:b w:val="0"/>
                <w:i w:val="0"/>
                <w:sz w:val="20"/>
              </w:rPr>
              <w:t>Contractual liability and force-majeure provisions apply</w:t>
            </w:r>
          </w:p>
        </w:tc>
        <w:tc>
          <w:tcPr>
            <w:tcW w:type="dxa" w:w="6530"/>
            <w:vAlign w:val="center"/>
            <w:tcMar>
              <w:top w:w="80" w:type="dxa"/>
              <w:bottom w:w="80" w:type="dxa"/>
              <w:left w:w="100" w:type="dxa"/>
              <w:right w:w="100" w:type="dxa"/>
            </w:tcMar>
            <w:shd w:fill="FFFFFF"/>
          </w:tcPr>
          <w:p>
            <w:pPr>
              <w:keepNext w:val="0"/>
              <w:spacing w:after="0" w:before="0" w:line="252" w:lineRule="auto"/>
            </w:pPr>
            <w:r>
              <w:rPr>
                <w:b w:val="0"/>
                <w:i w:val="0"/>
                <w:sz w:val="20"/>
              </w:rPr>
              <w:t>Covered causes, deductions, exclusions and replacement-value/location-premium treatment.</w:t>
            </w:r>
          </w:p>
        </w:tc>
      </w:tr>
      <w:tr>
        <w:trPr>
          <w:cantSplit/>
        </w:trPr>
        <w:tc>
          <w:tcPr>
            <w:tcW w:type="dxa" w:w="3216"/>
            <w:vAlign w:val="center"/>
            <w:tcMar>
              <w:top w:w="80" w:type="dxa"/>
              <w:bottom w:w="80" w:type="dxa"/>
              <w:left w:w="100" w:type="dxa"/>
              <w:right w:w="100" w:type="dxa"/>
            </w:tcMar>
            <w:shd w:fill="F4F7F8"/>
          </w:tcPr>
          <w:p>
            <w:pPr>
              <w:keepNext w:val="0"/>
              <w:spacing w:after="0" w:before="0" w:line="252" w:lineRule="auto"/>
            </w:pPr>
            <w:r>
              <w:rPr>
                <w:b w:val="0"/>
                <w:i w:val="0"/>
                <w:sz w:val="20"/>
              </w:rPr>
              <w:t>Coverage can change under notice provisions</w:t>
            </w:r>
          </w:p>
        </w:tc>
        <w:tc>
          <w:tcPr>
            <w:tcW w:type="dxa" w:w="6530"/>
            <w:vAlign w:val="center"/>
            <w:tcMar>
              <w:top w:w="80" w:type="dxa"/>
              <w:bottom w:w="80" w:type="dxa"/>
              <w:left w:w="100" w:type="dxa"/>
              <w:right w:w="100" w:type="dxa"/>
            </w:tcMar>
            <w:shd w:fill="F4F7F8"/>
          </w:tcPr>
          <w:p>
            <w:pPr>
              <w:keepNext w:val="0"/>
              <w:spacing w:after="0" w:before="0" w:line="252" w:lineRule="auto"/>
            </w:pPr>
            <w:r>
              <w:rPr>
                <w:b w:val="0"/>
                <w:i w:val="0"/>
                <w:sz w:val="20"/>
              </w:rPr>
              <w:t>Change monitoring, endorsements for new locations/carriers and stop rules.</w:t>
            </w:r>
          </w:p>
        </w:tc>
      </w:tr>
    </w:tbl>
    <w:p>
      <w:pPr>
        <w:spacing w:after="60" w:before="0" w:line="40" w:lineRule="exact"/>
      </w:pPr>
      <w:r>
        <w:rPr>
          <w:sz w:val="4"/>
        </w:rPr>
      </w:r>
    </w:p>
    <w:p>
      <w:pPr>
        <w:spacing w:after="100"/>
      </w:pPr>
      <w:r>
        <w:rPr>
          <w:b w:val="0"/>
          <w:i w:val="0"/>
          <w:sz w:val="18"/>
        </w:rPr>
        <w:t>No public programme-specific insurance limit has been obtained. Do not describe the proposed stock as “fully insured”. Insurance and the bank’s contractual liability are separate protections.</w:t>
      </w:r>
    </w:p>
    <w:p>
      <w:pPr>
        <w:pStyle w:val="Heading3"/>
        <w:pageBreakBefore w:val="0"/>
      </w:pPr>
      <w:r>
        <w:t>Evidence and assumptions</w:t>
      </w:r>
    </w:p>
    <w:p>
      <w:hyperlink r:id="rId54">
        <w:r>
          <w:rPr>
            <w:color w:val="235779"/>
            <w:u w:val="single"/>
          </w:rPr>
          <w:t>Custody §§7.7 and11.2–11.5</w:t>
        </w:r>
      </w:hyperlink>
    </w:p>
    <w:p>
      <w:hyperlink r:id="rId108">
        <w:r>
          <w:rPr>
            <w:color w:val="235779"/>
            <w:u w:val="single"/>
          </w:rPr>
          <w:t>Controls brief</w:t>
        </w:r>
      </w:hyperlink>
    </w:p>
    <w:p>
      <w:bookmarkStart w:id="35" w:name="research_12"/>
      <w:pPr>
        <w:pStyle w:val="Heading1"/>
        <w:pageBreakBefore/>
      </w:pPr>
      <w:r>
        <w:t>12  Security and independent assurance</w:t>
      </w:r>
      <w:bookmarkEnd w:id="35"/>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16"/>
        <w:gridCol w:w="6530"/>
      </w:tblGrid>
      <w:tr>
        <w:trPr>
          <w:tblHeader/>
          <w:cantSplit/>
        </w:trPr>
        <w:tc>
          <w:tcPr>
            <w:tcW w:type="dxa" w:w="3216"/>
            <w:vAlign w:val="center"/>
            <w:tcMar>
              <w:top w:w="80" w:type="dxa"/>
              <w:bottom w:w="80" w:type="dxa"/>
              <w:left w:w="100" w:type="dxa"/>
              <w:right w:w="100" w:type="dxa"/>
            </w:tcMar>
            <w:shd w:fill="DCE6EB"/>
          </w:tcPr>
          <w:p>
            <w:pPr>
              <w:keepNext/>
              <w:spacing w:after="0" w:before="0" w:line="252" w:lineRule="auto"/>
            </w:pPr>
            <w:r>
              <w:rPr>
                <w:b/>
                <w:i w:val="0"/>
                <w:sz w:val="20"/>
              </w:rPr>
              <w:t>Existing evidence</w:t>
            </w:r>
          </w:p>
        </w:tc>
        <w:tc>
          <w:tcPr>
            <w:tcW w:type="dxa" w:w="6530"/>
            <w:vAlign w:val="center"/>
            <w:tcMar>
              <w:top w:w="80" w:type="dxa"/>
              <w:bottom w:w="80" w:type="dxa"/>
              <w:left w:w="100" w:type="dxa"/>
              <w:right w:w="100" w:type="dxa"/>
            </w:tcMar>
            <w:shd w:fill="DCE6EB"/>
          </w:tcPr>
          <w:p>
            <w:pPr>
              <w:keepNext/>
              <w:spacing w:after="0" w:before="0" w:line="252" w:lineRule="auto"/>
            </w:pPr>
            <w:r>
              <w:rPr>
                <w:b/>
                <w:i w:val="0"/>
                <w:sz w:val="20"/>
              </w:rPr>
              <w:t>Proposed programme standard</w:t>
            </w:r>
          </w:p>
        </w:tc>
      </w:tr>
      <w:tr>
        <w:trPr>
          <w:cantSplit/>
        </w:trPr>
        <w:tc>
          <w:tcPr>
            <w:tcW w:type="dxa" w:w="3216"/>
            <w:vAlign w:val="center"/>
            <w:tcMar>
              <w:top w:w="80" w:type="dxa"/>
              <w:bottom w:w="80" w:type="dxa"/>
              <w:left w:w="100" w:type="dxa"/>
              <w:right w:w="100" w:type="dxa"/>
            </w:tcMar>
            <w:shd w:fill="FFFFFF"/>
          </w:tcPr>
          <w:p>
            <w:pPr>
              <w:keepNext w:val="0"/>
              <w:spacing w:after="0" w:before="0" w:line="252" w:lineRule="auto"/>
            </w:pPr>
            <w:r>
              <w:rPr>
                <w:b w:val="0"/>
                <w:i w:val="0"/>
                <w:sz w:val="20"/>
              </w:rPr>
              <w:t>Segregation, trust ownership identification and subcustodian oversight in SLV terms</w:t>
            </w:r>
          </w:p>
        </w:tc>
        <w:tc>
          <w:tcPr>
            <w:tcW w:type="dxa" w:w="6530"/>
            <w:vAlign w:val="center"/>
            <w:tcMar>
              <w:top w:w="80" w:type="dxa"/>
              <w:bottom w:w="80" w:type="dxa"/>
              <w:left w:w="100" w:type="dxa"/>
              <w:right w:w="100" w:type="dxa"/>
            </w:tcMar>
            <w:shd w:fill="FFFFFF"/>
          </w:tcPr>
          <w:p>
            <w:pPr>
              <w:keepNext w:val="0"/>
              <w:spacing w:after="0" w:before="0" w:line="252" w:lineRule="auto"/>
            </w:pPr>
            <w:r>
              <w:rPr>
                <w:b w:val="0"/>
                <w:i w:val="0"/>
                <w:sz w:val="20"/>
              </w:rPr>
              <w:t>Independent release approval; account-change verification; traceable bar and carrier handovers.</w:t>
            </w:r>
          </w:p>
        </w:tc>
      </w:tr>
      <w:tr>
        <w:trPr>
          <w:cantSplit/>
        </w:trPr>
        <w:tc>
          <w:tcPr>
            <w:tcW w:type="dxa" w:w="3216"/>
            <w:vAlign w:val="center"/>
            <w:tcMar>
              <w:top w:w="80" w:type="dxa"/>
              <w:bottom w:w="80" w:type="dxa"/>
              <w:left w:w="100" w:type="dxa"/>
              <w:right w:w="100" w:type="dxa"/>
            </w:tcMar>
            <w:shd w:fill="F4F7F8"/>
          </w:tcPr>
          <w:p>
            <w:pPr>
              <w:keepNext w:val="0"/>
              <w:spacing w:after="0" w:before="0" w:line="252" w:lineRule="auto"/>
            </w:pPr>
            <w:r>
              <w:rPr>
                <w:b w:val="0"/>
                <w:i w:val="0"/>
                <w:sz w:val="20"/>
              </w:rPr>
              <w:t>Bureau Veritas report dated 28 May 2026: 523,802 bars counted against 27 February records</w:t>
            </w:r>
          </w:p>
        </w:tc>
        <w:tc>
          <w:tcPr>
            <w:tcW w:type="dxa" w:w="6530"/>
            <w:vAlign w:val="center"/>
            <w:tcMar>
              <w:top w:w="80" w:type="dxa"/>
              <w:bottom w:w="80" w:type="dxa"/>
              <w:left w:w="100" w:type="dxa"/>
              <w:right w:w="100" w:type="dxa"/>
            </w:tcMar>
            <w:shd w:fill="F4F7F8"/>
          </w:tcPr>
          <w:p>
            <w:pPr>
              <w:keepNext w:val="0"/>
              <w:spacing w:after="0" w:before="0" w:line="252" w:lineRule="auto"/>
            </w:pPr>
            <w:r>
              <w:rPr>
                <w:b w:val="0"/>
                <w:i w:val="0"/>
                <w:sz w:val="20"/>
              </w:rPr>
              <w:t>Reconcile new movements to serial, refiner, weight, fineness and exact custodian account.</w:t>
            </w:r>
          </w:p>
        </w:tc>
      </w:tr>
      <w:tr>
        <w:trPr>
          <w:cantSplit/>
        </w:trPr>
        <w:tc>
          <w:tcPr>
            <w:tcW w:type="dxa" w:w="3216"/>
            <w:vAlign w:val="center"/>
            <w:tcMar>
              <w:top w:w="80" w:type="dxa"/>
              <w:bottom w:w="80" w:type="dxa"/>
              <w:left w:w="100" w:type="dxa"/>
              <w:right w:w="100" w:type="dxa"/>
            </w:tcMar>
            <w:shd w:fill="FFFFFF"/>
          </w:tcPr>
          <w:p>
            <w:pPr>
              <w:keepNext w:val="0"/>
              <w:spacing w:after="0" w:before="0" w:line="252" w:lineRule="auto"/>
            </w:pPr>
            <w:r>
              <w:rPr>
                <w:b w:val="0"/>
                <w:i w:val="0"/>
                <w:sz w:val="20"/>
              </w:rPr>
              <w:t>Two bar identities checked per pallet; movements reconciled; no reported non-conformities</w:t>
            </w:r>
          </w:p>
        </w:tc>
        <w:tc>
          <w:tcPr>
            <w:tcW w:type="dxa" w:w="6530"/>
            <w:vAlign w:val="center"/>
            <w:tcMar>
              <w:top w:w="80" w:type="dxa"/>
              <w:bottom w:w="80" w:type="dxa"/>
              <w:left w:w="100" w:type="dxa"/>
              <w:right w:w="100" w:type="dxa"/>
            </w:tcMar>
            <w:shd w:fill="FFFFFF"/>
          </w:tcPr>
          <w:p>
            <w:pPr>
              <w:keepNext w:val="0"/>
              <w:spacing w:after="0" w:before="0" w:line="252" w:lineRule="auto"/>
            </w:pPr>
            <w:r>
              <w:rPr>
                <w:b w:val="0"/>
                <w:i w:val="0"/>
                <w:sz w:val="20"/>
              </w:rPr>
              <w:t>Agree targeted inspection and quality-testing scope; do not equate the report to assay of every bar.</w:t>
            </w:r>
          </w:p>
        </w:tc>
      </w:tr>
      <w:tr>
        <w:trPr>
          <w:cantSplit/>
        </w:trPr>
        <w:tc>
          <w:tcPr>
            <w:tcW w:type="dxa" w:w="3216"/>
            <w:vAlign w:val="center"/>
            <w:tcMar>
              <w:top w:w="80" w:type="dxa"/>
              <w:bottom w:w="80" w:type="dxa"/>
              <w:left w:w="100" w:type="dxa"/>
              <w:right w:w="100" w:type="dxa"/>
            </w:tcMar>
            <w:shd w:fill="F4F7F8"/>
          </w:tcPr>
          <w:p>
            <w:pPr>
              <w:keepNext w:val="0"/>
              <w:spacing w:after="0" w:before="0" w:line="252" w:lineRule="auto"/>
            </w:pPr>
            <w:r>
              <w:rPr>
                <w:b w:val="0"/>
                <w:i w:val="0"/>
                <w:sz w:val="20"/>
              </w:rPr>
              <w:t>PwC audit of 2025 financial statements and financial-reporting controls</w:t>
            </w:r>
          </w:p>
        </w:tc>
        <w:tc>
          <w:tcPr>
            <w:tcW w:type="dxa" w:w="6530"/>
            <w:vAlign w:val="center"/>
            <w:tcMar>
              <w:top w:w="80" w:type="dxa"/>
              <w:bottom w:w="80" w:type="dxa"/>
              <w:left w:w="100" w:type="dxa"/>
              <w:right w:w="100" w:type="dxa"/>
            </w:tcMar>
            <w:shd w:fill="F4F7F8"/>
          </w:tcPr>
          <w:p>
            <w:pPr>
              <w:keepNext w:val="0"/>
              <w:spacing w:after="0" w:before="0" w:line="252" w:lineRule="auto"/>
            </w:pPr>
            <w:r>
              <w:rPr>
                <w:b w:val="0"/>
                <w:i w:val="0"/>
                <w:sz w:val="20"/>
              </w:rPr>
              <w:t>Separate daily transaction reconciliation, exception review and periodic independent assurance.</w:t>
            </w:r>
          </w:p>
        </w:tc>
      </w:tr>
    </w:tbl>
    <w:p>
      <w:pPr>
        <w:spacing w:after="60" w:before="0" w:line="40" w:lineRule="exact"/>
      </w:pPr>
      <w:r>
        <w:rPr>
          <w:sz w:val="4"/>
        </w:rPr>
      </w:r>
    </w:p>
    <w:p>
      <w:pPr>
        <w:spacing w:after="100"/>
      </w:pPr>
      <w:r>
        <w:rPr>
          <w:b w:val="0"/>
          <w:i w:val="0"/>
          <w:sz w:val="18"/>
        </w:rPr>
        <w:t>The physical report is not a September stock, insurance or customs-origin attestation. Exact vault security specifications remain private diligence items.</w:t>
      </w:r>
    </w:p>
    <w:p>
      <w:pPr>
        <w:pStyle w:val="Heading3"/>
        <w:pageBreakBefore w:val="0"/>
      </w:pPr>
      <w:r>
        <w:t>Evidence and assumptions</w:t>
      </w:r>
    </w:p>
    <w:p>
      <w:hyperlink r:id="rId109">
        <w:r>
          <w:rPr>
            <w:color w:val="235779"/>
            <w:u w:val="single"/>
          </w:rPr>
          <w:t>Bureau Veritas report, pp1–2</w:t>
        </w:r>
      </w:hyperlink>
    </w:p>
    <w:p>
      <w:hyperlink r:id="rId98">
        <w:r>
          <w:rPr>
            <w:color w:val="235779"/>
            <w:u w:val="single"/>
          </w:rPr>
          <w:t>SLV2025 report, PDF27/32</w:t>
        </w:r>
      </w:hyperlink>
    </w:p>
    <w:p>
      <w:hyperlink r:id="rId54">
        <w:r>
          <w:rPr>
            <w:color w:val="235779"/>
            <w:u w:val="single"/>
          </w:rPr>
          <w:t>Custody §§2.5,2.8,7.2,8.4–8.5</w:t>
        </w:r>
      </w:hyperlink>
    </w:p>
    <w:p>
      <w:bookmarkStart w:id="36" w:name="research_13"/>
      <w:pPr>
        <w:pStyle w:val="Heading1"/>
        <w:pageBreakBefore/>
      </w:pPr>
      <w:r>
        <w:t>13  Operating and geographical risk limits</w:t>
      </w:r>
      <w:bookmarkEnd w:id="36"/>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16"/>
        <w:gridCol w:w="6530"/>
      </w:tblGrid>
      <w:tr>
        <w:trPr>
          <w:tblHeader/>
          <w:cantSplit/>
        </w:trPr>
        <w:tc>
          <w:tcPr>
            <w:tcW w:type="dxa" w:w="3216"/>
            <w:vAlign w:val="center"/>
            <w:tcMar>
              <w:top w:w="80" w:type="dxa"/>
              <w:bottom w:w="80" w:type="dxa"/>
              <w:left w:w="100" w:type="dxa"/>
              <w:right w:w="100" w:type="dxa"/>
            </w:tcMar>
            <w:shd w:fill="DCE6EB"/>
          </w:tcPr>
          <w:p>
            <w:pPr>
              <w:keepNext/>
              <w:spacing w:after="0" w:before="0" w:line="252" w:lineRule="auto"/>
            </w:pPr>
            <w:r>
              <w:rPr>
                <w:b/>
                <w:i w:val="0"/>
                <w:sz w:val="20"/>
              </w:rPr>
              <w:t>Exposure</w:t>
            </w:r>
          </w:p>
        </w:tc>
        <w:tc>
          <w:tcPr>
            <w:tcW w:type="dxa" w:w="6530"/>
            <w:vAlign w:val="center"/>
            <w:tcMar>
              <w:top w:w="80" w:type="dxa"/>
              <w:bottom w:w="80" w:type="dxa"/>
              <w:left w:w="100" w:type="dxa"/>
              <w:right w:w="100" w:type="dxa"/>
            </w:tcMar>
            <w:shd w:fill="DCE6EB"/>
          </w:tcPr>
          <w:p>
            <w:pPr>
              <w:keepNext/>
              <w:spacing w:after="0" w:before="0" w:line="252" w:lineRule="auto"/>
            </w:pPr>
            <w:r>
              <w:rPr>
                <w:b/>
                <w:i w:val="0"/>
                <w:sz w:val="20"/>
              </w:rPr>
              <w:t>Operating decision</w:t>
            </w:r>
          </w:p>
        </w:tc>
      </w:tr>
      <w:tr>
        <w:trPr>
          <w:cantSplit/>
        </w:trPr>
        <w:tc>
          <w:tcPr>
            <w:tcW w:type="dxa" w:w="3216"/>
            <w:vAlign w:val="center"/>
            <w:tcMar>
              <w:top w:w="80" w:type="dxa"/>
              <w:bottom w:w="80" w:type="dxa"/>
              <w:left w:w="100" w:type="dxa"/>
              <w:right w:w="100" w:type="dxa"/>
            </w:tcMar>
            <w:shd w:fill="FFFFFF"/>
          </w:tcPr>
          <w:p>
            <w:pPr>
              <w:keepNext w:val="0"/>
              <w:spacing w:after="0" w:before="0" w:line="252" w:lineRule="auto"/>
            </w:pPr>
            <w:r>
              <w:rPr>
                <w:b w:val="0"/>
                <w:i w:val="0"/>
                <w:sz w:val="20"/>
              </w:rPr>
              <w:t>Concentration and vault capacity</w:t>
            </w:r>
          </w:p>
        </w:tc>
        <w:tc>
          <w:tcPr>
            <w:tcW w:type="dxa" w:w="6530"/>
            <w:vAlign w:val="center"/>
            <w:tcMar>
              <w:top w:w="80" w:type="dxa"/>
              <w:bottom w:w="80" w:type="dxa"/>
              <w:left w:w="100" w:type="dxa"/>
              <w:right w:w="100" w:type="dxa"/>
            </w:tcMar>
            <w:shd w:fill="FFFFFF"/>
          </w:tcPr>
          <w:p>
            <w:pPr>
              <w:keepNext w:val="0"/>
              <w:spacing w:after="0" w:before="0" w:line="252" w:lineRule="auto"/>
            </w:pPr>
            <w:r>
              <w:rPr>
                <w:b w:val="0"/>
                <w:i w:val="0"/>
                <w:sz w:val="20"/>
              </w:rPr>
              <w:t>Set approved stock and throughput by exact location, including private insurance and concentration limits.</w:t>
            </w:r>
          </w:p>
        </w:tc>
      </w:tr>
      <w:tr>
        <w:trPr>
          <w:cantSplit/>
        </w:trPr>
        <w:tc>
          <w:tcPr>
            <w:tcW w:type="dxa" w:w="3216"/>
            <w:vAlign w:val="center"/>
            <w:tcMar>
              <w:top w:w="80" w:type="dxa"/>
              <w:bottom w:w="80" w:type="dxa"/>
              <w:left w:w="100" w:type="dxa"/>
              <w:right w:w="100" w:type="dxa"/>
            </w:tcMar>
            <w:shd w:fill="F4F7F8"/>
          </w:tcPr>
          <w:p>
            <w:pPr>
              <w:keepNext w:val="0"/>
              <w:spacing w:after="0" w:before="0" w:line="252" w:lineRule="auto"/>
            </w:pPr>
            <w:r>
              <w:rPr>
                <w:b w:val="0"/>
                <w:i w:val="0"/>
                <w:sz w:val="20"/>
              </w:rPr>
              <w:t>Settlement failure and temporary unallocated credit</w:t>
            </w:r>
          </w:p>
        </w:tc>
        <w:tc>
          <w:tcPr>
            <w:tcW w:type="dxa" w:w="6530"/>
            <w:vAlign w:val="center"/>
            <w:tcMar>
              <w:top w:w="80" w:type="dxa"/>
              <w:bottom w:w="80" w:type="dxa"/>
              <w:left w:w="100" w:type="dxa"/>
              <w:right w:w="100" w:type="dxa"/>
            </w:tcMar>
            <w:shd w:fill="F4F7F8"/>
          </w:tcPr>
          <w:p>
            <w:pPr>
              <w:keepNext w:val="0"/>
              <w:spacing w:after="0" w:before="0" w:line="252" w:lineRule="auto"/>
            </w:pPr>
            <w:r>
              <w:rPr>
                <w:b w:val="0"/>
                <w:i w:val="0"/>
                <w:sz w:val="20"/>
              </w:rPr>
              <w:t>Precommit replacement; specify title finality, expiry, unwind and the party bearing the shortfall.</w:t>
            </w:r>
          </w:p>
        </w:tc>
      </w:tr>
      <w:tr>
        <w:trPr>
          <w:cantSplit/>
        </w:trPr>
        <w:tc>
          <w:tcPr>
            <w:tcW w:type="dxa" w:w="3216"/>
            <w:vAlign w:val="center"/>
            <w:tcMar>
              <w:top w:w="80" w:type="dxa"/>
              <w:bottom w:w="80" w:type="dxa"/>
              <w:left w:w="100" w:type="dxa"/>
              <w:right w:w="100" w:type="dxa"/>
            </w:tcMar>
            <w:shd w:fill="FFFFFF"/>
          </w:tcPr>
          <w:p>
            <w:pPr>
              <w:keepNext w:val="0"/>
              <w:spacing w:after="0" w:before="0" w:line="252" w:lineRule="auto"/>
            </w:pPr>
            <w:r>
              <w:rPr>
                <w:b w:val="0"/>
                <w:i w:val="0"/>
                <w:sz w:val="20"/>
              </w:rPr>
              <w:t>Border closure, sanctions or transport disruption</w:t>
            </w:r>
          </w:p>
        </w:tc>
        <w:tc>
          <w:tcPr>
            <w:tcW w:type="dxa" w:w="6530"/>
            <w:vAlign w:val="center"/>
            <w:tcMar>
              <w:top w:w="80" w:type="dxa"/>
              <w:bottom w:w="80" w:type="dxa"/>
              <w:left w:w="100" w:type="dxa"/>
              <w:right w:w="100" w:type="dxa"/>
            </w:tcMar>
            <w:shd w:fill="FFFFFF"/>
          </w:tcPr>
          <w:p>
            <w:pPr>
              <w:keepNext w:val="0"/>
              <w:spacing w:after="0" w:before="0" w:line="252" w:lineRule="auto"/>
            </w:pPr>
            <w:r>
              <w:rPr>
                <w:b w:val="0"/>
                <w:i w:val="0"/>
                <w:sz w:val="20"/>
              </w:rPr>
              <w:t>Maintain eligible local delivery stock and alternate approved routes; apply documented suspension rules.</w:t>
            </w:r>
          </w:p>
        </w:tc>
      </w:tr>
      <w:tr>
        <w:trPr>
          <w:cantSplit/>
        </w:trPr>
        <w:tc>
          <w:tcPr>
            <w:tcW w:type="dxa" w:w="3216"/>
            <w:vAlign w:val="center"/>
            <w:tcMar>
              <w:top w:w="80" w:type="dxa"/>
              <w:bottom w:w="80" w:type="dxa"/>
              <w:left w:w="100" w:type="dxa"/>
              <w:right w:w="100" w:type="dxa"/>
            </w:tcMar>
            <w:shd w:fill="F4F7F8"/>
          </w:tcPr>
          <w:p>
            <w:pPr>
              <w:keepNext w:val="0"/>
              <w:spacing w:after="0" w:before="0" w:line="252" w:lineRule="auto"/>
            </w:pPr>
            <w:r>
              <w:rPr>
                <w:b w:val="0"/>
                <w:i w:val="0"/>
                <w:sz w:val="20"/>
              </w:rPr>
              <w:t>Price, location, grade, tenor and FX mismatch</w:t>
            </w:r>
          </w:p>
        </w:tc>
        <w:tc>
          <w:tcPr>
            <w:tcW w:type="dxa" w:w="6530"/>
            <w:vAlign w:val="center"/>
            <w:tcMar>
              <w:top w:w="80" w:type="dxa"/>
              <w:bottom w:w="80" w:type="dxa"/>
              <w:left w:w="100" w:type="dxa"/>
              <w:right w:w="100" w:type="dxa"/>
            </w:tcMar>
            <w:shd w:fill="F4F7F8"/>
          </w:tcPr>
          <w:p>
            <w:pPr>
              <w:keepNext w:val="0"/>
              <w:spacing w:after="0" w:before="0" w:line="252" w:lineRule="auto"/>
            </w:pPr>
            <w:r>
              <w:rPr>
                <w:b w:val="0"/>
                <w:i w:val="0"/>
                <w:sz w:val="20"/>
              </w:rPr>
              <w:t>Hedge only risks that the instrument actually covers; retain residual basis and margin limits.</w:t>
            </w:r>
          </w:p>
        </w:tc>
      </w:tr>
      <w:tr>
        <w:trPr>
          <w:cantSplit/>
        </w:trPr>
        <w:tc>
          <w:tcPr>
            <w:tcW w:type="dxa" w:w="3216"/>
            <w:vAlign w:val="center"/>
            <w:tcMar>
              <w:top w:w="80" w:type="dxa"/>
              <w:bottom w:w="80" w:type="dxa"/>
              <w:left w:w="100" w:type="dxa"/>
              <w:right w:w="100" w:type="dxa"/>
            </w:tcMar>
            <w:shd w:fill="FFFFFF"/>
          </w:tcPr>
          <w:p>
            <w:pPr>
              <w:keepNext w:val="0"/>
              <w:spacing w:after="0" w:before="0" w:line="252" w:lineRule="auto"/>
            </w:pPr>
            <w:r>
              <w:rPr>
                <w:b w:val="0"/>
                <w:i w:val="0"/>
                <w:sz w:val="20"/>
              </w:rPr>
              <w:t>Losses and conflicts</w:t>
            </w:r>
          </w:p>
        </w:tc>
        <w:tc>
          <w:tcPr>
            <w:tcW w:type="dxa" w:w="6530"/>
            <w:vAlign w:val="center"/>
            <w:tcMar>
              <w:top w:w="80" w:type="dxa"/>
              <w:bottom w:w="80" w:type="dxa"/>
              <w:left w:w="100" w:type="dxa"/>
              <w:right w:w="100" w:type="dxa"/>
            </w:tcMar>
            <w:shd w:fill="FFFFFF"/>
          </w:tcPr>
          <w:p>
            <w:pPr>
              <w:keepNext w:val="0"/>
              <w:spacing w:after="0" w:before="0" w:line="252" w:lineRule="auto"/>
            </w:pPr>
            <w:r>
              <w:rPr>
                <w:b w:val="0"/>
                <w:i w:val="0"/>
                <w:sz w:val="20"/>
              </w:rPr>
              <w:t>Agree the negative-result waterfall, independent price checks, order handling and information controls.</w:t>
            </w:r>
          </w:p>
        </w:tc>
      </w:tr>
    </w:tbl>
    <w:p>
      <w:pPr>
        <w:spacing w:after="60" w:before="0" w:line="40" w:lineRule="exact"/>
      </w:pPr>
      <w:r>
        <w:rPr>
          <w:sz w:val="4"/>
        </w:rPr>
      </w:r>
    </w:p>
    <w:p>
      <w:r>
        <w:rPr>
          <w:b w:val="0"/>
          <w:i w:val="0"/>
        </w:rPr>
        <w:t>Trade size is the smallest of available eligible stock, committed counterparties, funding, insured transport, vault handling and legal capacity.</w:t>
      </w:r>
    </w:p>
    <w:p>
      <w:pPr>
        <w:pStyle w:val="Heading3"/>
        <w:pageBreakBefore w:val="0"/>
      </w:pPr>
      <w:r>
        <w:t>Evidence and assumptions</w:t>
      </w:r>
    </w:p>
    <w:p>
      <w:hyperlink r:id="rId108">
        <w:r>
          <w:rPr>
            <w:color w:val="235779"/>
            <w:u w:val="single"/>
          </w:rPr>
          <w:t>Detailed controls</w:t>
        </w:r>
      </w:hyperlink>
    </w:p>
    <w:p>
      <w:hyperlink r:id="rId110">
        <w:r>
          <w:rPr>
            <w:color w:val="235779"/>
            <w:u w:val="single"/>
          </w:rPr>
          <w:t>44-point risk register</w:t>
        </w:r>
      </w:hyperlink>
    </w:p>
    <w:p>
      <w:bookmarkStart w:id="37" w:name="research_14"/>
      <w:pPr>
        <w:pStyle w:val="Heading1"/>
        <w:pageBreakBefore/>
      </w:pPr>
      <w:r>
        <w:t>14  Settlement: improve the cash leg and measure the result</w:t>
      </w:r>
      <w:bookmarkEnd w:id="37"/>
    </w:p>
    <w:p>
      <w:r>
        <w:rPr>
          <w:b w:val="0"/>
          <w:i w:val="0"/>
        </w:rPr>
        <w:t>September 2026 update: Citi has both commercial blockchain-enabled cash services and live transactions within a separate Swift-ledger pilot.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16"/>
        <w:gridCol w:w="6530"/>
      </w:tblGrid>
      <w:tr>
        <w:trPr>
          <w:tblHeader/>
          <w:cantSplit/>
        </w:trPr>
        <w:tc>
          <w:tcPr>
            <w:tcW w:type="dxa" w:w="3216"/>
            <w:vAlign w:val="center"/>
            <w:tcMar>
              <w:top w:w="80" w:type="dxa"/>
              <w:bottom w:w="80" w:type="dxa"/>
              <w:left w:w="100" w:type="dxa"/>
              <w:right w:w="100" w:type="dxa"/>
            </w:tcMar>
            <w:shd w:fill="DCE6EB"/>
          </w:tcPr>
          <w:p>
            <w:pPr>
              <w:keepNext/>
              <w:spacing w:after="0" w:before="0" w:line="252" w:lineRule="auto"/>
            </w:pPr>
            <w:r>
              <w:rPr>
                <w:b/>
                <w:i w:val="0"/>
                <w:sz w:val="20"/>
              </w:rPr>
              <w:t>Evidence</w:t>
            </w:r>
          </w:p>
        </w:tc>
        <w:tc>
          <w:tcPr>
            <w:tcW w:type="dxa" w:w="6530"/>
            <w:vAlign w:val="center"/>
            <w:tcMar>
              <w:top w:w="80" w:type="dxa"/>
              <w:bottom w:w="80" w:type="dxa"/>
              <w:left w:w="100" w:type="dxa"/>
              <w:right w:w="100" w:type="dxa"/>
            </w:tcMar>
            <w:shd w:fill="DCE6EB"/>
          </w:tcPr>
          <w:p>
            <w:pPr>
              <w:keepNext/>
              <w:spacing w:after="0" w:before="0" w:line="252" w:lineRule="auto"/>
            </w:pPr>
            <w:r>
              <w:rPr>
                <w:b/>
                <w:i w:val="0"/>
                <w:sz w:val="20"/>
              </w:rPr>
              <w:t>Verified status / relevance</w:t>
            </w:r>
          </w:p>
        </w:tc>
      </w:tr>
      <w:tr>
        <w:trPr>
          <w:cantSplit/>
        </w:trPr>
        <w:tc>
          <w:tcPr>
            <w:tcW w:type="dxa" w:w="3216"/>
            <w:vAlign w:val="center"/>
            <w:tcMar>
              <w:top w:w="80" w:type="dxa"/>
              <w:bottom w:w="80" w:type="dxa"/>
              <w:left w:w="100" w:type="dxa"/>
              <w:right w:w="100" w:type="dxa"/>
            </w:tcMar>
            <w:shd w:fill="FFFFFF"/>
          </w:tcPr>
          <w:p>
            <w:pPr>
              <w:keepNext w:val="0"/>
              <w:spacing w:after="0" w:before="0" w:line="252" w:lineRule="auto"/>
            </w:pPr>
            <w:r>
              <w:rPr>
                <w:b w:val="0"/>
                <w:i w:val="0"/>
                <w:sz w:val="20"/>
              </w:rPr>
              <w:t>9 July 2026: SCB go-live</w:t>
            </w:r>
          </w:p>
        </w:tc>
        <w:tc>
          <w:tcPr>
            <w:tcW w:type="dxa" w:w="6530"/>
            <w:vAlign w:val="center"/>
            <w:tcMar>
              <w:top w:w="80" w:type="dxa"/>
              <w:bottom w:w="80" w:type="dxa"/>
              <w:left w:w="100" w:type="dxa"/>
              <w:right w:w="100" w:type="dxa"/>
            </w:tcMar>
            <w:shd w:fill="FFFFFF"/>
          </w:tcPr>
          <w:p>
            <w:pPr>
              <w:keepNext w:val="0"/>
              <w:spacing w:after="0" w:before="0" w:line="252" w:lineRule="auto"/>
            </w:pPr>
            <w:r>
              <w:rPr>
                <w:b w:val="0"/>
                <w:i w:val="0"/>
                <w:sz w:val="20"/>
              </w:rPr>
              <w:t>Siam Commercial Bank became the first financial-institution client live on the integrated Citi Token Services and 24/7 USD Clearing solution. Citi describes a completed US-holiday-weekend payment from a London Citi account to an SCB beneficiary in Thailand.</w:t>
            </w:r>
          </w:p>
        </w:tc>
      </w:tr>
      <w:tr>
        <w:trPr>
          <w:cantSplit/>
        </w:trPr>
        <w:tc>
          <w:tcPr>
            <w:tcW w:type="dxa" w:w="3216"/>
            <w:vAlign w:val="center"/>
            <w:tcMar>
              <w:top w:w="80" w:type="dxa"/>
              <w:bottom w:w="80" w:type="dxa"/>
              <w:left w:w="100" w:type="dxa"/>
              <w:right w:w="100" w:type="dxa"/>
            </w:tcMar>
            <w:shd w:fill="F4F7F8"/>
          </w:tcPr>
          <w:p>
            <w:pPr>
              <w:keepNext w:val="0"/>
              <w:spacing w:after="0" w:before="0" w:line="252" w:lineRule="auto"/>
            </w:pPr>
            <w:r>
              <w:rPr>
                <w:b w:val="0"/>
                <w:i w:val="0"/>
                <w:sz w:val="20"/>
              </w:rPr>
              <w:t>2 September 2026: Citi headline</w:t>
            </w:r>
          </w:p>
        </w:tc>
        <w:tc>
          <w:tcPr>
            <w:tcW w:type="dxa" w:w="6530"/>
            <w:vAlign w:val="center"/>
            <w:tcMar>
              <w:top w:w="80" w:type="dxa"/>
              <w:bottom w:w="80" w:type="dxa"/>
              <w:left w:w="100" w:type="dxa"/>
              <w:right w:w="100" w:type="dxa"/>
            </w:tcMar>
            <w:shd w:fill="F4F7F8"/>
          </w:tcPr>
          <w:p>
            <w:pPr>
              <w:keepNext w:val="0"/>
              <w:spacing w:after="0" w:before="0" w:line="252" w:lineRule="auto"/>
            </w:pPr>
            <w:r>
              <w:rPr>
                <w:b w:val="0"/>
                <w:i w:val="0"/>
                <w:sz w:val="20"/>
              </w:rPr>
              <w:t>Citi announced completed USD transactions with FAB and OCBC on Swift’s blockchain ledger. These belong to a controlled July–December 2026 proof-of-concept phase; live transactions do not establish unrestricted commercial availability. Swift’s model uses tokenised deposit payment commitments and existing settlement systems, including RTGS, for final settlement.</w:t>
            </w:r>
          </w:p>
        </w:tc>
      </w:tr>
      <w:tr>
        <w:trPr>
          <w:cantSplit/>
        </w:trPr>
        <w:tc>
          <w:tcPr>
            <w:tcW w:type="dxa" w:w="3216"/>
            <w:vAlign w:val="center"/>
            <w:tcMar>
              <w:top w:w="80" w:type="dxa"/>
              <w:bottom w:w="80" w:type="dxa"/>
              <w:left w:w="100" w:type="dxa"/>
              <w:right w:w="100" w:type="dxa"/>
            </w:tcMar>
            <w:shd w:fill="FFFFFF"/>
          </w:tcPr>
          <w:p>
            <w:pPr>
              <w:keepNext w:val="0"/>
              <w:spacing w:after="0" w:before="0" w:line="252" w:lineRule="auto"/>
            </w:pPr>
            <w:r>
              <w:rPr>
                <w:b w:val="0"/>
                <w:i w:val="0"/>
                <w:sz w:val="20"/>
              </w:rPr>
              <w:t>5 September transaction / 7 September announcement</w:t>
            </w:r>
          </w:p>
        </w:tc>
        <w:tc>
          <w:tcPr>
            <w:tcW w:type="dxa" w:w="6530"/>
            <w:vAlign w:val="center"/>
            <w:tcMar>
              <w:top w:w="80" w:type="dxa"/>
              <w:bottom w:w="80" w:type="dxa"/>
              <w:left w:w="100" w:type="dxa"/>
              <w:right w:w="100" w:type="dxa"/>
            </w:tcMar>
            <w:shd w:fill="FFFFFF"/>
          </w:tcPr>
          <w:p>
            <w:pPr>
              <w:keepNext w:val="0"/>
              <w:spacing w:after="0" w:before="0" w:line="252" w:lineRule="auto"/>
            </w:pPr>
            <w:r>
              <w:rPr>
                <w:b w:val="0"/>
                <w:i w:val="0"/>
                <w:sz w:val="20"/>
              </w:rPr>
              <w:t>DBS reports a Singapore–US weekend USD payment with Citi New York using tokenised deposits on Swift’s ledger, completed in minutes. This is further execution evidence within the ledger initiative, not a bullion-title service.</w:t>
            </w:r>
          </w:p>
        </w:tc>
      </w:tr>
      <w:tr>
        <w:trPr>
          <w:cantSplit/>
        </w:trPr>
        <w:tc>
          <w:tcPr>
            <w:tcW w:type="dxa" w:w="3216"/>
            <w:vAlign w:val="center"/>
            <w:tcMar>
              <w:top w:w="80" w:type="dxa"/>
              <w:bottom w:w="80" w:type="dxa"/>
              <w:left w:w="100" w:type="dxa"/>
              <w:right w:w="100" w:type="dxa"/>
            </w:tcMar>
            <w:shd w:fill="F4F7F8"/>
          </w:tcPr>
          <w:p>
            <w:pPr>
              <w:keepNext w:val="0"/>
              <w:spacing w:after="0" w:before="0" w:line="252" w:lineRule="auto"/>
            </w:pPr>
            <w:r>
              <w:rPr>
                <w:b w:val="0"/>
                <w:i w:val="0"/>
                <w:sz w:val="20"/>
              </w:rPr>
              <w:t>Proposed partnership application</w:t>
            </w:r>
          </w:p>
        </w:tc>
        <w:tc>
          <w:tcPr>
            <w:tcW w:type="dxa" w:w="6530"/>
            <w:vAlign w:val="center"/>
            <w:tcMar>
              <w:top w:w="80" w:type="dxa"/>
              <w:bottom w:w="80" w:type="dxa"/>
              <w:left w:w="100" w:type="dxa"/>
              <w:right w:w="100" w:type="dxa"/>
            </w:tcMar>
            <w:shd w:fill="F4F7F8"/>
          </w:tcPr>
          <w:p>
            <w:pPr>
              <w:keepNext w:val="0"/>
              <w:spacing w:after="0" w:before="0" w:line="252" w:lineRule="auto"/>
            </w:pPr>
            <w:r>
              <w:rPr>
                <w:b w:val="0"/>
                <w:i w:val="0"/>
                <w:sz w:val="20"/>
              </w:rPr>
              <w:t>Connect eligible cash services to approved payment instructions, title confirmation and shared bar/cash reconciliation. Confirm accounts, currencies, limits, interfaces, finality and exception handling with BlackRock and the trustee. No automated bullion delivery or fund onboarding is established by these announcements.</w:t>
            </w:r>
          </w:p>
        </w:tc>
      </w:tr>
    </w:tbl>
    <w:p>
      <w:pPr>
        <w:spacing w:after="60" w:before="0" w:line="40" w:lineRule="exact"/>
      </w:pPr>
      <w:r>
        <w:rPr>
          <w:sz w:val="4"/>
        </w:rPr>
      </w:r>
    </w:p>
    <w:p>
      <w:r>
        <w:rPr>
          <w:b w:val="0"/>
          <w:i w:val="0"/>
        </w:rPr>
        <w:t>Proposed bullion integration: use available Citi cash services as a foundation, then connect title confirmation, payment and reconciliation under agreed controls.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16"/>
        <w:gridCol w:w="6530"/>
      </w:tblGrid>
      <w:tr>
        <w:trPr>
          <w:tblHeader/>
          <w:cantSplit/>
        </w:trPr>
        <w:tc>
          <w:tcPr>
            <w:tcW w:type="dxa" w:w="3216"/>
            <w:vAlign w:val="center"/>
            <w:tcMar>
              <w:top w:w="80" w:type="dxa"/>
              <w:bottom w:w="80" w:type="dxa"/>
              <w:left w:w="100" w:type="dxa"/>
              <w:right w:w="100" w:type="dxa"/>
            </w:tcMar>
            <w:shd w:fill="DCE6EB"/>
          </w:tcPr>
          <w:p>
            <w:pPr>
              <w:keepNext/>
              <w:spacing w:after="0" w:before="0" w:line="252" w:lineRule="auto"/>
            </w:pPr>
            <w:r>
              <w:rPr>
                <w:b/>
                <w:i w:val="0"/>
                <w:sz w:val="20"/>
              </w:rPr>
              <w:t>Capability</w:t>
            </w:r>
          </w:p>
        </w:tc>
        <w:tc>
          <w:tcPr>
            <w:tcW w:type="dxa" w:w="6530"/>
            <w:vAlign w:val="center"/>
            <w:tcMar>
              <w:top w:w="80" w:type="dxa"/>
              <w:bottom w:w="80" w:type="dxa"/>
              <w:left w:w="100" w:type="dxa"/>
              <w:right w:w="100" w:type="dxa"/>
            </w:tcMar>
            <w:shd w:fill="DCE6EB"/>
          </w:tcPr>
          <w:p>
            <w:pPr>
              <w:keepNext/>
              <w:spacing w:after="0" w:before="0" w:line="252" w:lineRule="auto"/>
            </w:pPr>
            <w:r>
              <w:rPr>
                <w:b/>
                <w:i w:val="0"/>
                <w:sz w:val="20"/>
              </w:rPr>
              <w:t>Status / proposed application</w:t>
            </w:r>
          </w:p>
        </w:tc>
      </w:tr>
      <w:tr>
        <w:trPr>
          <w:cantSplit/>
        </w:trPr>
        <w:tc>
          <w:tcPr>
            <w:tcW w:type="dxa" w:w="3216"/>
            <w:vAlign w:val="center"/>
            <w:tcMar>
              <w:top w:w="80" w:type="dxa"/>
              <w:bottom w:w="80" w:type="dxa"/>
              <w:left w:w="100" w:type="dxa"/>
              <w:right w:w="100" w:type="dxa"/>
            </w:tcMar>
            <w:shd w:fill="FFFFFF"/>
          </w:tcPr>
          <w:p>
            <w:pPr>
              <w:keepNext w:val="0"/>
              <w:spacing w:after="0" w:before="0" w:line="252" w:lineRule="auto"/>
            </w:pPr>
            <w:r>
              <w:rPr>
                <w:b w:val="0"/>
                <w:i w:val="0"/>
                <w:sz w:val="20"/>
              </w:rPr>
              <w:t>Citi Integrated Digital Assets Platform</w:t>
            </w:r>
          </w:p>
        </w:tc>
        <w:tc>
          <w:tcPr>
            <w:tcW w:type="dxa" w:w="6530"/>
            <w:vAlign w:val="center"/>
            <w:tcMar>
              <w:top w:w="80" w:type="dxa"/>
              <w:bottom w:w="80" w:type="dxa"/>
              <w:left w:w="100" w:type="dxa"/>
              <w:right w:w="100" w:type="dxa"/>
            </w:tcMar>
            <w:shd w:fill="FFFFFF"/>
          </w:tcPr>
          <w:p>
            <w:pPr>
              <w:keepNext w:val="0"/>
              <w:spacing w:after="0" w:before="0" w:line="252" w:lineRule="auto"/>
            </w:pPr>
            <w:r>
              <w:rPr>
                <w:b w:val="0"/>
                <w:i w:val="0"/>
                <w:sz w:val="20"/>
              </w:rPr>
              <w:t>Citi describes infrastructure for tokenised asset issuance, transfer, custody and programmability. This is evidence of institutional capability, not a ready-made SLV bullion settlement product.</w:t>
            </w:r>
          </w:p>
        </w:tc>
      </w:tr>
      <w:tr>
        <w:trPr>
          <w:cantSplit/>
        </w:trPr>
        <w:tc>
          <w:tcPr>
            <w:tcW w:type="dxa" w:w="3216"/>
            <w:vAlign w:val="center"/>
            <w:tcMar>
              <w:top w:w="80" w:type="dxa"/>
              <w:bottom w:w="80" w:type="dxa"/>
              <w:left w:w="100" w:type="dxa"/>
              <w:right w:w="100" w:type="dxa"/>
            </w:tcMar>
            <w:shd w:fill="F4F7F8"/>
          </w:tcPr>
          <w:p>
            <w:pPr>
              <w:keepNext w:val="0"/>
              <w:spacing w:after="0" w:before="0" w:line="252" w:lineRule="auto"/>
            </w:pPr>
            <w:r>
              <w:rPr>
                <w:b w:val="0"/>
                <w:i w:val="0"/>
                <w:sz w:val="20"/>
              </w:rPr>
              <w:t>Token Services for Cash</w:t>
            </w:r>
          </w:p>
        </w:tc>
        <w:tc>
          <w:tcPr>
            <w:tcW w:type="dxa" w:w="6530"/>
            <w:vAlign w:val="center"/>
            <w:tcMar>
              <w:top w:w="80" w:type="dxa"/>
              <w:bottom w:w="80" w:type="dxa"/>
              <w:left w:w="100" w:type="dxa"/>
              <w:right w:w="100" w:type="dxa"/>
            </w:tcMar>
            <w:shd w:fill="F4F7F8"/>
          </w:tcPr>
          <w:p>
            <w:pPr>
              <w:keepNext w:val="0"/>
              <w:spacing w:after="0" w:before="0" w:line="252" w:lineRule="auto"/>
            </w:pPr>
            <w:r>
              <w:rPr>
                <w:b w:val="0"/>
                <w:i w:val="0"/>
                <w:sz w:val="20"/>
              </w:rPr>
              <w:t>Citi’s strategy page describes 24/7 transfers between participating branches, subject to limits. The September 2025 release reports Cash live in the US, UK, Singapore and Hong Kong, and integration with 24/7 USD Clearing.</w:t>
            </w:r>
          </w:p>
        </w:tc>
      </w:tr>
      <w:tr>
        <w:trPr>
          <w:cantSplit/>
        </w:trPr>
        <w:tc>
          <w:tcPr>
            <w:tcW w:type="dxa" w:w="3216"/>
            <w:vAlign w:val="center"/>
            <w:tcMar>
              <w:top w:w="80" w:type="dxa"/>
              <w:bottom w:w="80" w:type="dxa"/>
              <w:left w:w="100" w:type="dxa"/>
              <w:right w:w="100" w:type="dxa"/>
            </w:tcMar>
            <w:shd w:fill="FFFFFF"/>
          </w:tcPr>
          <w:p>
            <w:pPr>
              <w:keepNext w:val="0"/>
              <w:spacing w:after="0" w:before="0" w:line="252" w:lineRule="auto"/>
            </w:pPr>
            <w:r>
              <w:rPr>
                <w:b w:val="0"/>
                <w:i w:val="0"/>
                <w:sz w:val="20"/>
              </w:rPr>
              <w:t>Token Services for Trade</w:t>
            </w:r>
          </w:p>
        </w:tc>
        <w:tc>
          <w:tcPr>
            <w:tcW w:type="dxa" w:w="6530"/>
            <w:vAlign w:val="center"/>
            <w:tcMar>
              <w:top w:w="80" w:type="dxa"/>
              <w:bottom w:w="80" w:type="dxa"/>
              <w:left w:w="100" w:type="dxa"/>
              <w:right w:w="100" w:type="dxa"/>
            </w:tcMar>
            <w:shd w:fill="FFFFFF"/>
          </w:tcPr>
          <w:p>
            <w:pPr>
              <w:keepNext w:val="0"/>
              <w:spacing w:after="0" w:before="0" w:line="252" w:lineRule="auto"/>
            </w:pPr>
            <w:r>
              <w:rPr>
                <w:b w:val="0"/>
                <w:i w:val="0"/>
                <w:sz w:val="20"/>
              </w:rPr>
              <w:t>The linked strategy page labels Trade pilot-mode. Do not apply its status or timing claims to bullion-title release.</w:t>
            </w:r>
          </w:p>
        </w:tc>
      </w:tr>
      <w:tr>
        <w:trPr>
          <w:cantSplit/>
        </w:trPr>
        <w:tc>
          <w:tcPr>
            <w:tcW w:type="dxa" w:w="3216"/>
            <w:vAlign w:val="center"/>
            <w:tcMar>
              <w:top w:w="80" w:type="dxa"/>
              <w:bottom w:w="80" w:type="dxa"/>
              <w:left w:w="100" w:type="dxa"/>
              <w:right w:w="100" w:type="dxa"/>
            </w:tcMar>
            <w:shd w:fill="F4F7F8"/>
          </w:tcPr>
          <w:p>
            <w:pPr>
              <w:keepNext w:val="0"/>
              <w:spacing w:after="0" w:before="0" w:line="252" w:lineRule="auto"/>
            </w:pPr>
            <w:r>
              <w:rPr>
                <w:b w:val="0"/>
                <w:i w:val="0"/>
                <w:sz w:val="20"/>
              </w:rPr>
              <w:t>Integration to test</w:t>
            </w:r>
          </w:p>
        </w:tc>
        <w:tc>
          <w:tcPr>
            <w:tcW w:type="dxa" w:w="6530"/>
            <w:vAlign w:val="center"/>
            <w:tcMar>
              <w:top w:w="80" w:type="dxa"/>
              <w:bottom w:w="80" w:type="dxa"/>
              <w:left w:w="100" w:type="dxa"/>
              <w:right w:w="100" w:type="dxa"/>
            </w:tcMar>
            <w:shd w:fill="F4F7F8"/>
          </w:tcPr>
          <w:p>
            <w:pPr>
              <w:keepNext w:val="0"/>
              <w:spacing w:after="0" w:before="0" w:line="252" w:lineRule="auto"/>
            </w:pPr>
            <w:r>
              <w:rPr>
                <w:b w:val="0"/>
                <w:i w:val="0"/>
                <w:sz w:val="20"/>
              </w:rPr>
              <w:t>Map eligible accounts, currencies, transaction limits, trustee instructions, title finality, interfaces and failure recovery. Measure prefunding hours, payment latency, reconciliation breaks and settlement failures against the current process.</w:t>
            </w:r>
          </w:p>
        </w:tc>
      </w:tr>
    </w:tbl>
    <w:p>
      <w:pPr>
        <w:spacing w:after="60" w:before="0" w:line="40" w:lineRule="exact"/>
      </w:pPr>
      <w:r>
        <w:rPr>
          <w:sz w:val="4"/>
        </w:rPr>
      </w:r>
    </w:p>
    <w:p>
      <w:r>
        <w:rPr>
          <w:b w:val="0"/>
          <w:i w:val="0"/>
        </w:rPr>
        <w:t>Citi’s documented cash capabilities offer a separate operational opportunity where the accounts, route and transaction limits qualify.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16"/>
        <w:gridCol w:w="6530"/>
      </w:tblGrid>
      <w:tr>
        <w:trPr>
          <w:tblHeader/>
          <w:cantSplit/>
        </w:trPr>
        <w:tc>
          <w:tcPr>
            <w:tcW w:type="dxa" w:w="3216"/>
            <w:vAlign w:val="center"/>
            <w:tcMar>
              <w:top w:w="80" w:type="dxa"/>
              <w:bottom w:w="80" w:type="dxa"/>
              <w:left w:w="100" w:type="dxa"/>
              <w:right w:w="100" w:type="dxa"/>
            </w:tcMar>
            <w:shd w:fill="DCE6EB"/>
          </w:tcPr>
          <w:p>
            <w:pPr>
              <w:keepNext/>
              <w:spacing w:after="0" w:before="0" w:line="252" w:lineRule="auto"/>
            </w:pPr>
            <w:r>
              <w:rPr>
                <w:b/>
                <w:i w:val="0"/>
                <w:sz w:val="20"/>
              </w:rPr>
              <w:t>Settlement record</w:t>
            </w:r>
          </w:p>
        </w:tc>
        <w:tc>
          <w:tcPr>
            <w:tcW w:type="dxa" w:w="6530"/>
            <w:vAlign w:val="center"/>
            <w:tcMar>
              <w:top w:w="80" w:type="dxa"/>
              <w:bottom w:w="80" w:type="dxa"/>
              <w:left w:w="100" w:type="dxa"/>
              <w:right w:w="100" w:type="dxa"/>
            </w:tcMar>
            <w:shd w:fill="DCE6EB"/>
          </w:tcPr>
          <w:p>
            <w:pPr>
              <w:keepNext/>
              <w:spacing w:after="0" w:before="0" w:line="252" w:lineRule="auto"/>
            </w:pPr>
            <w:r>
              <w:rPr>
                <w:b/>
                <w:i w:val="0"/>
                <w:sz w:val="20"/>
              </w:rPr>
              <w:t>Required evidence</w:t>
            </w:r>
          </w:p>
        </w:tc>
      </w:tr>
      <w:tr>
        <w:trPr>
          <w:cantSplit/>
        </w:trPr>
        <w:tc>
          <w:tcPr>
            <w:tcW w:type="dxa" w:w="3216"/>
            <w:vAlign w:val="center"/>
            <w:tcMar>
              <w:top w:w="80" w:type="dxa"/>
              <w:bottom w:w="80" w:type="dxa"/>
              <w:left w:w="100" w:type="dxa"/>
              <w:right w:w="100" w:type="dxa"/>
            </w:tcMar>
            <w:shd w:fill="FFFFFF"/>
          </w:tcPr>
          <w:p>
            <w:pPr>
              <w:keepNext w:val="0"/>
              <w:spacing w:after="0" w:before="0" w:line="252" w:lineRule="auto"/>
            </w:pPr>
            <w:r>
              <w:rPr>
                <w:b w:val="0"/>
                <w:i w:val="0"/>
                <w:sz w:val="20"/>
              </w:rPr>
              <w:t>Cash</w:t>
            </w:r>
          </w:p>
        </w:tc>
        <w:tc>
          <w:tcPr>
            <w:tcW w:type="dxa" w:w="6530"/>
            <w:vAlign w:val="center"/>
            <w:tcMar>
              <w:top w:w="80" w:type="dxa"/>
              <w:bottom w:w="80" w:type="dxa"/>
              <w:left w:w="100" w:type="dxa"/>
              <w:right w:w="100" w:type="dxa"/>
            </w:tcMar>
            <w:shd w:fill="FFFFFF"/>
          </w:tcPr>
          <w:p>
            <w:pPr>
              <w:keepNext w:val="0"/>
              <w:spacing w:after="0" w:before="0" w:line="252" w:lineRule="auto"/>
            </w:pPr>
            <w:r>
              <w:rPr>
                <w:b w:val="0"/>
                <w:i w:val="0"/>
                <w:sz w:val="20"/>
              </w:rPr>
              <w:t>Payment finality, account eligibility, funding time and charges.</w:t>
            </w:r>
          </w:p>
        </w:tc>
      </w:tr>
      <w:tr>
        <w:trPr>
          <w:cantSplit/>
        </w:trPr>
        <w:tc>
          <w:tcPr>
            <w:tcW w:type="dxa" w:w="3216"/>
            <w:vAlign w:val="center"/>
            <w:tcMar>
              <w:top w:w="80" w:type="dxa"/>
              <w:bottom w:w="80" w:type="dxa"/>
              <w:left w:w="100" w:type="dxa"/>
              <w:right w:w="100" w:type="dxa"/>
            </w:tcMar>
            <w:shd w:fill="F4F7F8"/>
          </w:tcPr>
          <w:p>
            <w:pPr>
              <w:keepNext w:val="0"/>
              <w:spacing w:after="0" w:before="0" w:line="252" w:lineRule="auto"/>
            </w:pPr>
            <w:r>
              <w:rPr>
                <w:b w:val="0"/>
                <w:i w:val="0"/>
                <w:sz w:val="20"/>
              </w:rPr>
              <w:t>ETF securities</w:t>
            </w:r>
          </w:p>
        </w:tc>
        <w:tc>
          <w:tcPr>
            <w:tcW w:type="dxa" w:w="6530"/>
            <w:vAlign w:val="center"/>
            <w:tcMar>
              <w:top w:w="80" w:type="dxa"/>
              <w:bottom w:w="80" w:type="dxa"/>
              <w:left w:w="100" w:type="dxa"/>
              <w:right w:w="100" w:type="dxa"/>
            </w:tcMar>
            <w:shd w:fill="F4F7F8"/>
          </w:tcPr>
          <w:p>
            <w:pPr>
              <w:keepNext w:val="0"/>
              <w:spacing w:after="0" w:before="0" w:line="252" w:lineRule="auto"/>
            </w:pPr>
            <w:r>
              <w:rPr>
                <w:b w:val="0"/>
                <w:i w:val="0"/>
                <w:sz w:val="20"/>
              </w:rPr>
              <w:t>Accepted authorised participant order, current cutoffs, The Depository Trust Company delivery and cancellation/issuance.</w:t>
            </w:r>
          </w:p>
        </w:tc>
      </w:tr>
      <w:tr>
        <w:trPr>
          <w:cantSplit/>
        </w:trPr>
        <w:tc>
          <w:tcPr>
            <w:tcW w:type="dxa" w:w="3216"/>
            <w:vAlign w:val="center"/>
            <w:tcMar>
              <w:top w:w="80" w:type="dxa"/>
              <w:bottom w:w="80" w:type="dxa"/>
              <w:left w:w="100" w:type="dxa"/>
              <w:right w:w="100" w:type="dxa"/>
            </w:tcMar>
            <w:shd w:fill="FFFFFF"/>
          </w:tcPr>
          <w:p>
            <w:pPr>
              <w:keepNext w:val="0"/>
              <w:spacing w:after="0" w:before="0" w:line="252" w:lineRule="auto"/>
            </w:pPr>
            <w:r>
              <w:rPr>
                <w:b w:val="0"/>
                <w:i w:val="0"/>
                <w:sz w:val="20"/>
              </w:rPr>
              <w:t>Allocated bullion</w:t>
            </w:r>
          </w:p>
        </w:tc>
        <w:tc>
          <w:tcPr>
            <w:tcW w:type="dxa" w:w="6530"/>
            <w:vAlign w:val="center"/>
            <w:tcMar>
              <w:top w:w="80" w:type="dxa"/>
              <w:bottom w:w="80" w:type="dxa"/>
              <w:left w:w="100" w:type="dxa"/>
              <w:right w:w="100" w:type="dxa"/>
            </w:tcMar>
            <w:shd w:fill="FFFFFF"/>
          </w:tcPr>
          <w:p>
            <w:pPr>
              <w:keepNext w:val="0"/>
              <w:spacing w:after="0" w:before="0" w:line="252" w:lineRule="auto"/>
            </w:pPr>
            <w:r>
              <w:rPr>
                <w:b w:val="0"/>
                <w:i w:val="0"/>
                <w:sz w:val="20"/>
              </w:rPr>
              <w:t>Bar appropriation, title, release and replacement confirmation.</w:t>
            </w:r>
          </w:p>
        </w:tc>
      </w:tr>
      <w:tr>
        <w:trPr>
          <w:cantSplit/>
        </w:trPr>
        <w:tc>
          <w:tcPr>
            <w:tcW w:type="dxa" w:w="3216"/>
            <w:vAlign w:val="center"/>
            <w:tcMar>
              <w:top w:w="80" w:type="dxa"/>
              <w:bottom w:w="80" w:type="dxa"/>
              <w:left w:w="100" w:type="dxa"/>
              <w:right w:w="100" w:type="dxa"/>
            </w:tcMar>
            <w:shd w:fill="F4F7F8"/>
          </w:tcPr>
          <w:p>
            <w:pPr>
              <w:keepNext w:val="0"/>
              <w:spacing w:after="0" w:before="0" w:line="252" w:lineRule="auto"/>
            </w:pPr>
            <w:r>
              <w:rPr>
                <w:b w:val="0"/>
                <w:i w:val="0"/>
                <w:sz w:val="20"/>
              </w:rPr>
              <w:t>Customs and physical delivery</w:t>
            </w:r>
          </w:p>
        </w:tc>
        <w:tc>
          <w:tcPr>
            <w:tcW w:type="dxa" w:w="6530"/>
            <w:vAlign w:val="center"/>
            <w:tcMar>
              <w:top w:w="80" w:type="dxa"/>
              <w:bottom w:w="80" w:type="dxa"/>
              <w:left w:w="100" w:type="dxa"/>
              <w:right w:w="100" w:type="dxa"/>
            </w:tcMar>
            <w:shd w:fill="F4F7F8"/>
          </w:tcPr>
          <w:p>
            <w:pPr>
              <w:keepNext w:val="0"/>
              <w:spacing w:after="0" w:before="0" w:line="252" w:lineRule="auto"/>
            </w:pPr>
            <w:r>
              <w:rPr>
                <w:b w:val="0"/>
                <w:i w:val="0"/>
                <w:sz w:val="20"/>
              </w:rPr>
              <w:t>Entry/release, carrier receipt and receiving-vault acceptance.</w:t>
            </w:r>
          </w:p>
        </w:tc>
      </w:tr>
    </w:tbl>
    <w:p>
      <w:pPr>
        <w:spacing w:after="60" w:before="0" w:line="40" w:lineRule="exact"/>
      </w:pPr>
      <w:r>
        <w:rPr>
          <w:sz w:val="4"/>
        </w:rPr>
      </w:r>
    </w:p>
    <w:p>
      <w:pPr>
        <w:spacing w:after="100"/>
      </w:pPr>
      <w:r>
        <w:rPr>
          <w:b w:val="0"/>
          <w:i w:val="0"/>
          <w:sz w:val="18"/>
        </w:rPr>
        <w:t>At $60/oz and illustrative 5% ACT/365 funding, removing one day from 52.632m eligible annual ounces saves about $721k before fees. It is already counted if embedded in the 12¢ cost assumption. Citi authorised participant status does not establish a bullion-custody appointment.</w:t>
      </w:r>
    </w:p>
    <w:p>
      <w:pPr>
        <w:pStyle w:val="Heading3"/>
        <w:pageBreakBefore w:val="0"/>
      </w:pPr>
      <w:r>
        <w:t>Evidence and assumptions</w:t>
      </w:r>
    </w:p>
    <w:p>
      <w:hyperlink r:id="rId111">
        <w:r>
          <w:rPr>
            <w:color w:val="235779"/>
            <w:u w:val="single"/>
          </w:rPr>
          <w:t>Citi Token Services</w:t>
        </w:r>
      </w:hyperlink>
    </w:p>
    <w:p>
      <w:hyperlink r:id="rId112">
        <w:r>
          <w:rPr>
            <w:color w:val="235779"/>
            <w:u w:val="single"/>
          </w:rPr>
          <w:t>Citi capability evidence</w:t>
        </w:r>
      </w:hyperlink>
    </w:p>
    <w:p>
      <w:hyperlink r:id="rId97">
        <w:r>
          <w:rPr>
            <w:color w:val="235779"/>
            <w:u w:val="single"/>
          </w:rPr>
          <w:t>Funding calculation</w:t>
        </w:r>
      </w:hyperlink>
    </w:p>
    <w:p>
      <w:pPr>
        <w:pStyle w:val="Heading3"/>
        <w:pageBreakBefore w:val="0"/>
      </w:pPr>
      <w:r>
        <w:t>Evidence and assumptions</w:t>
      </w:r>
    </w:p>
    <w:p>
      <w:hyperlink r:id="rId113">
        <w:r>
          <w:rPr>
            <w:color w:val="235779"/>
            <w:u w:val="single"/>
          </w:rPr>
          <w:t>Citi strategy page</w:t>
        </w:r>
      </w:hyperlink>
    </w:p>
    <w:p>
      <w:hyperlink r:id="rId114">
        <w:r>
          <w:rPr>
            <w:color w:val="235779"/>
            <w:u w:val="single"/>
          </w:rPr>
          <w:t>29 September 2025 Citi announcement</w:t>
        </w:r>
      </w:hyperlink>
    </w:p>
    <w:p>
      <w:pPr>
        <w:pStyle w:val="Heading3"/>
        <w:pageBreakBefore w:val="0"/>
      </w:pPr>
      <w:r>
        <w:t>Evidence and assumptions</w:t>
      </w:r>
    </w:p>
    <w:p>
      <w:hyperlink r:id="rId115">
        <w:r>
          <w:rPr>
            <w:color w:val="235779"/>
            <w:u w:val="single"/>
          </w:rPr>
          <w:t>Citi: live Swift-ledger transactions</w:t>
        </w:r>
      </w:hyperlink>
    </w:p>
    <w:p>
      <w:hyperlink r:id="rId116">
        <w:r>
          <w:rPr>
            <w:color w:val="235779"/>
            <w:u w:val="single"/>
          </w:rPr>
          <w:t>Citi: SCB commercial launch</w:t>
        </w:r>
      </w:hyperlink>
    </w:p>
    <w:p>
      <w:hyperlink r:id="rId117">
        <w:r>
          <w:rPr>
            <w:color w:val="235779"/>
            <w:u w:val="single"/>
          </w:rPr>
          <w:t>DBS: weekend USD transaction</w:t>
        </w:r>
      </w:hyperlink>
    </w:p>
    <w:p>
      <w:hyperlink r:id="rId118">
        <w:r>
          <w:rPr>
            <w:color w:val="235779"/>
            <w:u w:val="single"/>
          </w:rPr>
          <w:t>Verified headlines and design boundaries</w:t>
        </w:r>
      </w:hyperlink>
    </w:p>
    <w:p>
      <w:bookmarkStart w:id="38" w:name="research_15"/>
      <w:pPr>
        <w:pStyle w:val="Heading1"/>
        <w:pageBreakBefore/>
      </w:pPr>
      <w:r>
        <w:t>15  Rules and permissions by jurisdiction</w:t>
      </w:r>
      <w:bookmarkEnd w:id="38"/>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9"/>
        <w:gridCol w:w="3703"/>
        <w:gridCol w:w="4093"/>
      </w:tblGrid>
      <w:tr>
        <w:trPr>
          <w:tblHeader/>
          <w:cantSplit/>
        </w:trPr>
        <w:tc>
          <w:tcPr>
            <w:tcW w:type="dxa" w:w="1949"/>
            <w:vAlign w:val="center"/>
            <w:tcMar>
              <w:top w:w="80" w:type="dxa"/>
              <w:bottom w:w="80" w:type="dxa"/>
              <w:left w:w="100" w:type="dxa"/>
              <w:right w:w="100" w:type="dxa"/>
            </w:tcMar>
            <w:shd w:fill="DCE6EB"/>
          </w:tcPr>
          <w:p>
            <w:pPr>
              <w:keepNext/>
              <w:spacing w:after="0" w:before="0" w:line="252" w:lineRule="auto"/>
            </w:pPr>
            <w:r>
              <w:rPr>
                <w:b/>
                <w:i w:val="0"/>
                <w:sz w:val="20"/>
              </w:rPr>
              <w:t>Jurisdiction / product</w:t>
            </w:r>
          </w:p>
        </w:tc>
        <w:tc>
          <w:tcPr>
            <w:tcW w:type="dxa" w:w="3703"/>
            <w:vAlign w:val="center"/>
            <w:tcMar>
              <w:top w:w="80" w:type="dxa"/>
              <w:bottom w:w="80" w:type="dxa"/>
              <w:left w:w="100" w:type="dxa"/>
              <w:right w:w="100" w:type="dxa"/>
            </w:tcMar>
            <w:shd w:fill="DCE6EB"/>
          </w:tcPr>
          <w:p>
            <w:pPr>
              <w:keepNext/>
              <w:spacing w:after="0" w:before="0" w:line="252" w:lineRule="auto"/>
            </w:pPr>
            <w:r>
              <w:rPr>
                <w:b/>
                <w:i w:val="0"/>
                <w:sz w:val="20"/>
              </w:rPr>
              <w:t>Rule or constraint</w:t>
            </w:r>
          </w:p>
        </w:tc>
        <w:tc>
          <w:tcPr>
            <w:tcW w:type="dxa" w:w="4093"/>
            <w:vAlign w:val="center"/>
            <w:tcMar>
              <w:top w:w="80" w:type="dxa"/>
              <w:bottom w:w="80" w:type="dxa"/>
              <w:left w:w="100" w:type="dxa"/>
              <w:right w:w="100" w:type="dxa"/>
            </w:tcMar>
            <w:shd w:fill="DCE6EB"/>
          </w:tcPr>
          <w:p>
            <w:pPr>
              <w:keepNext/>
              <w:spacing w:after="0" w:before="0" w:line="252" w:lineRule="auto"/>
            </w:pPr>
            <w:r>
              <w:rPr>
                <w:b/>
                <w:i w:val="0"/>
                <w:sz w:val="20"/>
              </w:rPr>
              <w:t>Decision needed</w:t>
            </w:r>
          </w:p>
        </w:tc>
      </w:tr>
      <w:tr>
        <w:trPr>
          <w:cantSplit/>
        </w:trPr>
        <w:tc>
          <w:tcPr>
            <w:tcW w:type="dxa" w:w="1949"/>
            <w:vAlign w:val="center"/>
            <w:tcMar>
              <w:top w:w="80" w:type="dxa"/>
              <w:bottom w:w="80" w:type="dxa"/>
              <w:left w:w="100" w:type="dxa"/>
              <w:right w:w="100" w:type="dxa"/>
            </w:tcMar>
            <w:shd w:fill="FFFFFF"/>
          </w:tcPr>
          <w:p>
            <w:pPr>
              <w:keepNext w:val="0"/>
              <w:spacing w:after="0" w:before="0" w:line="252" w:lineRule="auto"/>
            </w:pPr>
            <w:r>
              <w:rPr>
                <w:b w:val="0"/>
                <w:i w:val="0"/>
                <w:sz w:val="20"/>
              </w:rPr>
              <w:t>United States · SLV</w:t>
            </w:r>
          </w:p>
        </w:tc>
        <w:tc>
          <w:tcPr>
            <w:tcW w:type="dxa" w:w="3703"/>
            <w:vAlign w:val="center"/>
            <w:tcMar>
              <w:top w:w="80" w:type="dxa"/>
              <w:bottom w:w="80" w:type="dxa"/>
              <w:left w:w="100" w:type="dxa"/>
              <w:right w:w="100" w:type="dxa"/>
            </w:tcMar>
            <w:shd w:fill="FFFFFF"/>
          </w:tcPr>
          <w:p>
            <w:pPr>
              <w:keepNext w:val="0"/>
              <w:spacing w:after="0" w:before="0" w:line="252" w:lineRule="auto"/>
            </w:pPr>
            <w:r>
              <w:rPr>
                <w:b w:val="0"/>
                <w:i w:val="0"/>
                <w:sz w:val="20"/>
              </w:rPr>
              <w:t>Trust §§2.3(c),4.11; exact custody geography; origin/HTS/Chapter99; grantor taxation</w:t>
            </w:r>
          </w:p>
        </w:tc>
        <w:tc>
          <w:tcPr>
            <w:tcW w:type="dxa" w:w="4093"/>
            <w:vAlign w:val="center"/>
            <w:tcMar>
              <w:top w:w="80" w:type="dxa"/>
              <w:bottom w:w="80" w:type="dxa"/>
              <w:left w:w="100" w:type="dxa"/>
              <w:right w:w="100" w:type="dxa"/>
            </w:tcMar>
            <w:shd w:fill="FFFFFF"/>
          </w:tcPr>
          <w:p>
            <w:pPr>
              <w:keepNext w:val="0"/>
              <w:spacing w:after="0" w:before="0" w:line="252" w:lineRule="auto"/>
            </w:pPr>
            <w:r>
              <w:rPr>
                <w:b w:val="0"/>
                <w:i w:val="0"/>
                <w:sz w:val="20"/>
              </w:rPr>
              <w:t>Approve structure, payment route, title and tax; validate customs state of each reserve lot.</w:t>
            </w:r>
          </w:p>
        </w:tc>
      </w:tr>
      <w:tr>
        <w:trPr>
          <w:cantSplit/>
        </w:trPr>
        <w:tc>
          <w:tcPr>
            <w:tcW w:type="dxa" w:w="1949"/>
            <w:vAlign w:val="center"/>
            <w:tcMar>
              <w:top w:w="80" w:type="dxa"/>
              <w:bottom w:w="80" w:type="dxa"/>
              <w:left w:w="100" w:type="dxa"/>
              <w:right w:w="100" w:type="dxa"/>
            </w:tcMar>
            <w:shd w:fill="F4F7F8"/>
          </w:tcPr>
          <w:p>
            <w:pPr>
              <w:keepNext w:val="0"/>
              <w:spacing w:after="0" w:before="0" w:line="252" w:lineRule="auto"/>
            </w:pPr>
            <w:r>
              <w:rPr>
                <w:b w:val="0"/>
                <w:i w:val="0"/>
                <w:sz w:val="20"/>
              </w:rPr>
              <w:t>England · bullion</w:t>
            </w:r>
          </w:p>
        </w:tc>
        <w:tc>
          <w:tcPr>
            <w:tcW w:type="dxa" w:w="3703"/>
            <w:vAlign w:val="center"/>
            <w:tcMar>
              <w:top w:w="80" w:type="dxa"/>
              <w:bottom w:w="80" w:type="dxa"/>
              <w:left w:w="100" w:type="dxa"/>
              <w:right w:w="100" w:type="dxa"/>
            </w:tcMar>
            <w:shd w:fill="F4F7F8"/>
          </w:tcPr>
          <w:p>
            <w:pPr>
              <w:keepNext w:val="0"/>
              <w:spacing w:after="0" w:before="0" w:line="252" w:lineRule="auto"/>
            </w:pPr>
            <w:r>
              <w:rPr>
                <w:b w:val="0"/>
                <w:i w:val="0"/>
                <w:sz w:val="20"/>
              </w:rPr>
              <w:t>Custody terms; HMRC LBMA arrangement / terminal-market rules; export and services VAT</w:t>
            </w:r>
          </w:p>
        </w:tc>
        <w:tc>
          <w:tcPr>
            <w:tcW w:type="dxa" w:w="4093"/>
            <w:vAlign w:val="center"/>
            <w:tcMar>
              <w:top w:w="80" w:type="dxa"/>
              <w:bottom w:w="80" w:type="dxa"/>
              <w:left w:w="100" w:type="dxa"/>
              <w:right w:w="100" w:type="dxa"/>
            </w:tcMar>
            <w:shd w:fill="F4F7F8"/>
          </w:tcPr>
          <w:p>
            <w:pPr>
              <w:keepNext w:val="0"/>
              <w:spacing w:after="0" w:before="0" w:line="252" w:lineRule="auto"/>
            </w:pPr>
            <w:r>
              <w:rPr>
                <w:b w:val="0"/>
                <w:i w:val="0"/>
                <w:sz w:val="20"/>
              </w:rPr>
              <w:t>Map counterparties, physical control, principal/agent roles and tax for each leg.</w:t>
            </w:r>
          </w:p>
        </w:tc>
      </w:tr>
      <w:tr>
        <w:trPr>
          <w:cantSplit/>
        </w:trPr>
        <w:tc>
          <w:tcPr>
            <w:tcW w:type="dxa" w:w="1949"/>
            <w:vAlign w:val="center"/>
            <w:tcMar>
              <w:top w:w="80" w:type="dxa"/>
              <w:bottom w:w="80" w:type="dxa"/>
              <w:left w:w="100" w:type="dxa"/>
              <w:right w:w="100" w:type="dxa"/>
            </w:tcMar>
            <w:shd w:fill="FFFFFF"/>
          </w:tcPr>
          <w:p>
            <w:pPr>
              <w:keepNext w:val="0"/>
              <w:spacing w:after="0" w:before="0" w:line="252" w:lineRule="auto"/>
            </w:pPr>
            <w:r>
              <w:rPr>
                <w:b w:val="0"/>
                <w:i w:val="0"/>
                <w:sz w:val="20"/>
              </w:rPr>
              <w:t>Ireland / Switzerland · ETCs</w:t>
            </w:r>
          </w:p>
        </w:tc>
        <w:tc>
          <w:tcPr>
            <w:tcW w:type="dxa" w:w="3703"/>
            <w:vAlign w:val="center"/>
            <w:tcMar>
              <w:top w:w="80" w:type="dxa"/>
              <w:bottom w:w="80" w:type="dxa"/>
              <w:left w:w="100" w:type="dxa"/>
              <w:right w:w="100" w:type="dxa"/>
            </w:tcMar>
            <w:shd w:fill="FFFFFF"/>
          </w:tcPr>
          <w:p>
            <w:pPr>
              <w:keepNext w:val="0"/>
              <w:spacing w:after="0" w:before="0" w:line="252" w:lineRule="auto"/>
            </w:pPr>
            <w:r>
              <w:rPr>
                <w:b w:val="0"/>
                <w:i w:val="0"/>
                <w:sz w:val="20"/>
              </w:rPr>
              <w:t>Secured-debt and series documents; London and limited Zurich PGM custody</w:t>
            </w:r>
          </w:p>
        </w:tc>
        <w:tc>
          <w:tcPr>
            <w:tcW w:type="dxa" w:w="4093"/>
            <w:vAlign w:val="center"/>
            <w:tcMar>
              <w:top w:w="80" w:type="dxa"/>
              <w:bottom w:w="80" w:type="dxa"/>
              <w:left w:w="100" w:type="dxa"/>
              <w:right w:w="100" w:type="dxa"/>
            </w:tcMar>
            <w:shd w:fill="FFFFFF"/>
          </w:tcPr>
          <w:p>
            <w:pPr>
              <w:keepNext w:val="0"/>
              <w:spacing w:after="0" w:before="0" w:line="252" w:lineRule="auto"/>
            </w:pPr>
            <w:r>
              <w:rPr>
                <w:b w:val="0"/>
                <w:i w:val="0"/>
                <w:sz w:val="20"/>
              </w:rPr>
              <w:t>Do not import SLV permissions; obtain any geographical/security-document extension.</w:t>
            </w:r>
          </w:p>
        </w:tc>
      </w:tr>
      <w:tr>
        <w:trPr>
          <w:cantSplit/>
        </w:trPr>
        <w:tc>
          <w:tcPr>
            <w:tcW w:type="dxa" w:w="1949"/>
            <w:vAlign w:val="center"/>
            <w:tcMar>
              <w:top w:w="80" w:type="dxa"/>
              <w:bottom w:w="80" w:type="dxa"/>
              <w:left w:w="100" w:type="dxa"/>
              <w:right w:w="100" w:type="dxa"/>
            </w:tcMar>
            <w:shd w:fill="F4F7F8"/>
          </w:tcPr>
          <w:p>
            <w:pPr>
              <w:keepNext w:val="0"/>
              <w:spacing w:after="0" w:before="0" w:line="252" w:lineRule="auto"/>
            </w:pPr>
            <w:r>
              <w:rPr>
                <w:b w:val="0"/>
                <w:i w:val="0"/>
                <w:sz w:val="20"/>
              </w:rPr>
              <w:t>India · IIBX / FTWZ</w:t>
            </w:r>
          </w:p>
        </w:tc>
        <w:tc>
          <w:tcPr>
            <w:tcW w:type="dxa" w:w="3703"/>
            <w:vAlign w:val="center"/>
            <w:tcMar>
              <w:top w:w="80" w:type="dxa"/>
              <w:bottom w:w="80" w:type="dxa"/>
              <w:left w:w="100" w:type="dxa"/>
              <w:right w:w="100" w:type="dxa"/>
            </w:tcMar>
            <w:shd w:fill="F4F7F8"/>
          </w:tcPr>
          <w:p>
            <w:pPr>
              <w:keepNext w:val="0"/>
              <w:spacing w:after="0" w:before="0" w:line="252" w:lineRule="auto"/>
            </w:pPr>
            <w:r>
              <w:rPr>
                <w:b w:val="0"/>
                <w:i w:val="0"/>
                <w:sz w:val="20"/>
              </w:rPr>
              <w:t>IFSCA, DGFT, customs/SEZ and FEMA; exchange and warehouse routes differ</w:t>
            </w:r>
          </w:p>
        </w:tc>
        <w:tc>
          <w:tcPr>
            <w:tcW w:type="dxa" w:w="4093"/>
            <w:vAlign w:val="center"/>
            <w:tcMar>
              <w:top w:w="80" w:type="dxa"/>
              <w:bottom w:w="80" w:type="dxa"/>
              <w:left w:w="100" w:type="dxa"/>
              <w:right w:w="100" w:type="dxa"/>
            </w:tcMar>
            <w:shd w:fill="F4F7F8"/>
          </w:tcPr>
          <w:p>
            <w:pPr>
              <w:keepNext w:val="0"/>
              <w:spacing w:after="0" w:before="0" w:line="252" w:lineRule="auto"/>
            </w:pPr>
            <w:r>
              <w:rPr>
                <w:b w:val="0"/>
                <w:i w:val="0"/>
                <w:sz w:val="20"/>
              </w:rPr>
              <w:t>Approve named supplier/importer/facility, bar eligibility, title and cash/repatriation route.</w:t>
            </w:r>
          </w:p>
        </w:tc>
      </w:tr>
      <w:tr>
        <w:trPr>
          <w:cantSplit/>
        </w:trPr>
        <w:tc>
          <w:tcPr>
            <w:tcW w:type="dxa" w:w="1949"/>
            <w:vAlign w:val="center"/>
            <w:tcMar>
              <w:top w:w="80" w:type="dxa"/>
              <w:bottom w:w="80" w:type="dxa"/>
              <w:left w:w="100" w:type="dxa"/>
              <w:right w:w="100" w:type="dxa"/>
            </w:tcMar>
            <w:shd w:fill="FFFFFF"/>
          </w:tcPr>
          <w:p>
            <w:pPr>
              <w:keepNext w:val="0"/>
              <w:spacing w:after="0" w:before="0" w:line="252" w:lineRule="auto"/>
            </w:pPr>
            <w:r>
              <w:rPr>
                <w:b w:val="0"/>
                <w:i w:val="0"/>
                <w:sz w:val="20"/>
              </w:rPr>
              <w:t>China · SGEI / SGE</w:t>
            </w:r>
          </w:p>
        </w:tc>
        <w:tc>
          <w:tcPr>
            <w:tcW w:type="dxa" w:w="3703"/>
            <w:vAlign w:val="center"/>
            <w:tcMar>
              <w:top w:w="80" w:type="dxa"/>
              <w:bottom w:w="80" w:type="dxa"/>
              <w:left w:w="100" w:type="dxa"/>
              <w:right w:w="100" w:type="dxa"/>
            </w:tcMar>
            <w:shd w:fill="FFFFFF"/>
          </w:tcPr>
          <w:p>
            <w:pPr>
              <w:keepNext w:val="0"/>
              <w:spacing w:after="0" w:before="0" w:line="252" w:lineRule="auto"/>
            </w:pPr>
            <w:r>
              <w:rPr>
                <w:b w:val="0"/>
                <w:i w:val="0"/>
                <w:sz w:val="20"/>
              </w:rPr>
              <w:t>Board-specific contracts, access, bonded/domestic delivery, import/export and tax</w:t>
            </w:r>
          </w:p>
        </w:tc>
        <w:tc>
          <w:tcPr>
            <w:tcW w:type="dxa" w:w="4093"/>
            <w:vAlign w:val="center"/>
            <w:tcMar>
              <w:top w:w="80" w:type="dxa"/>
              <w:bottom w:w="80" w:type="dxa"/>
              <w:left w:w="100" w:type="dxa"/>
              <w:right w:w="100" w:type="dxa"/>
            </w:tcMar>
            <w:shd w:fill="FFFFFF"/>
          </w:tcPr>
          <w:p>
            <w:pPr>
              <w:keepNext w:val="0"/>
              <w:spacing w:after="0" w:before="0" w:line="252" w:lineRule="auto"/>
            </w:pPr>
            <w:r>
              <w:rPr>
                <w:b w:val="0"/>
                <w:i w:val="0"/>
                <w:sz w:val="20"/>
              </w:rPr>
              <w:t>Establish an actually permitted path before assigning a tradable China premium.</w:t>
            </w:r>
          </w:p>
        </w:tc>
      </w:tr>
    </w:tbl>
    <w:p>
      <w:pPr>
        <w:spacing w:after="60" w:before="0" w:line="40" w:lineRule="exact"/>
      </w:pPr>
      <w:r>
        <w:rPr>
          <w:sz w:val="4"/>
        </w:rPr>
      </w:r>
    </w:p>
    <w:p>
      <w:pPr>
        <w:spacing w:after="100"/>
      </w:pPr>
      <w:r>
        <w:rPr>
          <w:b w:val="0"/>
          <w:i w:val="0"/>
          <w:sz w:val="18"/>
        </w:rPr>
        <w:t>These are decision-relevant rules, not an exhaustive jurisdictional opinion. Product domicile, exchange listing and bullion location are different.</w:t>
      </w:r>
    </w:p>
    <w:p>
      <w:pPr>
        <w:pStyle w:val="Heading3"/>
        <w:pageBreakBefore w:val="0"/>
      </w:pPr>
      <w:r>
        <w:t>Evidence and assumptions</w:t>
      </w:r>
    </w:p>
    <w:p>
      <w:hyperlink r:id="rId92">
        <w:r>
          <w:rPr>
            <w:color w:val="235779"/>
            <w:u w:val="single"/>
          </w:rPr>
          <w:t>SLV and Irish legal audit</w:t>
        </w:r>
      </w:hyperlink>
    </w:p>
    <w:p>
      <w:hyperlink r:id="rId119">
        <w:r>
          <w:rPr>
            <w:color w:val="235779"/>
            <w:u w:val="single"/>
          </w:rPr>
          <w:t>US/UK/India customs audit</w:t>
        </w:r>
      </w:hyperlink>
    </w:p>
    <w:p>
      <w:hyperlink r:id="rId120">
        <w:r>
          <w:rPr>
            <w:color w:val="235779"/>
            <w:u w:val="single"/>
          </w:rPr>
          <w:t>China research</w:t>
        </w:r>
      </w:hyperlink>
    </w:p>
    <w:p>
      <w:bookmarkStart w:id="39" w:name="research_16"/>
      <w:pPr>
        <w:pStyle w:val="Heading1"/>
        <w:pageBreakBefore/>
      </w:pPr>
      <w:r>
        <w:t>16  India: a demand-backed bullion supply service</w:t>
      </w:r>
      <w:bookmarkEnd w:id="39"/>
    </w:p>
    <w:p>
      <w:r>
        <w:rPr>
          <w:b w:val="0"/>
          <w:i w:val="0"/>
        </w:rPr>
        <w:t>Use a registered Qualified Supplier to deliver bank-owned, eligible gold or silver into IIBX against an identified buyer and a positive landed margin.</w:t>
      </w:r>
    </w:p>
    <w:p>
      <w:pPr>
        <w:pStyle w:val="Heading2"/>
        <w:pageBreakBefore w:val="0"/>
      </w:pPr>
      <w:r>
        <w:t>Where the service adds value</w:t>
      </w:r>
    </w:p>
    <w:p>
      <w:r>
        <w:rPr>
          <w:b w:val="0"/>
          <w:i w:val="0"/>
        </w:rPr>
        <w:t>Source acceptable bars, verify provenance, arrange secure transport, fund inventory and complete delivery through the depository and customs chain.</w:t>
      </w:r>
    </w:p>
    <w:p>
      <w:pPr>
        <w:pStyle w:val="Heading2"/>
        <w:pageBreakBefore w:val="0"/>
      </w:pPr>
      <w:r>
        <w:t>How BlackRock participates</w:t>
      </w:r>
    </w:p>
    <w:p>
      <w:r>
        <w:rPr>
          <w:b w:val="0"/>
          <w:i w:val="0"/>
        </w:rPr>
        <w:t>An approved service or value-sharing contract must identify what BlackRock or its investors receive. Ordinary downstream bank trading profit does not create an automatic entitlement.</w:t>
      </w:r>
    </w:p>
    <w:p>
      <w:r>
        <w:rPr>
          <w:b w:val="0"/>
          <w:i w:val="0"/>
        </w:rPr>
        <w:t>Start with matched bank-owned supply through an existing eligible supplier. Treat fund-owned India custody as a separate proposal requiring new authority.</w:t>
      </w:r>
    </w:p>
    <w:p>
      <w:pPr>
        <w:spacing w:after="100"/>
      </w:pPr>
      <w:r>
        <w:rPr>
          <w:b w:val="0"/>
          <w:i w:val="0"/>
          <w:sz w:val="18"/>
        </w:rPr>
        <w:t>Live gold/silver products verified. No live IIBX platinum/palladium contract was established. The chosen bank entity does not automatically satisfy Qualified Supplier eligibility.</w:t>
      </w:r>
    </w:p>
    <w:p>
      <w:pPr>
        <w:pStyle w:val="Heading3"/>
        <w:pageBreakBefore w:val="0"/>
      </w:pPr>
      <w:r>
        <w:t>Evidence and assumptions</w:t>
      </w:r>
    </w:p>
    <w:p>
      <w:hyperlink r:id="rId93">
        <w:r>
          <w:rPr>
            <w:color w:val="235779"/>
            <w:u w:val="single"/>
          </w:rPr>
          <w:t>IIBX evidence and worked path</w:t>
        </w:r>
      </w:hyperlink>
    </w:p>
    <w:p>
      <w:hyperlink r:id="rId121">
        <w:r>
          <w:rPr>
            <w:color w:val="235779"/>
            <w:u w:val="single"/>
          </w:rPr>
          <w:t>Qualified Supplier rules</w:t>
        </w:r>
      </w:hyperlink>
    </w:p>
    <w:p>
      <w:bookmarkStart w:id="40" w:name="research_17"/>
      <w:pPr>
        <w:pStyle w:val="Heading1"/>
        <w:pageBreakBefore/>
      </w:pPr>
      <w:r>
        <w:t>17  Bar selection is the first execution decision</w:t>
      </w:r>
      <w:bookmarkEnd w:id="40"/>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9"/>
        <w:gridCol w:w="3703"/>
        <w:gridCol w:w="4093"/>
      </w:tblGrid>
      <w:tr>
        <w:trPr>
          <w:tblHeader/>
          <w:cantSplit/>
        </w:trPr>
        <w:tc>
          <w:tcPr>
            <w:tcW w:type="dxa" w:w="1949"/>
            <w:vAlign w:val="center"/>
            <w:tcMar>
              <w:top w:w="80" w:type="dxa"/>
              <w:bottom w:w="80" w:type="dxa"/>
              <w:left w:w="100" w:type="dxa"/>
              <w:right w:w="100" w:type="dxa"/>
            </w:tcMar>
            <w:shd w:fill="DCE6EB"/>
          </w:tcPr>
          <w:p>
            <w:pPr>
              <w:keepNext/>
              <w:spacing w:after="0" w:before="0" w:line="252" w:lineRule="auto"/>
            </w:pPr>
            <w:r>
              <w:rPr>
                <w:b/>
                <w:i w:val="0"/>
                <w:sz w:val="20"/>
              </w:rPr>
              <w:t>Contract family</w:t>
            </w:r>
          </w:p>
        </w:tc>
        <w:tc>
          <w:tcPr>
            <w:tcW w:type="dxa" w:w="3703"/>
            <w:vAlign w:val="center"/>
            <w:tcMar>
              <w:top w:w="80" w:type="dxa"/>
              <w:bottom w:w="80" w:type="dxa"/>
              <w:left w:w="100" w:type="dxa"/>
              <w:right w:w="100" w:type="dxa"/>
            </w:tcMar>
            <w:shd w:fill="DCE6EB"/>
          </w:tcPr>
          <w:p>
            <w:pPr>
              <w:keepNext/>
              <w:spacing w:after="0" w:before="0" w:line="252" w:lineRule="auto"/>
            </w:pPr>
            <w:r>
              <w:rPr>
                <w:b/>
                <w:i w:val="0"/>
                <w:sz w:val="20"/>
              </w:rPr>
              <w:t>Physical requirements</w:t>
            </w:r>
          </w:p>
        </w:tc>
        <w:tc>
          <w:tcPr>
            <w:tcW w:type="dxa" w:w="4093"/>
            <w:vAlign w:val="center"/>
            <w:tcMar>
              <w:top w:w="80" w:type="dxa"/>
              <w:bottom w:w="80" w:type="dxa"/>
              <w:left w:w="100" w:type="dxa"/>
              <w:right w:w="100" w:type="dxa"/>
            </w:tcMar>
            <w:shd w:fill="DCE6EB"/>
          </w:tcPr>
          <w:p>
            <w:pPr>
              <w:keepNext/>
              <w:spacing w:after="0" w:before="0" w:line="252" w:lineRule="auto"/>
            </w:pPr>
            <w:r>
              <w:rPr>
                <w:b/>
                <w:i w:val="0"/>
                <w:sz w:val="20"/>
              </w:rPr>
              <w:t>Commercial implication</w:t>
            </w:r>
          </w:p>
        </w:tc>
      </w:tr>
      <w:tr>
        <w:trPr>
          <w:cantSplit/>
        </w:trPr>
        <w:tc>
          <w:tcPr>
            <w:tcW w:type="dxa" w:w="1949"/>
            <w:vAlign w:val="center"/>
            <w:tcMar>
              <w:top w:w="80" w:type="dxa"/>
              <w:bottom w:w="80" w:type="dxa"/>
              <w:left w:w="100" w:type="dxa"/>
              <w:right w:w="100" w:type="dxa"/>
            </w:tcMar>
            <w:shd w:fill="FFFFFF"/>
          </w:tcPr>
          <w:p>
            <w:pPr>
              <w:keepNext w:val="0"/>
              <w:spacing w:after="0" w:before="0" w:line="252" w:lineRule="auto"/>
            </w:pPr>
            <w:r>
              <w:rPr>
                <w:b w:val="0"/>
                <w:i w:val="0"/>
                <w:sz w:val="20"/>
              </w:rPr>
              <w:t>Silver bars</w:t>
            </w:r>
          </w:p>
        </w:tc>
        <w:tc>
          <w:tcPr>
            <w:tcW w:type="dxa" w:w="3703"/>
            <w:vAlign w:val="center"/>
            <w:tcMar>
              <w:top w:w="80" w:type="dxa"/>
              <w:bottom w:w="80" w:type="dxa"/>
              <w:left w:w="100" w:type="dxa"/>
              <w:right w:w="100" w:type="dxa"/>
            </w:tcMar>
            <w:shd w:fill="FFFFFF"/>
          </w:tcPr>
          <w:p>
            <w:pPr>
              <w:keepNext w:val="0"/>
              <w:spacing w:after="0" w:before="0" w:line="252" w:lineRule="auto"/>
            </w:pPr>
            <w:r>
              <w:rPr>
                <w:b w:val="0"/>
                <w:i w:val="0"/>
                <w:sz w:val="20"/>
              </w:rPr>
              <w:t>Nominal 30kg; minimum .999; actual weight 900–1,050 troy oz; accepted serialled bar/refiner</w:t>
            </w:r>
          </w:p>
        </w:tc>
        <w:tc>
          <w:tcPr>
            <w:tcW w:type="dxa" w:w="4093"/>
            <w:vAlign w:val="center"/>
            <w:tcMar>
              <w:top w:w="80" w:type="dxa"/>
              <w:bottom w:w="80" w:type="dxa"/>
              <w:left w:w="100" w:type="dxa"/>
              <w:right w:w="100" w:type="dxa"/>
            </w:tcMar>
            <w:shd w:fill="FFFFFF"/>
          </w:tcPr>
          <w:p>
            <w:pPr>
              <w:keepNext w:val="0"/>
              <w:spacing w:after="0" w:before="0" w:line="252" w:lineRule="auto"/>
            </w:pPr>
            <w:r>
              <w:rPr>
                <w:b w:val="0"/>
                <w:i w:val="0"/>
                <w:sz w:val="20"/>
              </w:rPr>
              <w:t>Some existing bars may fit. Check exact weight, brand, custody chain and HS route before promising no recast.</w:t>
            </w:r>
          </w:p>
        </w:tc>
      </w:tr>
      <w:tr>
        <w:trPr>
          <w:cantSplit/>
        </w:trPr>
        <w:tc>
          <w:tcPr>
            <w:tcW w:type="dxa" w:w="1949"/>
            <w:vAlign w:val="center"/>
            <w:tcMar>
              <w:top w:w="80" w:type="dxa"/>
              <w:bottom w:w="80" w:type="dxa"/>
              <w:left w:w="100" w:type="dxa"/>
              <w:right w:w="100" w:type="dxa"/>
            </w:tcMar>
            <w:shd w:fill="F4F7F8"/>
          </w:tcPr>
          <w:p>
            <w:pPr>
              <w:keepNext w:val="0"/>
              <w:spacing w:after="0" w:before="0" w:line="252" w:lineRule="auto"/>
            </w:pPr>
            <w:r>
              <w:rPr>
                <w:b w:val="0"/>
                <w:i w:val="0"/>
                <w:sz w:val="20"/>
              </w:rPr>
              <w:t>Silver grains</w:t>
            </w:r>
          </w:p>
        </w:tc>
        <w:tc>
          <w:tcPr>
            <w:tcW w:type="dxa" w:w="3703"/>
            <w:vAlign w:val="center"/>
            <w:tcMar>
              <w:top w:w="80" w:type="dxa"/>
              <w:bottom w:w="80" w:type="dxa"/>
              <w:left w:w="100" w:type="dxa"/>
              <w:right w:w="100" w:type="dxa"/>
            </w:tcMar>
            <w:shd w:fill="F4F7F8"/>
          </w:tcPr>
          <w:p>
            <w:pPr>
              <w:keepNext w:val="0"/>
              <w:spacing w:after="0" w:before="0" w:line="252" w:lineRule="auto"/>
            </w:pPr>
            <w:r>
              <w:rPr>
                <w:b w:val="0"/>
                <w:i w:val="0"/>
                <w:sz w:val="20"/>
              </w:rPr>
              <w:t>Sealed nominal 20kg bags; minimum .999; approved identification and source</w:t>
            </w:r>
          </w:p>
        </w:tc>
        <w:tc>
          <w:tcPr>
            <w:tcW w:type="dxa" w:w="4093"/>
            <w:vAlign w:val="center"/>
            <w:tcMar>
              <w:top w:w="80" w:type="dxa"/>
              <w:bottom w:w="80" w:type="dxa"/>
              <w:left w:w="100" w:type="dxa"/>
              <w:right w:w="100" w:type="dxa"/>
            </w:tcMar>
            <w:shd w:fill="F4F7F8"/>
          </w:tcPr>
          <w:p>
            <w:pPr>
              <w:keepNext w:val="0"/>
              <w:spacing w:after="0" w:before="0" w:line="252" w:lineRule="auto"/>
            </w:pPr>
            <w:r>
              <w:rPr>
                <w:b w:val="0"/>
                <w:i w:val="0"/>
                <w:sz w:val="20"/>
              </w:rPr>
              <w:t>Separate manufacture, packaging and loss assumptions; do not treat bars and grains as identical demand.</w:t>
            </w:r>
          </w:p>
        </w:tc>
      </w:tr>
      <w:tr>
        <w:trPr>
          <w:cantSplit/>
        </w:trPr>
        <w:tc>
          <w:tcPr>
            <w:tcW w:type="dxa" w:w="1949"/>
            <w:vAlign w:val="center"/>
            <w:tcMar>
              <w:top w:w="80" w:type="dxa"/>
              <w:bottom w:w="80" w:type="dxa"/>
              <w:left w:w="100" w:type="dxa"/>
              <w:right w:w="100" w:type="dxa"/>
            </w:tcMar>
            <w:shd w:fill="FFFFFF"/>
          </w:tcPr>
          <w:p>
            <w:pPr>
              <w:keepNext w:val="0"/>
              <w:spacing w:after="0" w:before="0" w:line="252" w:lineRule="auto"/>
            </w:pPr>
            <w:r>
              <w:rPr>
                <w:b w:val="0"/>
                <w:i w:val="0"/>
                <w:sz w:val="20"/>
              </w:rPr>
              <w:t>Gold</w:t>
            </w:r>
          </w:p>
        </w:tc>
        <w:tc>
          <w:tcPr>
            <w:tcW w:type="dxa" w:w="3703"/>
            <w:vAlign w:val="center"/>
            <w:tcMar>
              <w:top w:w="80" w:type="dxa"/>
              <w:bottom w:w="80" w:type="dxa"/>
              <w:left w:w="100" w:type="dxa"/>
              <w:right w:w="100" w:type="dxa"/>
            </w:tcMar>
            <w:shd w:fill="FFFFFF"/>
          </w:tcPr>
          <w:p>
            <w:pPr>
              <w:keepNext w:val="0"/>
              <w:spacing w:after="0" w:before="0" w:line="252" w:lineRule="auto"/>
            </w:pPr>
            <w:r>
              <w:rPr>
                <w:b w:val="0"/>
                <w:i w:val="0"/>
                <w:sz w:val="20"/>
              </w:rPr>
              <w:t>1kg .995; 100g .999; 1kg and 12.5kg .9999-labelled variants</w:t>
            </w:r>
          </w:p>
        </w:tc>
        <w:tc>
          <w:tcPr>
            <w:tcW w:type="dxa" w:w="4093"/>
            <w:vAlign w:val="center"/>
            <w:tcMar>
              <w:top w:w="80" w:type="dxa"/>
              <w:bottom w:w="80" w:type="dxa"/>
              <w:left w:w="100" w:type="dxa"/>
              <w:right w:w="100" w:type="dxa"/>
            </w:tcMar>
            <w:shd w:fill="FFFFFF"/>
          </w:tcPr>
          <w:p>
            <w:pPr>
              <w:keepNext w:val="0"/>
              <w:spacing w:after="0" w:before="0" w:line="252" w:lineRule="auto"/>
            </w:pPr>
            <w:r>
              <w:rPr>
                <w:b w:val="0"/>
                <w:i w:val="0"/>
                <w:sz w:val="20"/>
              </w:rPr>
              <w:t>Large London bars do not automatically satisfy the weight, purity and provenance requirements.</w:t>
            </w:r>
          </w:p>
        </w:tc>
      </w:tr>
      <w:tr>
        <w:trPr>
          <w:cantSplit/>
        </w:trPr>
        <w:tc>
          <w:tcPr>
            <w:tcW w:type="dxa" w:w="1949"/>
            <w:vAlign w:val="center"/>
            <w:tcMar>
              <w:top w:w="80" w:type="dxa"/>
              <w:bottom w:w="80" w:type="dxa"/>
              <w:left w:w="100" w:type="dxa"/>
              <w:right w:w="100" w:type="dxa"/>
            </w:tcMar>
            <w:shd w:fill="F4F7F8"/>
          </w:tcPr>
          <w:p>
            <w:pPr>
              <w:keepNext w:val="0"/>
              <w:spacing w:after="0" w:before="0" w:line="252" w:lineRule="auto"/>
            </w:pPr>
            <w:r>
              <w:rPr>
                <w:b w:val="0"/>
                <w:i w:val="0"/>
                <w:sz w:val="20"/>
              </w:rPr>
              <w:t>Quotation</w:t>
            </w:r>
          </w:p>
        </w:tc>
        <w:tc>
          <w:tcPr>
            <w:tcW w:type="dxa" w:w="3703"/>
            <w:vAlign w:val="center"/>
            <w:tcMar>
              <w:top w:w="80" w:type="dxa"/>
              <w:bottom w:w="80" w:type="dxa"/>
              <w:left w:w="100" w:type="dxa"/>
              <w:right w:w="100" w:type="dxa"/>
            </w:tcMar>
            <w:shd w:fill="F4F7F8"/>
          </w:tcPr>
          <w:p>
            <w:pPr>
              <w:keepNext w:val="0"/>
              <w:spacing w:after="0" w:before="0" w:line="252" w:lineRule="auto"/>
            </w:pPr>
            <w:r>
              <w:rPr>
                <w:b w:val="0"/>
                <w:i w:val="0"/>
                <w:sz w:val="20"/>
              </w:rPr>
              <w:t>USD/troy oz; tick $0.005 silver / $0.01 gold</w:t>
            </w:r>
          </w:p>
        </w:tc>
        <w:tc>
          <w:tcPr>
            <w:tcW w:type="dxa" w:w="4093"/>
            <w:vAlign w:val="center"/>
            <w:tcMar>
              <w:top w:w="80" w:type="dxa"/>
              <w:bottom w:w="80" w:type="dxa"/>
              <w:left w:w="100" w:type="dxa"/>
              <w:right w:w="100" w:type="dxa"/>
            </w:tcMar>
            <w:shd w:fill="F4F7F8"/>
          </w:tcPr>
          <w:p>
            <w:pPr>
              <w:keepNext w:val="0"/>
              <w:spacing w:after="0" w:before="0" w:line="252" w:lineRule="auto"/>
            </w:pPr>
            <w:r>
              <w:rPr>
                <w:b w:val="0"/>
                <w:i w:val="0"/>
                <w:sz w:val="20"/>
              </w:rPr>
              <w:t>Exact payable weight and quality belong in the invoice reconciliation.</w:t>
            </w:r>
          </w:p>
        </w:tc>
      </w:tr>
    </w:tbl>
    <w:p>
      <w:pPr>
        <w:spacing w:after="60" w:before="0" w:line="40" w:lineRule="exact"/>
      </w:pPr>
      <w:r>
        <w:rPr>
          <w:sz w:val="4"/>
        </w:rPr>
      </w:r>
    </w:p>
    <w:p>
      <w:pPr>
        <w:spacing w:after="100"/>
      </w:pPr>
      <w:r>
        <w:rPr>
          <w:b w:val="0"/>
          <w:i w:val="0"/>
          <w:sz w:val="18"/>
        </w:rPr>
        <w:t>Current silver master uses 964.521 quote units per nominal 30kg lot, approximately gross kg converted to troy oz. Actual bar weight governs settlement; do not assume SLV fine ounces and exchange quote units are identical.</w:t>
      </w:r>
    </w:p>
    <w:p>
      <w:pPr>
        <w:spacing w:after="100"/>
      </w:pPr>
      <w:r>
        <w:rPr>
          <w:b w:val="0"/>
          <w:i w:val="0"/>
          <w:sz w:val="18"/>
        </w:rPr>
        <w:t>Source discrepancies remain: the T+2 launch release says silver “9999” whereas the current master says 999; some UAEGD gold labels and quality fields also conflict. Obtain the operative contract and written bar acceptance.</w:t>
      </w:r>
    </w:p>
    <w:p>
      <w:pPr>
        <w:pStyle w:val="Heading3"/>
        <w:pageBreakBefore w:val="0"/>
      </w:pPr>
      <w:r>
        <w:t>Evidence and assumptions</w:t>
      </w:r>
    </w:p>
    <w:p>
      <w:hyperlink r:id="rId122">
        <w:r>
          <w:rPr>
            <w:color w:val="235779"/>
            <w:u w:val="single"/>
          </w:rPr>
          <w:t>Current silver specifications</w:t>
        </w:r>
      </w:hyperlink>
    </w:p>
    <w:p>
      <w:hyperlink r:id="rId123">
        <w:r>
          <w:rPr>
            <w:color w:val="235779"/>
            <w:u w:val="single"/>
          </w:rPr>
          <w:t>Current gold specifications</w:t>
        </w:r>
      </w:hyperlink>
    </w:p>
    <w:p>
      <w:hyperlink r:id="rId124">
        <w:r>
          <w:rPr>
            <w:color w:val="235779"/>
            <w:u w:val="single"/>
          </w:rPr>
          <w:t>Archived 89 contract variants</w:t>
        </w:r>
      </w:hyperlink>
    </w:p>
    <w:p>
      <w:hyperlink r:id="rId93">
        <w:r>
          <w:rPr>
            <w:color w:val="235779"/>
            <w:u w:val="single"/>
          </w:rPr>
          <w:t>Unit and source checks</w:t>
        </w:r>
      </w:hyperlink>
    </w:p>
    <w:p>
      <w:bookmarkStart w:id="41" w:name="research_18"/>
      <w:pPr>
        <w:pStyle w:val="Heading1"/>
        <w:pageBreakBefore/>
      </w:pPr>
      <w:r>
        <w:t>18  Real activity, with a disciplined view of scale</w:t>
      </w:r>
      <w:bookmarkEnd w:id="41"/>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9"/>
        <w:gridCol w:w="3703"/>
        <w:gridCol w:w="4093"/>
      </w:tblGrid>
      <w:tr>
        <w:trPr>
          <w:tblHeader/>
          <w:cantSplit/>
        </w:trPr>
        <w:tc>
          <w:tcPr>
            <w:tcW w:type="dxa" w:w="1949"/>
            <w:vAlign w:val="center"/>
            <w:tcMar>
              <w:top w:w="80" w:type="dxa"/>
              <w:bottom w:w="80" w:type="dxa"/>
              <w:left w:w="100" w:type="dxa"/>
              <w:right w:w="100" w:type="dxa"/>
            </w:tcMar>
            <w:shd w:fill="DCE6EB"/>
          </w:tcPr>
          <w:p>
            <w:pPr>
              <w:keepNext/>
              <w:spacing w:after="0" w:before="0" w:line="252" w:lineRule="auto"/>
            </w:pPr>
            <w:r>
              <w:rPr>
                <w:b/>
                <w:i w:val="0"/>
                <w:sz w:val="20"/>
              </w:rPr>
              <w:t>Evidence / period</w:t>
            </w:r>
          </w:p>
        </w:tc>
        <w:tc>
          <w:tcPr>
            <w:tcW w:type="dxa" w:w="3703"/>
            <w:vAlign w:val="center"/>
            <w:tcMar>
              <w:top w:w="80" w:type="dxa"/>
              <w:bottom w:w="80" w:type="dxa"/>
              <w:left w:w="100" w:type="dxa"/>
              <w:right w:w="100" w:type="dxa"/>
            </w:tcMar>
            <w:shd w:fill="DCE6EB"/>
          </w:tcPr>
          <w:p>
            <w:pPr>
              <w:keepNext/>
              <w:spacing w:after="0" w:before="0" w:line="252" w:lineRule="auto"/>
            </w:pPr>
            <w:r>
              <w:rPr>
                <w:b/>
                <w:i w:val="0"/>
                <w:sz w:val="20"/>
              </w:rPr>
              <w:t>Observed quantity</w:t>
            </w:r>
          </w:p>
        </w:tc>
        <w:tc>
          <w:tcPr>
            <w:tcW w:type="dxa" w:w="4093"/>
            <w:vAlign w:val="center"/>
            <w:tcMar>
              <w:top w:w="80" w:type="dxa"/>
              <w:bottom w:w="80" w:type="dxa"/>
              <w:left w:w="100" w:type="dxa"/>
              <w:right w:w="100" w:type="dxa"/>
            </w:tcMar>
            <w:shd w:fill="DCE6EB"/>
          </w:tcPr>
          <w:p>
            <w:pPr>
              <w:keepNext/>
              <w:spacing w:after="0" w:before="0" w:line="252" w:lineRule="auto"/>
            </w:pPr>
            <w:r>
              <w:rPr>
                <w:b/>
                <w:i w:val="0"/>
                <w:sz w:val="20"/>
              </w:rPr>
              <w:t>What it supports</w:t>
            </w:r>
          </w:p>
        </w:tc>
      </w:tr>
      <w:tr>
        <w:trPr>
          <w:cantSplit/>
        </w:trPr>
        <w:tc>
          <w:tcPr>
            <w:tcW w:type="dxa" w:w="1949"/>
            <w:vAlign w:val="center"/>
            <w:tcMar>
              <w:top w:w="80" w:type="dxa"/>
              <w:bottom w:w="80" w:type="dxa"/>
              <w:left w:w="100" w:type="dxa"/>
              <w:right w:w="100" w:type="dxa"/>
            </w:tcMar>
            <w:shd w:fill="FFFFFF"/>
          </w:tcPr>
          <w:p>
            <w:pPr>
              <w:keepNext w:val="0"/>
              <w:spacing w:after="0" w:before="0" w:line="252" w:lineRule="auto"/>
            </w:pPr>
            <w:r>
              <w:rPr>
                <w:b w:val="0"/>
                <w:i w:val="0"/>
                <w:sz w:val="20"/>
              </w:rPr>
              <w:t>Exchange CEO · FY2024/25</w:t>
            </w:r>
          </w:p>
        </w:tc>
        <w:tc>
          <w:tcPr>
            <w:tcW w:type="dxa" w:w="3703"/>
            <w:vAlign w:val="center"/>
            <w:tcMar>
              <w:top w:w="80" w:type="dxa"/>
              <w:bottom w:w="80" w:type="dxa"/>
              <w:left w:w="100" w:type="dxa"/>
              <w:right w:w="100" w:type="dxa"/>
            </w:tcMar>
            <w:shd w:fill="FFFFFF"/>
          </w:tcPr>
          <w:p>
            <w:pPr>
              <w:keepNext w:val="0"/>
              <w:spacing w:after="0" w:before="0" w:line="252" w:lineRule="auto"/>
            </w:pPr>
            <w:r>
              <w:rPr>
                <w:b w:val="0"/>
                <w:i w:val="0"/>
                <w:sz w:val="20"/>
              </w:rPr>
              <w:t>93.0725t gold; 239.18t silver</w:t>
            </w:r>
          </w:p>
        </w:tc>
        <w:tc>
          <w:tcPr>
            <w:tcW w:type="dxa" w:w="4093"/>
            <w:vAlign w:val="center"/>
            <w:tcMar>
              <w:top w:w="80" w:type="dxa"/>
              <w:bottom w:w="80" w:type="dxa"/>
              <w:left w:w="100" w:type="dxa"/>
              <w:right w:w="100" w:type="dxa"/>
            </w:tcMar>
            <w:shd w:fill="FFFFFF"/>
          </w:tcPr>
          <w:p>
            <w:pPr>
              <w:keepNext w:val="0"/>
              <w:spacing w:after="0" w:before="0" w:line="252" w:lineRule="auto"/>
            </w:pPr>
            <w:r>
              <w:rPr>
                <w:b w:val="0"/>
                <w:i w:val="0"/>
                <w:sz w:val="20"/>
              </w:rPr>
              <w:t>A documented physical channel; published traded quantities are not guaranteed unique imports.</w:t>
            </w:r>
          </w:p>
        </w:tc>
      </w:tr>
      <w:tr>
        <w:trPr>
          <w:cantSplit/>
        </w:trPr>
        <w:tc>
          <w:tcPr>
            <w:tcW w:type="dxa" w:w="1949"/>
            <w:vAlign w:val="center"/>
            <w:tcMar>
              <w:top w:w="80" w:type="dxa"/>
              <w:bottom w:w="80" w:type="dxa"/>
              <w:left w:w="100" w:type="dxa"/>
              <w:right w:w="100" w:type="dxa"/>
            </w:tcMar>
            <w:shd w:fill="F4F7F8"/>
          </w:tcPr>
          <w:p>
            <w:pPr>
              <w:keepNext w:val="0"/>
              <w:spacing w:after="0" w:before="0" w:line="252" w:lineRule="auto"/>
            </w:pPr>
            <w:r>
              <w:rPr>
                <w:b w:val="0"/>
                <w:i w:val="0"/>
                <w:sz w:val="20"/>
              </w:rPr>
              <w:t>Returned history · FY2026/27 to 23 Sep</w:t>
            </w:r>
          </w:p>
        </w:tc>
        <w:tc>
          <w:tcPr>
            <w:tcW w:type="dxa" w:w="3703"/>
            <w:vAlign w:val="center"/>
            <w:tcMar>
              <w:top w:w="80" w:type="dxa"/>
              <w:bottom w:w="80" w:type="dxa"/>
              <w:left w:w="100" w:type="dxa"/>
              <w:right w:w="100" w:type="dxa"/>
            </w:tcMar>
            <w:shd w:fill="F4F7F8"/>
          </w:tcPr>
          <w:p>
            <w:pPr>
              <w:keepNext w:val="0"/>
              <w:spacing w:after="0" w:before="0" w:line="252" w:lineRule="auto"/>
            </w:pPr>
            <w:r>
              <w:rPr>
                <w:b w:val="0"/>
                <w:i w:val="0"/>
                <w:sz w:val="20"/>
              </w:rPr>
              <w:t>Silver: 122.04t bars + 135.16t grains</w:t>
            </w:r>
          </w:p>
        </w:tc>
        <w:tc>
          <w:tcPr>
            <w:tcW w:type="dxa" w:w="4093"/>
            <w:vAlign w:val="center"/>
            <w:tcMar>
              <w:top w:w="80" w:type="dxa"/>
              <w:bottom w:w="80" w:type="dxa"/>
              <w:left w:w="100" w:type="dxa"/>
              <w:right w:w="100" w:type="dxa"/>
            </w:tcMar>
            <w:shd w:fill="F4F7F8"/>
          </w:tcPr>
          <w:p>
            <w:pPr>
              <w:keepNext w:val="0"/>
              <w:spacing w:after="0" w:before="0" w:line="252" w:lineRule="auto"/>
            </w:pPr>
            <w:r>
              <w:rPr>
                <w:b w:val="0"/>
                <w:i w:val="0"/>
                <w:sz w:val="20"/>
              </w:rPr>
              <w:t>Provisional nominal lot aggregation, after exact duplicate removal; not a certified market total.</w:t>
            </w:r>
          </w:p>
        </w:tc>
      </w:tr>
      <w:tr>
        <w:trPr>
          <w:cantSplit/>
        </w:trPr>
        <w:tc>
          <w:tcPr>
            <w:tcW w:type="dxa" w:w="1949"/>
            <w:vAlign w:val="center"/>
            <w:tcMar>
              <w:top w:w="80" w:type="dxa"/>
              <w:bottom w:w="80" w:type="dxa"/>
              <w:left w:w="100" w:type="dxa"/>
              <w:right w:w="100" w:type="dxa"/>
            </w:tcMar>
            <w:shd w:fill="FFFFFF"/>
          </w:tcPr>
          <w:p>
            <w:pPr>
              <w:keepNext w:val="0"/>
              <w:spacing w:after="0" w:before="0" w:line="252" w:lineRule="auto"/>
            </w:pPr>
            <w:r>
              <w:rPr>
                <w:b w:val="0"/>
                <w:i w:val="0"/>
                <w:sz w:val="20"/>
              </w:rPr>
              <w:t>IIDI stock · 23 Sep, 22:30 IST</w:t>
            </w:r>
          </w:p>
        </w:tc>
        <w:tc>
          <w:tcPr>
            <w:tcW w:type="dxa" w:w="3703"/>
            <w:vAlign w:val="center"/>
            <w:tcMar>
              <w:top w:w="80" w:type="dxa"/>
              <w:bottom w:w="80" w:type="dxa"/>
              <w:left w:w="100" w:type="dxa"/>
              <w:right w:w="100" w:type="dxa"/>
            </w:tcMar>
            <w:shd w:fill="FFFFFF"/>
          </w:tcPr>
          <w:p>
            <w:pPr>
              <w:keepNext w:val="0"/>
              <w:spacing w:after="0" w:before="0" w:line="252" w:lineRule="auto"/>
            </w:pPr>
            <w:r>
              <w:rPr>
                <w:b w:val="0"/>
                <w:i w:val="0"/>
                <w:sz w:val="20"/>
              </w:rPr>
              <w:t>Silver 23.02t: 17.22t bars + 5.80t grains; gold 103.2kg</w:t>
            </w:r>
          </w:p>
        </w:tc>
        <w:tc>
          <w:tcPr>
            <w:tcW w:type="dxa" w:w="4093"/>
            <w:vAlign w:val="center"/>
            <w:tcMar>
              <w:top w:w="80" w:type="dxa"/>
              <w:bottom w:w="80" w:type="dxa"/>
              <w:left w:w="100" w:type="dxa"/>
              <w:right w:w="100" w:type="dxa"/>
            </w:tcMar>
            <w:shd w:fill="FFFFFF"/>
          </w:tcPr>
          <w:p>
            <w:pPr>
              <w:keepNext w:val="0"/>
              <w:spacing w:after="0" w:before="0" w:line="252" w:lineRule="auto"/>
            </w:pPr>
            <w:r>
              <w:rPr>
                <w:b w:val="0"/>
                <w:i w:val="0"/>
                <w:sz w:val="20"/>
              </w:rPr>
              <w:t>Published stock entries, not available-for-sale stock or order-book depth.</w:t>
            </w:r>
          </w:p>
        </w:tc>
      </w:tr>
      <w:tr>
        <w:trPr>
          <w:cantSplit/>
        </w:trPr>
        <w:tc>
          <w:tcPr>
            <w:tcW w:type="dxa" w:w="1949"/>
            <w:vAlign w:val="center"/>
            <w:tcMar>
              <w:top w:w="80" w:type="dxa"/>
              <w:bottom w:w="80" w:type="dxa"/>
              <w:left w:w="100" w:type="dxa"/>
              <w:right w:w="100" w:type="dxa"/>
            </w:tcMar>
            <w:shd w:fill="F4F7F8"/>
          </w:tcPr>
          <w:p>
            <w:pPr>
              <w:keepNext w:val="0"/>
              <w:spacing w:after="0" w:before="0" w:line="252" w:lineRule="auto"/>
            </w:pPr>
            <w:r>
              <w:rPr>
                <w:b w:val="0"/>
                <w:i w:val="0"/>
                <w:sz w:val="20"/>
              </w:rPr>
              <w:t>Proposed US reserve</w:t>
            </w:r>
          </w:p>
        </w:tc>
        <w:tc>
          <w:tcPr>
            <w:tcW w:type="dxa" w:w="3703"/>
            <w:vAlign w:val="center"/>
            <w:tcMar>
              <w:top w:w="80" w:type="dxa"/>
              <w:bottom w:w="80" w:type="dxa"/>
              <w:left w:w="100" w:type="dxa"/>
              <w:right w:w="100" w:type="dxa"/>
            </w:tcMar>
            <w:shd w:fill="F4F7F8"/>
          </w:tcPr>
          <w:p>
            <w:pPr>
              <w:keepNext w:val="0"/>
              <w:spacing w:after="0" w:before="0" w:line="252" w:lineRule="auto"/>
            </w:pPr>
            <w:r>
              <w:rPr>
                <w:b w:val="0"/>
                <w:i w:val="0"/>
                <w:sz w:val="20"/>
              </w:rPr>
              <w:t>200m fine oz ≈ 6,220.7t fine silver</w:t>
            </w:r>
          </w:p>
        </w:tc>
        <w:tc>
          <w:tcPr>
            <w:tcW w:type="dxa" w:w="4093"/>
            <w:vAlign w:val="center"/>
            <w:tcMar>
              <w:top w:w="80" w:type="dxa"/>
              <w:bottom w:w="80" w:type="dxa"/>
              <w:left w:w="100" w:type="dxa"/>
              <w:right w:w="100" w:type="dxa"/>
            </w:tcMar>
            <w:shd w:fill="F4F7F8"/>
          </w:tcPr>
          <w:p>
            <w:pPr>
              <w:keepNext w:val="0"/>
              <w:spacing w:after="0" w:before="0" w:line="252" w:lineRule="auto"/>
            </w:pPr>
            <w:r>
              <w:rPr>
                <w:b w:val="0"/>
                <w:i w:val="0"/>
                <w:sz w:val="20"/>
              </w:rPr>
              <w:t>About 26× FY2024/25 reported silver mass, before fineness reconciliation. Keep its sizing separate.</w:t>
            </w:r>
          </w:p>
        </w:tc>
      </w:tr>
    </w:tbl>
    <w:p>
      <w:pPr>
        <w:spacing w:after="60" w:before="0" w:line="40" w:lineRule="exact"/>
      </w:pPr>
      <w:r>
        <w:rPr>
          <w:sz w:val="4"/>
        </w:rPr>
      </w:r>
    </w:p>
    <w:p>
      <w:r>
        <w:rPr>
          <w:b w:val="0"/>
          <w:i w:val="0"/>
        </w:rPr>
        <w:t>Size the India pilot to a named buyer’s executable demand. IIBX is one potential outlet, not evidence that a 200moz position can turn there.</w:t>
      </w:r>
    </w:p>
    <w:p>
      <w:pPr>
        <w:spacing w:after="100"/>
      </w:pPr>
      <w:r>
        <w:rPr>
          <w:b w:val="0"/>
          <w:i w:val="0"/>
          <w:sz w:val="18"/>
        </w:rPr>
        <w:t>Feed quality matters: 121 duplicate rows removed; FY2024/25 derived totals differ materially from the CEO’s figures. FY2025/26 returned zero silver is a coverage question, not proof of no activity.</w:t>
      </w:r>
    </w:p>
    <w:p>
      <w:pPr>
        <w:pStyle w:val="Heading3"/>
        <w:pageBreakBefore w:val="0"/>
      </w:pPr>
      <w:r>
        <w:t>Evidence and assumptions</w:t>
      </w:r>
    </w:p>
    <w:p>
      <w:hyperlink r:id="rId125">
        <w:r>
          <w:rPr>
            <w:color w:val="235779"/>
            <w:u w:val="single"/>
          </w:rPr>
          <w:t>CEO article, PDF2 / printed14</w:t>
        </w:r>
      </w:hyperlink>
    </w:p>
    <w:p>
      <w:hyperlink r:id="rId126">
        <w:r>
          <w:rPr>
            <w:color w:val="235779"/>
            <w:u w:val="single"/>
          </w:rPr>
          <w:t>Physical stock, p1</w:t>
        </w:r>
      </w:hyperlink>
    </w:p>
    <w:p>
      <w:hyperlink r:id="rId127">
        <w:r>
          <w:rPr>
            <w:color w:val="235779"/>
            <w:u w:val="single"/>
          </w:rPr>
          <w:t>Returned monthly data</w:t>
        </w:r>
      </w:hyperlink>
    </w:p>
    <w:p>
      <w:hyperlink r:id="rId93">
        <w:r>
          <w:rPr>
            <w:color w:val="235779"/>
            <w:u w:val="single"/>
          </w:rPr>
          <w:t>Volume reconciliation and caveats</w:t>
        </w:r>
      </w:hyperlink>
    </w:p>
    <w:p>
      <w:bookmarkStart w:id="42" w:name="research_19"/>
      <w:pPr>
        <w:pStyle w:val="Heading1"/>
        <w:pageBreakBefore/>
      </w:pPr>
      <w:r>
        <w:t>19  India economics: build from an executable invoice</w:t>
      </w:r>
      <w:bookmarkEnd w:id="42"/>
    </w:p>
    <w:p>
      <w:r>
        <w:rPr>
          <w:b w:val="0"/>
          <w:i w:val="0"/>
        </w:rPr>
        <w:t>A dated trade establishes activity. A matched buy and sell package establishes a margin.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9"/>
        <w:gridCol w:w="3703"/>
        <w:gridCol w:w="4093"/>
      </w:tblGrid>
      <w:tr>
        <w:trPr>
          <w:tblHeader/>
          <w:cantSplit/>
        </w:trPr>
        <w:tc>
          <w:tcPr>
            <w:tcW w:type="dxa" w:w="1949"/>
            <w:vAlign w:val="center"/>
            <w:tcMar>
              <w:top w:w="80" w:type="dxa"/>
              <w:bottom w:w="80" w:type="dxa"/>
              <w:left w:w="100" w:type="dxa"/>
              <w:right w:w="100" w:type="dxa"/>
            </w:tcMar>
            <w:shd w:fill="DCE6EB"/>
          </w:tcPr>
          <w:p>
            <w:pPr>
              <w:keepNext/>
              <w:spacing w:after="0" w:before="0" w:line="252" w:lineRule="auto"/>
            </w:pPr>
            <w:r>
              <w:rPr>
                <w:b/>
                <w:i w:val="0"/>
                <w:sz w:val="20"/>
              </w:rPr>
              <w:t>Observed 23 September 2026</w:t>
            </w:r>
          </w:p>
        </w:tc>
        <w:tc>
          <w:tcPr>
            <w:tcW w:type="dxa" w:w="3703"/>
            <w:vAlign w:val="center"/>
            <w:tcMar>
              <w:top w:w="80" w:type="dxa"/>
              <w:bottom w:w="80" w:type="dxa"/>
              <w:left w:w="100" w:type="dxa"/>
              <w:right w:w="100" w:type="dxa"/>
            </w:tcMar>
            <w:shd w:fill="DCE6EB"/>
          </w:tcPr>
          <w:p>
            <w:pPr>
              <w:keepNext/>
              <w:spacing w:after="0" w:before="0" w:line="252" w:lineRule="auto"/>
            </w:pPr>
            <w:r>
              <w:rPr>
                <w:b/>
                <w:i w:val="0"/>
                <w:sz w:val="20"/>
              </w:rPr>
              <w:t>Lots / nominal mass</w:t>
            </w:r>
          </w:p>
        </w:tc>
        <w:tc>
          <w:tcPr>
            <w:tcW w:type="dxa" w:w="4093"/>
            <w:vAlign w:val="center"/>
            <w:tcMar>
              <w:top w:w="80" w:type="dxa"/>
              <w:bottom w:w="80" w:type="dxa"/>
              <w:left w:w="100" w:type="dxa"/>
              <w:right w:w="100" w:type="dxa"/>
            </w:tcMar>
            <w:shd w:fill="DCE6EB"/>
          </w:tcPr>
          <w:p>
            <w:pPr>
              <w:keepNext/>
              <w:spacing w:after="0" w:before="0" w:line="252" w:lineRule="auto"/>
            </w:pPr>
            <w:r>
              <w:rPr>
                <w:b/>
                <w:i w:val="0"/>
                <w:sz w:val="20"/>
              </w:rPr>
              <w:t>Closing price</w:t>
            </w:r>
          </w:p>
        </w:tc>
      </w:tr>
      <w:tr>
        <w:trPr>
          <w:cantSplit/>
        </w:trPr>
        <w:tc>
          <w:tcPr>
            <w:tcW w:type="dxa" w:w="1949"/>
            <w:vAlign w:val="center"/>
            <w:tcMar>
              <w:top w:w="80" w:type="dxa"/>
              <w:bottom w:w="80" w:type="dxa"/>
              <w:left w:w="100" w:type="dxa"/>
              <w:right w:w="100" w:type="dxa"/>
            </w:tcMar>
            <w:shd w:fill="FFFFFF"/>
          </w:tcPr>
          <w:p>
            <w:pPr>
              <w:keepNext w:val="0"/>
              <w:spacing w:after="0" w:before="0" w:line="252" w:lineRule="auto"/>
            </w:pPr>
            <w:r>
              <w:rPr>
                <w:b w:val="0"/>
                <w:i w:val="0"/>
                <w:sz w:val="20"/>
              </w:rPr>
              <w:t>LBMA silver bars · 30kg · 71069221 · GIFT</w:t>
            </w:r>
          </w:p>
        </w:tc>
        <w:tc>
          <w:tcPr>
            <w:tcW w:type="dxa" w:w="3703"/>
            <w:vAlign w:val="center"/>
            <w:tcMar>
              <w:top w:w="80" w:type="dxa"/>
              <w:bottom w:w="80" w:type="dxa"/>
              <w:left w:w="100" w:type="dxa"/>
              <w:right w:w="100" w:type="dxa"/>
            </w:tcMar>
            <w:shd w:fill="FFFFFF"/>
          </w:tcPr>
          <w:p>
            <w:pPr>
              <w:keepNext w:val="0"/>
              <w:spacing w:after="0" w:before="0" w:line="252" w:lineRule="auto"/>
            </w:pPr>
            <w:r>
              <w:rPr>
                <w:b w:val="0"/>
                <w:i w:val="0"/>
                <w:sz w:val="20"/>
              </w:rPr>
              <w:t>63 / 1,890kg</w:t>
            </w:r>
          </w:p>
        </w:tc>
        <w:tc>
          <w:tcPr>
            <w:tcW w:type="dxa" w:w="4093"/>
            <w:vAlign w:val="center"/>
            <w:tcMar>
              <w:top w:w="80" w:type="dxa"/>
              <w:bottom w:w="80" w:type="dxa"/>
              <w:left w:w="100" w:type="dxa"/>
              <w:right w:w="100" w:type="dxa"/>
            </w:tcMar>
            <w:shd w:fill="FFFFFF"/>
          </w:tcPr>
          <w:p>
            <w:pPr>
              <w:keepNext w:val="0"/>
              <w:spacing w:after="0" w:before="0" w:line="252" w:lineRule="auto"/>
            </w:pPr>
            <w:r>
              <w:rPr>
                <w:b w:val="0"/>
                <w:i w:val="0"/>
                <w:sz w:val="20"/>
              </w:rPr>
              <w:t>$65.900/oz</w:t>
            </w:r>
          </w:p>
        </w:tc>
      </w:tr>
      <w:tr>
        <w:trPr>
          <w:cantSplit/>
        </w:trPr>
        <w:tc>
          <w:tcPr>
            <w:tcW w:type="dxa" w:w="1949"/>
            <w:vAlign w:val="center"/>
            <w:tcMar>
              <w:top w:w="80" w:type="dxa"/>
              <w:bottom w:w="80" w:type="dxa"/>
              <w:left w:w="100" w:type="dxa"/>
              <w:right w:w="100" w:type="dxa"/>
            </w:tcMar>
            <w:shd w:fill="F4F7F8"/>
          </w:tcPr>
          <w:p>
            <w:pPr>
              <w:keepNext w:val="0"/>
              <w:spacing w:after="0" w:before="0" w:line="252" w:lineRule="auto"/>
            </w:pPr>
            <w:r>
              <w:rPr>
                <w:b w:val="0"/>
                <w:i w:val="0"/>
                <w:sz w:val="20"/>
              </w:rPr>
              <w:t>UAEGD silver bars · 30kg · 71069120 · GIFT</w:t>
            </w:r>
          </w:p>
        </w:tc>
        <w:tc>
          <w:tcPr>
            <w:tcW w:type="dxa" w:w="3703"/>
            <w:vAlign w:val="center"/>
            <w:tcMar>
              <w:top w:w="80" w:type="dxa"/>
              <w:bottom w:w="80" w:type="dxa"/>
              <w:left w:w="100" w:type="dxa"/>
              <w:right w:w="100" w:type="dxa"/>
            </w:tcMar>
            <w:shd w:fill="F4F7F8"/>
          </w:tcPr>
          <w:p>
            <w:pPr>
              <w:keepNext w:val="0"/>
              <w:spacing w:after="0" w:before="0" w:line="252" w:lineRule="auto"/>
            </w:pPr>
            <w:r>
              <w:rPr>
                <w:b w:val="0"/>
                <w:i w:val="0"/>
                <w:sz w:val="20"/>
              </w:rPr>
              <w:t>16 / 480kg</w:t>
            </w:r>
          </w:p>
        </w:tc>
        <w:tc>
          <w:tcPr>
            <w:tcW w:type="dxa" w:w="4093"/>
            <w:vAlign w:val="center"/>
            <w:tcMar>
              <w:top w:w="80" w:type="dxa"/>
              <w:bottom w:w="80" w:type="dxa"/>
              <w:left w:w="100" w:type="dxa"/>
              <w:right w:w="100" w:type="dxa"/>
            </w:tcMar>
            <w:shd w:fill="F4F7F8"/>
          </w:tcPr>
          <w:p>
            <w:pPr>
              <w:keepNext w:val="0"/>
              <w:spacing w:after="0" w:before="0" w:line="252" w:lineRule="auto"/>
            </w:pPr>
            <w:r>
              <w:rPr>
                <w:b w:val="0"/>
                <w:i w:val="0"/>
                <w:sz w:val="20"/>
              </w:rPr>
              <w:t>$65.790/oz</w:t>
            </w:r>
          </w:p>
        </w:tc>
      </w:tr>
    </w:tbl>
    <w:p>
      <w:pPr>
        <w:spacing w:after="60" w:before="0" w:line="40" w:lineRule="exact"/>
      </w:pPr>
      <w:r>
        <w:rPr>
          <w:sz w:val="4"/>
        </w:rPr>
      </w:r>
    </w:p>
    <w:p>
      <w:r>
        <w:rPr>
          <w:b w:val="0"/>
          <w:i w:val="0"/>
        </w:rPr>
        <w:t>Net bank contribution = actual sale proceeds − acquisition − hedge/carry − conversion/loss − insured logistics − vault, DP and member charges − unrecoverable taxes and tax-funding costs.</w:t>
      </w:r>
    </w:p>
    <w:p>
      <w:pPr>
        <w:spacing w:after="100"/>
      </w:pPr>
      <w:r>
        <w:rPr>
          <w:b w:val="0"/>
          <w:i w:val="0"/>
          <w:sz w:val="18"/>
        </w:rPr>
        <w:t>The two closes are different contracts, without matched execution timestamps, not an executable spread. The $60 London price in the opening SLV example is hypothetical and must not be subtracted from these observations.</w:t>
      </w:r>
    </w:p>
    <w:p>
      <w:pPr>
        <w:spacing w:after="100"/>
      </w:pPr>
      <w:r>
        <w:rPr>
          <w:b w:val="0"/>
          <w:i w:val="0"/>
          <w:sz w:val="18"/>
        </w:rPr>
        <w:t>No matched London/IIBX bid–offer, size or all-in tax quote was obtained. Use a conditional price formula or firm buyer commitment; leave forecast margin unfilled until those inputs exist.</w:t>
      </w:r>
    </w:p>
    <w:p>
      <w:pPr>
        <w:pStyle w:val="Heading3"/>
        <w:pageBreakBefore w:val="0"/>
      </w:pPr>
      <w:r>
        <w:t>Evidence and assumptions</w:t>
      </w:r>
    </w:p>
    <w:p>
      <w:hyperlink r:id="rId128">
        <w:r>
          <w:rPr>
            <w:color w:val="235779"/>
            <w:u w:val="single"/>
          </w:rPr>
          <w:t>Official 23 September summary</w:t>
        </w:r>
      </w:hyperlink>
    </w:p>
    <w:p>
      <w:hyperlink r:id="rId129">
        <w:r>
          <w:rPr>
            <w:color w:val="235779"/>
            <w:u w:val="single"/>
          </w:rPr>
          <w:t>Saved price records</w:t>
        </w:r>
      </w:hyperlink>
    </w:p>
    <w:p>
      <w:hyperlink r:id="rId93">
        <w:r>
          <w:rPr>
            <w:color w:val="235779"/>
            <w:u w:val="single"/>
          </w:rPr>
          <w:t>Full landed-cost requirements</w:t>
        </w:r>
      </w:hyperlink>
    </w:p>
    <w:p>
      <w:bookmarkStart w:id="43" w:name="research_20"/>
      <w:pPr>
        <w:pStyle w:val="Heading1"/>
        <w:pageBreakBefore/>
      </w:pPr>
      <w:r>
        <w:t>20  Worked delivery: ten bank-owned silver bars</w:t>
      </w:r>
      <w:bookmarkEnd w:id="43"/>
    </w:p>
    <w:p>
      <w:r>
        <w:rPr>
          <w:b w:val="0"/>
          <w:i w:val="0"/>
        </w:rPr>
        <w:t>Illustrative physical passport: ten 1,000 gross-oz bars at .999 fineness = 10,000 gross oz, 9,990 fine oz and 311.035 gross kg.</w:t>
      </w:r>
    </w:p>
    <w:p>
      <w:pPr>
        <w:ind w:left="360" w:hanging="360"/>
      </w:pPr>
      <w:r>
        <w:t xml:space="preserve">1. </w:t>
      </w:r>
      <w:r>
        <w:rPr>
          <w:b/>
          <w:i w:val="0"/>
        </w:rPr>
        <w:t>Approve buyer and route.</w:t>
      </w:r>
      <w:r>
        <w:rPr>
          <w:b w:val="0"/>
          <w:i w:val="0"/>
        </w:rPr>
        <w:t xml:space="preserve"> Confirm importer, HS code, permissions, end use and price before shipment.</w:t>
      </w:r>
    </w:p>
    <w:p>
      <w:pPr>
        <w:ind w:left="360" w:hanging="360"/>
      </w:pPr>
      <w:r>
        <w:t xml:space="preserve">2. </w:t>
      </w:r>
      <w:r>
        <w:rPr>
          <w:b/>
          <w:i w:val="0"/>
        </w:rPr>
        <w:t>Acquire eligible bank-owned bars.</w:t>
      </w:r>
      <w:r>
        <w:rPr>
          <w:b w:val="0"/>
          <w:i w:val="0"/>
        </w:rPr>
        <w:t xml:space="preserve"> If sourced from SLV, complete ordinary authorised participant redemption first; any substitution has separate prior approvals.</w:t>
      </w:r>
    </w:p>
    <w:p>
      <w:pPr>
        <w:ind w:left="360" w:hanging="360"/>
      </w:pPr>
      <w:r>
        <w:t xml:space="preserve">3. </w:t>
      </w:r>
      <w:r>
        <w:rPr>
          <w:b/>
          <w:i w:val="0"/>
        </w:rPr>
        <w:t>Ship, receive and issue BDRs.</w:t>
      </w:r>
      <w:r>
        <w:rPr>
          <w:b w:val="0"/>
          <w:i w:val="0"/>
        </w:rPr>
        <w:t xml:space="preserve"> Verify bar records, insurance handoffs, customs state and receiving-vault acceptance; use the supplier’s DP/depository chain.</w:t>
      </w:r>
    </w:p>
    <w:p>
      <w:pPr>
        <w:ind w:left="360" w:hanging="360"/>
      </w:pPr>
      <w:r>
        <w:t xml:space="preserve">4. </w:t>
      </w:r>
      <w:r>
        <w:rPr>
          <w:b/>
          <w:i w:val="0"/>
        </w:rPr>
        <w:t>Settle cash and title.</w:t>
      </w:r>
      <w:r>
        <w:rPr>
          <w:b w:val="0"/>
          <w:i w:val="0"/>
        </w:rPr>
        <w:t xml:space="preserve"> The seller delivers 100% BDRs; the eligible buyer funds under the applicable settlement and remittance rules.</w:t>
      </w:r>
    </w:p>
    <w:p>
      <w:pPr>
        <w:ind w:left="360" w:hanging="360"/>
      </w:pPr>
      <w:r>
        <w:t xml:space="preserve">5. </w:t>
      </w:r>
      <w:r>
        <w:rPr>
          <w:b/>
          <w:i w:val="0"/>
        </w:rPr>
        <w:t>Withdraw and reconcile.</w:t>
      </w:r>
      <w:r>
        <w:rPr>
          <w:b w:val="0"/>
          <w:i w:val="0"/>
        </w:rPr>
        <w:t xml:space="preserve"> Extinguish BDRs, complete customs, release metal and match bars, payable weight, cash and delivery evidence.</w:t>
      </w:r>
    </w:p>
    <w:p>
      <w:pPr>
        <w:spacing w:after="100"/>
      </w:pPr>
      <w:r>
        <w:rPr>
          <w:b w:val="0"/>
          <w:i w:val="0"/>
          <w:sz w:val="18"/>
        </w:rPr>
        <w:t>Ten nominal 30kg lots report 300kg; these example bars weigh 311.035kg. Actual weights and the invoice control. Fund-owned metal is neither pledged nor transported to India under this proposed bank-owned route.</w:t>
      </w:r>
    </w:p>
    <w:p>
      <w:pPr>
        <w:pStyle w:val="Heading3"/>
        <w:pageBreakBefore w:val="0"/>
      </w:pPr>
      <w:r>
        <w:t>Evidence and assumptions</w:t>
      </w:r>
    </w:p>
    <w:p>
      <w:hyperlink r:id="rId93">
        <w:r>
          <w:rPr>
            <w:color w:val="235779"/>
            <w:u w:val="single"/>
          </w:rPr>
          <w:t>Detailed seven-step worked path</w:t>
        </w:r>
      </w:hyperlink>
    </w:p>
    <w:p>
      <w:hyperlink r:id="rId130">
        <w:r>
          <w:rPr>
            <w:color w:val="235779"/>
            <w:u w:val="single"/>
          </w:rPr>
          <w:t>IIDI operating procedure</w:t>
        </w:r>
      </w:hyperlink>
    </w:p>
    <w:p>
      <w:hyperlink r:id="rId92">
        <w:r>
          <w:rPr>
            <w:color w:val="235779"/>
            <w:u w:val="single"/>
          </w:rPr>
          <w:t>SLV custody and AP constraints</w:t>
        </w:r>
      </w:hyperlink>
    </w:p>
    <w:p>
      <w:bookmarkStart w:id="44" w:name="research_21"/>
      <w:pPr>
        <w:pStyle w:val="Heading1"/>
        <w:pageBreakBefore/>
      </w:pPr>
      <w:r>
        <w:t>21  India delivery needs four separate approvals</w:t>
      </w:r>
      <w:bookmarkEnd w:id="44"/>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16"/>
        <w:gridCol w:w="6530"/>
      </w:tblGrid>
      <w:tr>
        <w:trPr>
          <w:tblHeader/>
          <w:cantSplit/>
        </w:trPr>
        <w:tc>
          <w:tcPr>
            <w:tcW w:type="dxa" w:w="3216"/>
            <w:vAlign w:val="center"/>
            <w:tcMar>
              <w:top w:w="80" w:type="dxa"/>
              <w:bottom w:w="80" w:type="dxa"/>
              <w:left w:w="100" w:type="dxa"/>
              <w:right w:w="100" w:type="dxa"/>
            </w:tcMar>
            <w:shd w:fill="DCE6EB"/>
          </w:tcPr>
          <w:p>
            <w:pPr>
              <w:keepNext/>
              <w:spacing w:after="0" w:before="0" w:line="252" w:lineRule="auto"/>
            </w:pPr>
            <w:r>
              <w:rPr>
                <w:b/>
                <w:i w:val="0"/>
                <w:sz w:val="20"/>
              </w:rPr>
              <w:t>Gate</w:t>
            </w:r>
          </w:p>
        </w:tc>
        <w:tc>
          <w:tcPr>
            <w:tcW w:type="dxa" w:w="6530"/>
            <w:vAlign w:val="center"/>
            <w:tcMar>
              <w:top w:w="80" w:type="dxa"/>
              <w:bottom w:w="80" w:type="dxa"/>
              <w:left w:w="100" w:type="dxa"/>
              <w:right w:w="100" w:type="dxa"/>
            </w:tcMar>
            <w:shd w:fill="DCE6EB"/>
          </w:tcPr>
          <w:p>
            <w:pPr>
              <w:keepNext/>
              <w:spacing w:after="0" w:before="0" w:line="252" w:lineRule="auto"/>
            </w:pPr>
            <w:r>
              <w:rPr>
                <w:b/>
                <w:i w:val="0"/>
                <w:sz w:val="20"/>
              </w:rPr>
              <w:t>Verified rule / required decision</w:t>
            </w:r>
          </w:p>
        </w:tc>
      </w:tr>
      <w:tr>
        <w:trPr>
          <w:cantSplit/>
        </w:trPr>
        <w:tc>
          <w:tcPr>
            <w:tcW w:type="dxa" w:w="3216"/>
            <w:vAlign w:val="center"/>
            <w:tcMar>
              <w:top w:w="80" w:type="dxa"/>
              <w:bottom w:w="80" w:type="dxa"/>
              <w:left w:w="100" w:type="dxa"/>
              <w:right w:w="100" w:type="dxa"/>
            </w:tcMar>
            <w:shd w:fill="FFFFFF"/>
          </w:tcPr>
          <w:p>
            <w:pPr>
              <w:keepNext w:val="0"/>
              <w:spacing w:after="0" w:before="0" w:line="252" w:lineRule="auto"/>
            </w:pPr>
            <w:r>
              <w:rPr>
                <w:b w:val="0"/>
                <w:i w:val="0"/>
                <w:sz w:val="20"/>
              </w:rPr>
              <w:t>Supplier and importer</w:t>
            </w:r>
          </w:p>
        </w:tc>
        <w:tc>
          <w:tcPr>
            <w:tcW w:type="dxa" w:w="6530"/>
            <w:vAlign w:val="center"/>
            <w:tcMar>
              <w:top w:w="80" w:type="dxa"/>
              <w:bottom w:w="80" w:type="dxa"/>
              <w:left w:w="100" w:type="dxa"/>
              <w:right w:w="100" w:type="dxa"/>
            </w:tcMar>
            <w:shd w:fill="FFFFFF"/>
          </w:tcPr>
          <w:p>
            <w:pPr>
              <w:keepNext w:val="0"/>
              <w:spacing w:after="0" w:before="0" w:line="252" w:lineRule="auto"/>
            </w:pPr>
            <w:r>
              <w:rPr>
                <w:b w:val="0"/>
                <w:i w:val="0"/>
                <w:sz w:val="20"/>
              </w:rPr>
              <w:t>Named QS entity, member and DP. Silver 71069110/71069120 requires DGFT authorisation; 71069221 route requires an eligible SEZ jewellery-export unit with valid LoA.</w:t>
            </w:r>
          </w:p>
        </w:tc>
      </w:tr>
      <w:tr>
        <w:trPr>
          <w:cantSplit/>
        </w:trPr>
        <w:tc>
          <w:tcPr>
            <w:tcW w:type="dxa" w:w="3216"/>
            <w:vAlign w:val="center"/>
            <w:tcMar>
              <w:top w:w="80" w:type="dxa"/>
              <w:bottom w:w="80" w:type="dxa"/>
              <w:left w:w="100" w:type="dxa"/>
              <w:right w:w="100" w:type="dxa"/>
            </w:tcMar>
            <w:shd w:fill="F4F7F8"/>
          </w:tcPr>
          <w:p>
            <w:pPr>
              <w:keepNext w:val="0"/>
              <w:spacing w:after="0" w:before="0" w:line="252" w:lineRule="auto"/>
            </w:pPr>
            <w:r>
              <w:rPr>
                <w:b w:val="0"/>
                <w:i w:val="0"/>
                <w:sz w:val="20"/>
              </w:rPr>
              <w:t>Settlement and funding</w:t>
            </w:r>
          </w:p>
        </w:tc>
        <w:tc>
          <w:tcPr>
            <w:tcW w:type="dxa" w:w="6530"/>
            <w:vAlign w:val="center"/>
            <w:tcMar>
              <w:top w:w="80" w:type="dxa"/>
              <w:bottom w:w="80" w:type="dxa"/>
              <w:left w:w="100" w:type="dxa"/>
              <w:right w:w="100" w:type="dxa"/>
            </w:tcMar>
            <w:shd w:fill="F4F7F8"/>
          </w:tcPr>
          <w:p>
            <w:pPr>
              <w:keepNext w:val="0"/>
              <w:spacing w:after="0" w:before="0" w:line="252" w:lineRule="auto"/>
            </w:pPr>
            <w:r>
              <w:rPr>
                <w:b w:val="0"/>
                <w:i w:val="0"/>
                <w:sz w:val="20"/>
              </w:rPr>
              <w:t>T+0 prefunding or T+2 launched 6 May 2026. T+2 seller predeposits 100% BDRs on T before order entry; silver buyer margin max(15%, two-day VaR), full cash before payout.</w:t>
            </w:r>
          </w:p>
        </w:tc>
      </w:tr>
      <w:tr>
        <w:trPr>
          <w:cantSplit/>
        </w:trPr>
        <w:tc>
          <w:tcPr>
            <w:tcW w:type="dxa" w:w="3216"/>
            <w:vAlign w:val="center"/>
            <w:tcMar>
              <w:top w:w="80" w:type="dxa"/>
              <w:bottom w:w="80" w:type="dxa"/>
              <w:left w:w="100" w:type="dxa"/>
              <w:right w:w="100" w:type="dxa"/>
            </w:tcMar>
            <w:shd w:fill="FFFFFF"/>
          </w:tcPr>
          <w:p>
            <w:pPr>
              <w:keepNext w:val="0"/>
              <w:spacing w:after="0" w:before="0" w:line="252" w:lineRule="auto"/>
            </w:pPr>
            <w:r>
              <w:rPr>
                <w:b w:val="0"/>
                <w:i w:val="0"/>
                <w:sz w:val="20"/>
              </w:rPr>
              <w:t>Custody and physical movement</w:t>
            </w:r>
          </w:p>
        </w:tc>
        <w:tc>
          <w:tcPr>
            <w:tcW w:type="dxa" w:w="6530"/>
            <w:vAlign w:val="center"/>
            <w:tcMar>
              <w:top w:w="80" w:type="dxa"/>
              <w:bottom w:w="80" w:type="dxa"/>
              <w:left w:w="100" w:type="dxa"/>
              <w:right w:w="100" w:type="dxa"/>
            </w:tcMar>
            <w:shd w:fill="FFFFFF"/>
          </w:tcPr>
          <w:p>
            <w:pPr>
              <w:keepNext w:val="0"/>
              <w:spacing w:after="0" w:before="0" w:line="252" w:lineRule="auto"/>
            </w:pPr>
            <w:r>
              <w:rPr>
                <w:b w:val="0"/>
                <w:i w:val="0"/>
                <w:sz w:val="20"/>
              </w:rPr>
              <w:t>Five listed vaults: three GIFT, two Chennai. Confirm capacity, provenance, intake, customs status and transport/title/insurance handoffs.</w:t>
            </w:r>
          </w:p>
        </w:tc>
      </w:tr>
      <w:tr>
        <w:trPr>
          <w:cantSplit/>
        </w:trPr>
        <w:tc>
          <w:tcPr>
            <w:tcW w:type="dxa" w:w="3216"/>
            <w:vAlign w:val="center"/>
            <w:tcMar>
              <w:top w:w="80" w:type="dxa"/>
              <w:bottom w:w="80" w:type="dxa"/>
              <w:left w:w="100" w:type="dxa"/>
              <w:right w:w="100" w:type="dxa"/>
            </w:tcMar>
            <w:shd w:fill="F4F7F8"/>
          </w:tcPr>
          <w:p>
            <w:pPr>
              <w:keepNext w:val="0"/>
              <w:spacing w:after="0" w:before="0" w:line="252" w:lineRule="auto"/>
            </w:pPr>
            <w:r>
              <w:rPr>
                <w:b w:val="0"/>
                <w:i w:val="0"/>
                <w:sz w:val="20"/>
              </w:rPr>
              <w:t>Insurance and assurance</w:t>
            </w:r>
          </w:p>
        </w:tc>
        <w:tc>
          <w:tcPr>
            <w:tcW w:type="dxa" w:w="6530"/>
            <w:vAlign w:val="center"/>
            <w:tcMar>
              <w:top w:w="80" w:type="dxa"/>
              <w:bottom w:w="80" w:type="dxa"/>
              <w:left w:w="100" w:type="dxa"/>
              <w:right w:w="100" w:type="dxa"/>
            </w:tcMar>
            <w:shd w:fill="F4F7F8"/>
          </w:tcPr>
          <w:p>
            <w:pPr>
              <w:keepNext w:val="0"/>
              <w:spacing w:after="0" w:before="0" w:line="252" w:lineRule="auto"/>
            </w:pPr>
            <w:r>
              <w:rPr>
                <w:b w:val="0"/>
                <w:i w:val="0"/>
                <w:sz w:val="20"/>
              </w:rPr>
              <w:t>IIDI SOP requires stored-metal cover, fidelity/crime and professional indemnity, daily stock/BDR reconciliation and periodic verification. Obtain actual policy, limits and exception evidence.</w:t>
            </w:r>
          </w:p>
        </w:tc>
      </w:tr>
    </w:tbl>
    <w:p>
      <w:pPr>
        <w:spacing w:after="60" w:before="0" w:line="40" w:lineRule="exact"/>
      </w:pPr>
      <w:r>
        <w:rPr>
          <w:sz w:val="4"/>
        </w:rPr>
      </w:r>
    </w:p>
    <w:p>
      <w:pPr>
        <w:spacing w:after="100"/>
      </w:pPr>
      <w:r>
        <w:rPr>
          <w:b w:val="0"/>
          <w:i w:val="0"/>
          <w:sz w:val="18"/>
        </w:rPr>
        <w:t>DP demat accounts mandatory from 1 July 2026. T+2 does not override importer advance-remittance rules. BDR title, warehouse release and duty-paid domestic entry are separate events; QJ/TRQ buy-only import accounts are not two-way trading books.</w:t>
      </w:r>
    </w:p>
    <w:p>
      <w:pPr>
        <w:spacing w:after="100"/>
      </w:pPr>
      <w:r>
        <w:rPr>
          <w:b w:val="0"/>
          <w:i w:val="0"/>
          <w:sz w:val="18"/>
        </w:rPr>
        <w:t>Private policies, direct claim rights, seamless transit cover and current all-in Indian tax cost remain unverified. Refresh FEMA implementation for transactions from 1 October 2026.</w:t>
      </w:r>
    </w:p>
    <w:p>
      <w:pPr>
        <w:pStyle w:val="Heading3"/>
        <w:pageBreakBefore w:val="0"/>
      </w:pPr>
      <w:r>
        <w:t>Evidence and assumptions</w:t>
      </w:r>
    </w:p>
    <w:p>
      <w:hyperlink r:id="rId131">
        <w:r>
          <w:rPr>
            <w:color w:val="235779"/>
            <w:u w:val="single"/>
          </w:rPr>
          <w:t>22 September IFSCA consolidation, pp3,5–6,10,12–15</w:t>
        </w:r>
      </w:hyperlink>
    </w:p>
    <w:p>
      <w:hyperlink r:id="rId132">
        <w:r>
          <w:rPr>
            <w:color w:val="235779"/>
            <w:u w:val="single"/>
          </w:rPr>
          <w:t>T+2 silver contract</w:t>
        </w:r>
      </w:hyperlink>
    </w:p>
    <w:p>
      <w:hyperlink r:id="rId133">
        <w:r>
          <w:rPr>
            <w:color w:val="235779"/>
            <w:u w:val="single"/>
          </w:rPr>
          <w:t>DP circular</w:t>
        </w:r>
      </w:hyperlink>
    </w:p>
    <w:p>
      <w:hyperlink r:id="rId134">
        <w:r>
          <w:rPr>
            <w:color w:val="235779"/>
            <w:u w:val="single"/>
          </w:rPr>
          <w:t>Vault directory</w:t>
        </w:r>
      </w:hyperlink>
    </w:p>
    <w:p>
      <w:hyperlink r:id="rId130">
        <w:r>
          <w:rPr>
            <w:color w:val="235779"/>
            <w:u w:val="single"/>
          </w:rPr>
          <w:t>IIDI SOP, pp3–4,21,30</w:t>
        </w:r>
      </w:hyperlink>
    </w:p>
    <w:p>
      <w:bookmarkStart w:id="45" w:name="research_22"/>
      <w:pPr>
        <w:pStyle w:val="Heading1"/>
        <w:pageBreakBefore/>
      </w:pPr>
      <w:r>
        <w:t>22  2025: tariff expectations changed location demand</w:t>
      </w:r>
      <w:bookmarkEnd w:id="45"/>
    </w:p>
    <w:p>
      <w:r>
        <w:rPr>
          <w:b w:val="0"/>
          <w:i w:val="0"/>
        </w:rPr>
        <w:t>Reported gold and silver spreads alongside tariff headlines and the London silver squeeze.</w:t>
      </w:r>
    </w:p>
    <w:p>
      <w:pPr>
        <w:spacing w:after="100" w:line="240" w:lineRule="auto"/>
        <w:jc w:val="center"/>
      </w:pPr>
      <w:r>
        <w:drawing>
          <wp:inline xmlns:a="http://schemas.openxmlformats.org/drawingml/2006/main" xmlns:pic="http://schemas.openxmlformats.org/drawingml/2006/picture">
            <wp:extent cx="6188456" cy="2887946"/>
            <wp:docPr id="2" name="Picture 2" descr="2025 gold and silver reported EFP observations on a shared calendar, with selected policy and London liquidity events. Gold and silver use separate scales. Sparse points are not joined."/>
            <wp:cNvGraphicFramePr>
              <a:graphicFrameLocks noChangeAspect="1"/>
            </wp:cNvGraphicFramePr>
            <a:graphic>
              <a:graphicData uri="http://schemas.openxmlformats.org/drawingml/2006/picture">
                <pic:pic>
                  <pic:nvPicPr>
                    <pic:cNvPr id="0" name="EFP-tariffs-preview.png"/>
                    <pic:cNvPicPr/>
                  </pic:nvPicPr>
                  <pic:blipFill>
                    <a:blip r:embed="rId135"/>
                    <a:stretch>
                      <a:fillRect/>
                    </a:stretch>
                  </pic:blipFill>
                  <pic:spPr>
                    <a:xfrm>
                      <a:off x="0" y="0"/>
                      <a:ext cx="6188456" cy="2887946"/>
                    </a:xfrm>
                    <a:prstGeom prst="rect"/>
                  </pic:spPr>
                </pic:pic>
              </a:graphicData>
            </a:graphic>
          </wp:inline>
        </w:drawing>
      </w:r>
    </w:p>
    <w:p>
      <w:pPr>
        <w:spacing w:after="100"/>
      </w:pPr>
      <w:r>
        <w:rPr>
          <w:b w:val="0"/>
          <w:sz w:val="18"/>
        </w:rPr>
        <w:t>1 · 16 Jan: tariff fears before inauguration | 6 · 2 Apr: reciprocal duties, bullion carve-outs | 10 · 8 Aug: gold-bar tariff disruption reported | 11 · 5 Sep: formal gold-code relief signed | 12 · 6 Oct: London silver borrowing tightens</w:t>
      </w:r>
    </w:p>
    <w:p>
      <w:pPr>
        <w:spacing w:after="100"/>
      </w:pPr>
      <w:r>
        <w:rPr>
          <w:b w:val="0"/>
          <w:i w:val="0"/>
          <w:sz w:val="18"/>
        </w:rPr>
        <w:t>Circles: reported spreads. Triangle: dealer ask. Whiskers: bid/ask. Arrows: strict lower bounds. Different contracts and quote times; no continuous or exact first-delivery-day forward EFP history. Headline timing alone does not establish causation.</w:t>
      </w:r>
    </w:p>
    <w:p>
      <w:hyperlink r:id="rId136">
        <w:r>
          <w:rPr>
            <w:color w:val="235779"/>
            <w:u w:val="single"/>
          </w:rPr>
          <w:t>Explore the interactive EFP and tariff timeline, with sources and focused date windows</w:t>
        </w:r>
      </w:hyperlink>
      <w:r>
        <w:rPr>
          <w:b w:val="0"/>
          <w:i w:val="0"/>
        </w:rPr>
        <w:t xml:space="preserve"> ↗</w:t>
      </w:r>
    </w:p>
    <w:p>
      <w:pPr>
        <w:spacing w:after="100"/>
      </w:pPr>
      <w:r>
        <w:rPr>
          <w:b w:val="0"/>
          <w:i w:val="0"/>
          <w:sz w:val="18"/>
        </w:rPr>
        <w:t>Location premiums can change direction. The proposed service must price both relocation and the value of retaining inventory.</w:t>
      </w:r>
    </w:p>
    <w:p>
      <w:pPr>
        <w:pStyle w:val="Heading3"/>
        <w:pageBreakBefore w:val="0"/>
      </w:pPr>
      <w:r>
        <w:t>Original tariff chronology and qualifications</w:t>
      </w:r>
    </w:p>
    <w:p>
      <w:pPr>
        <w:ind w:left="360" w:hanging="360"/>
      </w:pPr>
      <w:r>
        <w:t xml:space="preserve">1. </w:t>
      </w:r>
      <w:r>
        <w:rPr>
          <w:b w:val="0"/>
          <w:i w:val="0"/>
        </w:rPr>
        <w:t>20 Jan</w:t>
      </w:r>
      <w:r>
        <w:br/>
      </w:r>
      <w:r>
        <w:t xml:space="preserve"> </w:t>
      </w:r>
      <w:r>
        <w:rPr>
          <w:b/>
          <w:i w:val="0"/>
        </w:rPr>
        <w:t>Review first; no bullion rate in the memorandum</w:t>
      </w:r>
      <w:r>
        <w:br/>
      </w:r>
      <w:r>
        <w:t xml:space="preserve"> </w:t>
      </w:r>
      <w:r>
        <w:rPr>
          <w:b w:val="0"/>
          <w:i w:val="0"/>
        </w:rPr>
        <w:t>The second-term trade-policy review opened uncertainty about future treatment.</w:t>
      </w:r>
    </w:p>
    <w:p>
      <w:pPr>
        <w:ind w:left="360" w:hanging="360"/>
      </w:pPr>
      <w:r>
        <w:t xml:space="preserve">2. </w:t>
      </w:r>
      <w:r>
        <w:rPr>
          <w:b w:val="0"/>
          <w:i w:val="0"/>
        </w:rPr>
        <w:t>1 Feb–7 Mar</w:t>
      </w:r>
      <w:r>
        <w:br/>
      </w:r>
      <w:r>
        <w:t xml:space="preserve"> </w:t>
      </w:r>
      <w:r>
        <w:rPr>
          <w:b/>
          <w:i w:val="0"/>
        </w:rPr>
        <w:t>Country duties and changing implementation</w:t>
      </w:r>
      <w:r>
        <w:br/>
      </w:r>
      <w:r>
        <w:t xml:space="preserve"> </w:t>
      </w:r>
      <w:r>
        <w:rPr>
          <w:b w:val="0"/>
          <w:i w:val="0"/>
        </w:rPr>
        <w:t>China’s 10% began 4 February, rising to 20% on 4 March. Canada/Mexico duties began 4 March; qualifying USMCA relief followed 7 March.</w:t>
      </w:r>
    </w:p>
    <w:p>
      <w:pPr>
        <w:ind w:left="360" w:hanging="360"/>
      </w:pPr>
      <w:r>
        <w:t xml:space="preserve">3. </w:t>
      </w:r>
      <w:r>
        <w:rPr>
          <w:b w:val="0"/>
          <w:i w:val="0"/>
        </w:rPr>
        <w:t>27 Feb report</w:t>
      </w:r>
      <w:r>
        <w:br/>
      </w:r>
      <w:r>
        <w:t xml:space="preserve"> </w:t>
      </w:r>
      <w:r>
        <w:rPr>
          <w:b/>
          <w:i w:val="0"/>
        </w:rPr>
        <w:t>Gold futures-minus-spot widened</w:t>
      </w:r>
      <w:r>
        <w:br/>
      </w:r>
      <w:r>
        <w:t xml:space="preserve"> </w:t>
      </w:r>
      <w:r>
        <w:rPr>
          <w:b w:val="0"/>
          <w:i w:val="0"/>
        </w:rPr>
        <w:t>With data through 24–25 February, WGC reported the spread had reached $40–50/oz versus a preceding two-year average of $13/oz, with substantial US stock accumulation. This is a futures/spot proxy, not a matched physical EFP quote.</w:t>
      </w:r>
    </w:p>
    <w:p>
      <w:pPr>
        <w:ind w:left="360" w:hanging="360"/>
      </w:pPr>
      <w:r>
        <w:t xml:space="preserve">4. </w:t>
      </w:r>
      <w:r>
        <w:rPr>
          <w:b w:val="0"/>
          <w:i w:val="0"/>
        </w:rPr>
        <w:t>2–5 Apr</w:t>
      </w:r>
      <w:r>
        <w:br/>
      </w:r>
      <w:r>
        <w:t xml:space="preserve"> </w:t>
      </w:r>
      <w:r>
        <w:rPr>
          <w:b/>
          <w:i w:val="0"/>
        </w:rPr>
        <w:t>Specified bullion codes excluded from reciprocal duties</w:t>
      </w:r>
      <w:r>
        <w:br/>
      </w:r>
      <w:r>
        <w:t xml:space="preserve"> </w:t>
      </w:r>
      <w:r>
        <w:rPr>
          <w:b w:val="0"/>
          <w:i w:val="0"/>
        </w:rPr>
        <w:t>Natixis reported sharp gold/silver EFP compression on 3 April after the 2 April announcement. Exceptions depended on exact classification.</w:t>
      </w:r>
    </w:p>
    <w:p>
      <w:pPr>
        <w:spacing w:after="100"/>
      </w:pPr>
      <w:r>
        <w:rPr>
          <w:b w:val="0"/>
          <w:i w:val="0"/>
          <w:sz w:val="18"/>
        </w:rPr>
        <w:t>Selected second-term chronology through 23 September 2026. December 2024 is used only as a pre-inauguration stock baseline. Market reactions reflect several forces; timing alone does not prove a tariff-only effect.</w:t>
      </w:r>
    </w:p>
    <w:p>
      <w:pPr>
        <w:pStyle w:val="Heading3"/>
        <w:pageBreakBefore w:val="0"/>
      </w:pPr>
      <w:r>
        <w:t>Evidence and assumptions</w:t>
      </w:r>
    </w:p>
    <w:p>
      <w:hyperlink r:id="rId137">
        <w:r>
          <w:rPr>
            <w:color w:val="235779"/>
            <w:u w:val="single"/>
          </w:rPr>
          <w:t>27-event timeline with operative dates</w:t>
        </w:r>
      </w:hyperlink>
    </w:p>
    <w:p>
      <w:hyperlink r:id="rId138">
        <w:r>
          <w:rPr>
            <w:color w:val="235779"/>
            <w:u w:val="single"/>
          </w:rPr>
          <w:t>WGC 27 February analysis</w:t>
        </w:r>
      </w:hyperlink>
    </w:p>
    <w:p>
      <w:hyperlink r:id="rId139">
        <w:r>
          <w:rPr>
            <w:color w:val="235779"/>
            <w:u w:val="single"/>
          </w:rPr>
          <w:t>April Annex II, p31</w:t>
        </w:r>
      </w:hyperlink>
    </w:p>
    <w:p>
      <w:hyperlink r:id="rId140">
        <w:r>
          <w:rPr>
            <w:color w:val="235779"/>
            <w:u w:val="single"/>
          </w:rPr>
          <w:t>Natixis, 3 April</w:t>
        </w:r>
      </w:hyperlink>
    </w:p>
    <w:p>
      <w:hyperlink r:id="rId141">
        <w:r>
          <w:rPr>
            <w:color w:val="235779"/>
            <w:u w:val="single"/>
          </w:rPr>
          <w:t>Legal and numerical qualifications</w:t>
        </w:r>
      </w:hyperlink>
    </w:p>
    <w:p>
      <w:pPr>
        <w:pStyle w:val="Heading2"/>
        <w:pageBreakBefore w:val="0"/>
      </w:pPr>
      <w:r>
        <w:t>Source observations behind the chart</w:t>
      </w:r>
    </w:p>
    <w:p>
      <w:r>
        <w:rPr>
          <w:b w:val="0"/>
        </w:rPr>
        <w:t>Nineteen sparse observations retain their original quote definitions, dates, contracts and source qualifications. These are editable records supporting the figure.</w:t>
      </w:r>
    </w:p>
    <w:p>
      <w:pPr>
        <w:pStyle w:val="Heading3"/>
        <w:pageBreakBefore w:val="0"/>
      </w:pPr>
      <w:r>
        <w:t>AU-1  Gold  2025-01-15</w:t>
      </w:r>
    </w:p>
    <w:p>
      <w:r>
        <w:rPr>
          <w:b w:val="0"/>
        </w:rPr>
        <w:t>Contract GCG25; value 23.0; USD/troy oz (source convention).</w:t>
      </w:r>
    </w:p>
    <w:p>
      <w:pPr>
        <w:spacing w:after="100"/>
      </w:pPr>
      <w:r>
        <w:rPr>
          <w:b w:val="0"/>
          <w:sz w:val="18"/>
        </w:rPr>
        <w:t>Kind reported; classification reported_futures_minus_spot; side unspecified; qualifier exact_reported.</w:t>
      </w:r>
    </w:p>
    <w:p>
      <w:pPr>
        <w:spacing w:after="100"/>
      </w:pPr>
      <w:r>
        <w:rPr>
          <w:b w:val="0"/>
          <w:sz w:val="18"/>
        </w:rPr>
        <w:t>February futures minus London spot; source says yesterday; observation time/side missing.</w:t>
      </w:r>
    </w:p>
    <w:p>
      <w:hyperlink r:id="rId142">
        <w:r>
          <w:rPr>
            <w:color w:val="235779"/>
            <w:u w:val="single"/>
          </w:rPr>
          <w:t>BullionVault</w:t>
        </w:r>
      </w:hyperlink>
      <w:r>
        <w:t xml:space="preserve"> — publication 2025-01-16; observation date inferred: True; exact forward: False.</w:t>
      </w:r>
    </w:p>
    <w:p>
      <w:pPr>
        <w:pStyle w:val="Heading3"/>
        <w:pageBreakBefore w:val="0"/>
      </w:pPr>
      <w:r>
        <w:t>AU-2  Gold  2025-01-16</w:t>
      </w:r>
    </w:p>
    <w:p>
      <w:r>
        <w:rPr>
          <w:b w:val="0"/>
        </w:rPr>
        <w:t>Contract GCG25; value 30.0; USD/troy oz (source convention).</w:t>
      </w:r>
    </w:p>
    <w:p>
      <w:pPr>
        <w:spacing w:after="100"/>
      </w:pPr>
      <w:r>
        <w:rPr>
          <w:b w:val="0"/>
          <w:sz w:val="18"/>
        </w:rPr>
        <w:t>Kind reported; classification reported_futures_minus_spot; side unspecified; qualifier exact_reported.</w:t>
      </w:r>
    </w:p>
    <w:p>
      <w:pPr>
        <w:spacing w:after="100"/>
      </w:pPr>
      <w:r>
        <w:rPr>
          <w:b w:val="0"/>
          <w:sz w:val="18"/>
        </w:rPr>
        <w:t>February futures minus London spot; intraday level; exact time/side missing.</w:t>
      </w:r>
    </w:p>
    <w:p>
      <w:hyperlink r:id="rId142">
        <w:r>
          <w:rPr>
            <w:color w:val="235779"/>
            <w:u w:val="single"/>
          </w:rPr>
          <w:t>BullionVault</w:t>
        </w:r>
      </w:hyperlink>
      <w:r>
        <w:t xml:space="preserve"> — publication 2025-01-16; observation date inferred: False; exact forward: False.</w:t>
      </w:r>
    </w:p>
    <w:p>
      <w:pPr>
        <w:pStyle w:val="Heading3"/>
        <w:pageBreakBefore w:val="0"/>
      </w:pPr>
      <w:r>
        <w:t>SI-20250116-BV-BOUND  Silver  2025-01-16</w:t>
      </w:r>
    </w:p>
    <w:p>
      <w:r>
        <w:rPr>
          <w:b w:val="0"/>
        </w:rPr>
        <w:t>Contract SIH25; value strictly greater than 100.0; US cents/troy oz (saved USD/oz values multiplied by 100).</w:t>
      </w:r>
    </w:p>
    <w:p>
      <w:pPr>
        <w:spacing w:after="100"/>
      </w:pPr>
      <w:r>
        <w:rPr>
          <w:b w:val="0"/>
          <w:sz w:val="18"/>
        </w:rPr>
        <w:t>Kind reported; classification reported_futures_minus_spot_bound; side unspecified; qualifier greater_than.</w:t>
      </w:r>
    </w:p>
    <w:p>
      <w:pPr>
        <w:spacing w:after="100"/>
      </w:pPr>
      <w:r>
        <w:rPr>
          <w:b w:val="0"/>
          <w:sz w:val="18"/>
        </w:rPr>
        <w:t>Strict lower bound, not an exact price or close. No side, exact clock, OTC value date or executable size. Separate from 14 January rough recent high $1.10 whose exact observation date is unknown. March explicitly named; 2025 contract year inferred from 16 January 2025 narrative. Publication time is not the quote time.</w:t>
      </w:r>
    </w:p>
    <w:p>
      <w:hyperlink r:id="rId142">
        <w:r>
          <w:rPr>
            <w:color w:val="235779"/>
            <w:u w:val="single"/>
          </w:rPr>
          <w:t>BullionVault</w:t>
        </w:r>
      </w:hyperlink>
      <w:r>
        <w:t xml:space="preserve"> — publication 2025-01-16; observation date inferred: False; exact forward: False.</w:t>
      </w:r>
    </w:p>
    <w:p>
      <w:pPr>
        <w:pStyle w:val="Heading3"/>
        <w:pageBreakBefore w:val="0"/>
      </w:pPr>
      <w:r>
        <w:t>AU-3  Gold  2025-01-31</w:t>
      </w:r>
    </w:p>
    <w:p>
      <w:r>
        <w:rPr>
          <w:b w:val="0"/>
        </w:rPr>
        <w:t>Contract GCJ25; value 50.0; USD/troy oz (source convention).</w:t>
      </w:r>
    </w:p>
    <w:p>
      <w:pPr>
        <w:spacing w:after="100"/>
      </w:pPr>
      <w:r>
        <w:rPr>
          <w:b w:val="0"/>
          <w:sz w:val="18"/>
        </w:rPr>
        <w:t>Kind dealer_ask; classification reported_dealer_efp_ask; side dealer ask; qualifier as_much_as.</w:t>
      </w:r>
    </w:p>
    <w:p>
      <w:pPr>
        <w:spacing w:after="100"/>
      </w:pPr>
      <w:r>
        <w:rPr>
          <w:b w:val="0"/>
          <w:sz w:val="18"/>
        </w:rPr>
        <w:t>Source describes April EFP dealer asks and New York bullion; precise OTC leg/value-date undefined. Not FDD matched.</w:t>
      </w:r>
    </w:p>
    <w:p>
      <w:hyperlink r:id="rId143">
        <w:r>
          <w:rPr>
            <w:color w:val="235779"/>
            <w:u w:val="single"/>
          </w:rPr>
          <w:t>BullionVault</w:t>
        </w:r>
      </w:hyperlink>
      <w:r>
        <w:t xml:space="preserve"> — publication 2025-01-31; observation date inferred: False; exact forward: False.</w:t>
      </w:r>
    </w:p>
    <w:p>
      <w:pPr>
        <w:pStyle w:val="Heading3"/>
        <w:pageBreakBefore w:val="0"/>
      </w:pPr>
      <w:r>
        <w:t>AU-4  Gold  2025-01-31</w:t>
      </w:r>
    </w:p>
    <w:p>
      <w:r>
        <w:rPr>
          <w:b w:val="0"/>
        </w:rPr>
        <w:t>Contract active_unspecified; value 40.0; USD/troy oz (source convention).</w:t>
      </w:r>
    </w:p>
    <w:p>
      <w:pPr>
        <w:spacing w:after="100"/>
      </w:pPr>
      <w:r>
        <w:rPr>
          <w:b w:val="0"/>
          <w:sz w:val="18"/>
        </w:rPr>
        <w:t>Kind reported; classification reported_futures_minus_spot; side unspecified; qualifier reached.</w:t>
      </w:r>
    </w:p>
    <w:p>
      <w:pPr>
        <w:spacing w:after="100"/>
      </w:pPr>
      <w:r>
        <w:rPr>
          <w:b w:val="0"/>
          <w:sz w:val="18"/>
        </w:rPr>
        <w:t>Separate raw most-active futures minus London spot observation; do not merge with dealer ask50.</w:t>
      </w:r>
    </w:p>
    <w:p>
      <w:hyperlink r:id="rId143">
        <w:r>
          <w:rPr>
            <w:color w:val="235779"/>
            <w:u w:val="single"/>
          </w:rPr>
          <w:t>BullionVault</w:t>
        </w:r>
      </w:hyperlink>
      <w:r>
        <w:t xml:space="preserve"> — publication 2025-01-31; observation date inferred: False; exact forward: False.</w:t>
      </w:r>
    </w:p>
    <w:p>
      <w:pPr>
        <w:pStyle w:val="Heading3"/>
        <w:pageBreakBefore w:val="0"/>
      </w:pPr>
      <w:r>
        <w:t>AU-5  Gold  2025-04-03</w:t>
      </w:r>
    </w:p>
    <w:p>
      <w:r>
        <w:rPr>
          <w:b w:val="0"/>
        </w:rPr>
        <w:t>Contract GCM25; value 20.0; USD/troy oz (source convention).</w:t>
      </w:r>
    </w:p>
    <w:p>
      <w:pPr>
        <w:spacing w:after="100"/>
      </w:pPr>
      <w:r>
        <w:rPr>
          <w:b w:val="0"/>
          <w:sz w:val="18"/>
        </w:rPr>
        <w:t>Kind reported; classification reported_futures_minus_spot; side unspecified; qualifier intraday_low.</w:t>
      </w:r>
    </w:p>
    <w:p>
      <w:pPr>
        <w:spacing w:after="100"/>
      </w:pPr>
      <w:r>
        <w:rPr>
          <w:b w:val="0"/>
          <w:sz w:val="18"/>
        </w:rPr>
        <w:t>June futures minus London bullion; not a close or forward EFP; time/side missing.</w:t>
      </w:r>
    </w:p>
    <w:p>
      <w:hyperlink r:id="rId144">
        <w:r>
          <w:rPr>
            <w:color w:val="235779"/>
            <w:u w:val="single"/>
          </w:rPr>
          <w:t>BullionVault</w:t>
        </w:r>
      </w:hyperlink>
      <w:r>
        <w:t xml:space="preserve"> — publication 2025-04-03; observation date inferred: False; exact forward: False.</w:t>
      </w:r>
    </w:p>
    <w:p>
      <w:pPr>
        <w:pStyle w:val="Heading3"/>
        <w:pageBreakBefore w:val="0"/>
      </w:pPr>
      <w:r>
        <w:t>SI-20250710  Silver  2025-07-10</w:t>
      </w:r>
    </w:p>
    <w:p>
      <w:r>
        <w:rPr>
          <w:b w:val="0"/>
        </w:rPr>
        <w:t>Contract SIU25; value 42.5; US cents/troy oz (saved USD/oz values multiplied by 100).</w:t>
      </w:r>
    </w:p>
    <w:p>
      <w:pPr>
        <w:spacing w:after="100"/>
      </w:pPr>
      <w:r>
        <w:rPr>
          <w:b w:val="0"/>
          <w:sz w:val="18"/>
        </w:rPr>
        <w:t>Kind reported; classification reported_spot_efp; side mid; qualifier reported.</w:t>
      </w:r>
    </w:p>
    <w:p>
      <w:pPr>
        <w:spacing w:after="100"/>
      </w:pPr>
      <w:r>
        <w:rPr>
          <w:b w:val="0"/>
          <w:sz w:val="18"/>
        </w:rPr>
        <w:t>Historical practitioner observation; no exact intraday timestamp, size or OTC spot value date. USD/troy oz normalisation inferred from standard COMEX/London context and quoted cents. September contract inferred from same post narrative.</w:t>
      </w:r>
    </w:p>
    <w:p>
      <w:hyperlink r:id="rId145">
        <w:r>
          <w:rPr>
            <w:color w:val="235779"/>
            <w:u w:val="single"/>
          </w:rPr>
          <w:t>Robert Gottlieb; practitioner/broker observation</w:t>
        </w:r>
      </w:hyperlink>
      <w:r>
        <w:t xml:space="preserve"> — publication 2025-07-10; observation date inferred: False; exact forward: False.</w:t>
      </w:r>
    </w:p>
    <w:p>
      <w:pPr>
        <w:pStyle w:val="Heading3"/>
        <w:pageBreakBefore w:val="0"/>
      </w:pPr>
      <w:r>
        <w:t>AU-6  Gold  2025-08-01</w:t>
      </w:r>
    </w:p>
    <w:p>
      <w:r>
        <w:rPr>
          <w:b w:val="0"/>
        </w:rPr>
        <w:t>Contract GCZ25; value 40.0; USD/troy oz (source convention).</w:t>
      </w:r>
    </w:p>
    <w:p>
      <w:pPr>
        <w:spacing w:after="100"/>
      </w:pPr>
      <w:r>
        <w:rPr>
          <w:b w:val="0"/>
          <w:sz w:val="18"/>
        </w:rPr>
        <w:t>Kind reported; classification reported_futures_minus_spot; side unspecified; qualifier approximately.</w:t>
      </w:r>
    </w:p>
    <w:p>
      <w:pPr>
        <w:spacing w:after="100"/>
      </w:pPr>
      <w:r>
        <w:rPr>
          <w:b w:val="0"/>
          <w:sz w:val="18"/>
        </w:rPr>
        <w:t>Date inferred from this time last week in8Aug article; December contract minus London spot; timestamp missing.</w:t>
      </w:r>
    </w:p>
    <w:p>
      <w:hyperlink r:id="rId146">
        <w:r>
          <w:rPr>
            <w:color w:val="235779"/>
            <w:u w:val="single"/>
          </w:rPr>
          <w:t>Saxo</w:t>
        </w:r>
      </w:hyperlink>
      <w:r>
        <w:t xml:space="preserve"> — publication 2025-08-08; observation date inferred: True; exact forward: False.</w:t>
      </w:r>
    </w:p>
    <w:p>
      <w:pPr>
        <w:pStyle w:val="Heading3"/>
        <w:pageBreakBefore w:val="0"/>
      </w:pPr>
      <w:r>
        <w:t>AU-7  Gold  2025-08-08</w:t>
      </w:r>
    </w:p>
    <w:p>
      <w:r>
        <w:rPr>
          <w:b w:val="0"/>
        </w:rPr>
        <w:t>Contract GCZ25; value strictly greater than 100.0; USD/troy oz (source convention).</w:t>
      </w:r>
    </w:p>
    <w:p>
      <w:pPr>
        <w:spacing w:after="100"/>
      </w:pPr>
      <w:r>
        <w:rPr>
          <w:b w:val="0"/>
          <w:sz w:val="18"/>
        </w:rPr>
        <w:t>Kind reported; classification reported_futures_minus_spot; side unspecified; qualifier greater_than.</w:t>
      </w:r>
    </w:p>
    <w:p>
      <w:pPr>
        <w:spacing w:after="100"/>
      </w:pPr>
      <w:r>
        <w:rPr>
          <w:b w:val="0"/>
          <w:sz w:val="18"/>
        </w:rPr>
        <w:t>Overnight December futures minus London spot; lower-bound observation; not exact100 and not forward EFP.</w:t>
      </w:r>
    </w:p>
    <w:p>
      <w:hyperlink r:id="rId146">
        <w:r>
          <w:rPr>
            <w:color w:val="235779"/>
            <w:u w:val="single"/>
          </w:rPr>
          <w:t>Saxo</w:t>
        </w:r>
      </w:hyperlink>
      <w:r>
        <w:t xml:space="preserve"> — publication 2025-08-08; observation date inferred: False; exact forward: False.</w:t>
      </w:r>
    </w:p>
    <w:p>
      <w:pPr>
        <w:pStyle w:val="Heading3"/>
        <w:pageBreakBefore w:val="0"/>
      </w:pPr>
      <w:r>
        <w:t>SI-20251003  Silver  2025-10-03</w:t>
      </w:r>
    </w:p>
    <w:p>
      <w:r>
        <w:rPr>
          <w:b w:val="0"/>
        </w:rPr>
        <w:t>Contract SIZ25; value not stated; US cents/troy oz (saved USD/oz values multiplied by 100).</w:t>
      </w:r>
    </w:p>
    <w:p>
      <w:pPr>
        <w:spacing w:after="100"/>
      </w:pPr>
      <w:r>
        <w:rPr>
          <w:b w:val="0"/>
          <w:sz w:val="18"/>
        </w:rPr>
        <w:t>Kind range; classification reported_spot_efp; side bid/ask; qualifier reported.</w:t>
      </w:r>
    </w:p>
    <w:p>
      <w:r>
        <w:rPr>
          <w:b w:val="0"/>
        </w:rPr>
        <w:t>Low -5.0; high 0.0.</w:t>
      </w:r>
    </w:p>
    <w:p>
      <w:pPr>
        <w:spacing w:after="100"/>
      </w:pPr>
      <w:r>
        <w:rPr>
          <w:b w:val="0"/>
          <w:sz w:val="18"/>
        </w:rPr>
        <w:t>Historical practitioner observation; no exact intraday timestamp, size or OTC spot value date. USD/troy oz normalisation inferred from standard COMEX/London context and quoted cents. Observation date inferred from Friday in Monday 6 October post; quoted pair interpreted bid/ask in normal market order.</w:t>
      </w:r>
    </w:p>
    <w:p>
      <w:hyperlink r:id="rId147">
        <w:r>
          <w:rPr>
            <w:color w:val="235779"/>
            <w:u w:val="single"/>
          </w:rPr>
          <w:t>Robert Gottlieb; practitioner/broker observation</w:t>
        </w:r>
      </w:hyperlink>
      <w:r>
        <w:t xml:space="preserve"> — publication 2025-10-06; observation date inferred: True; exact forward: False.</w:t>
      </w:r>
    </w:p>
    <w:p>
      <w:pPr>
        <w:pStyle w:val="Heading3"/>
        <w:pageBreakBefore w:val="0"/>
      </w:pPr>
      <w:r>
        <w:t>SI-20251006  Silver  2025-10-06</w:t>
      </w:r>
    </w:p>
    <w:p>
      <w:r>
        <w:rPr>
          <w:b w:val="0"/>
        </w:rPr>
        <w:t>Contract SIZ25; value not stated; US cents/troy oz (saved USD/oz values multiplied by 100).</w:t>
      </w:r>
    </w:p>
    <w:p>
      <w:pPr>
        <w:spacing w:after="100"/>
      </w:pPr>
      <w:r>
        <w:rPr>
          <w:b w:val="0"/>
          <w:sz w:val="18"/>
        </w:rPr>
        <w:t>Kind range; classification reported_spot_efp; side bid/ask; qualifier reported.</w:t>
      </w:r>
    </w:p>
    <w:p>
      <w:r>
        <w:rPr>
          <w:b w:val="0"/>
        </w:rPr>
        <w:t>Low -20.0; high -15.0.</w:t>
      </w:r>
    </w:p>
    <w:p>
      <w:pPr>
        <w:spacing w:after="100"/>
      </w:pPr>
      <w:r>
        <w:rPr>
          <w:b w:val="0"/>
          <w:sz w:val="18"/>
        </w:rPr>
        <w:t>Historical practitioner observation; no exact intraday timestamp, size or OTC spot value date. USD/troy oz normalisation inferred from standard COMEX/London context and quoted cents. Quoted pair interpreted bid/ask in normal market order.</w:t>
      </w:r>
    </w:p>
    <w:p>
      <w:hyperlink r:id="rId147">
        <w:r>
          <w:rPr>
            <w:color w:val="235779"/>
            <w:u w:val="single"/>
          </w:rPr>
          <w:t>Robert Gottlieb; practitioner/broker observation</w:t>
        </w:r>
      </w:hyperlink>
      <w:r>
        <w:t xml:space="preserve"> — publication 2025-10-06; observation date inferred: False; exact forward: False.</w:t>
      </w:r>
    </w:p>
    <w:p>
      <w:pPr>
        <w:pStyle w:val="Heading3"/>
        <w:pageBreakBefore w:val="0"/>
      </w:pPr>
      <w:r>
        <w:t>SI-20251021  Silver  2025-10-21</w:t>
      </w:r>
    </w:p>
    <w:p>
      <w:r>
        <w:rPr>
          <w:b w:val="0"/>
        </w:rPr>
        <w:t>Contract SIZ25; value -77.0; US cents/troy oz (saved USD/oz values multiplied by 100).</w:t>
      </w:r>
    </w:p>
    <w:p>
      <w:pPr>
        <w:spacing w:after="100"/>
      </w:pPr>
      <w:r>
        <w:rPr>
          <w:b w:val="0"/>
          <w:sz w:val="18"/>
        </w:rPr>
        <w:t>Kind reported; classification reported_spot_efp; side mid; qualifier reported.</w:t>
      </w:r>
    </w:p>
    <w:p>
      <w:pPr>
        <w:spacing w:after="100"/>
      </w:pPr>
      <w:r>
        <w:rPr>
          <w:b w:val="0"/>
          <w:sz w:val="18"/>
        </w:rPr>
        <w:t>Historical practitioner observation; no exact intraday timestamp, size or OTC spot value date. USD/troy oz normalisation inferred from standard COMEX/London context and quoted cents. Date inferred from yesterday in 22 October post; source groups observations as mid rates.</w:t>
      </w:r>
    </w:p>
    <w:p>
      <w:hyperlink r:id="rId148">
        <w:r>
          <w:rPr>
            <w:color w:val="235779"/>
            <w:u w:val="single"/>
          </w:rPr>
          <w:t>Robert Gottlieb; practitioner/broker observation</w:t>
        </w:r>
      </w:hyperlink>
      <w:r>
        <w:t xml:space="preserve"> — publication 2025-10-22; observation date inferred: True; exact forward: False.</w:t>
      </w:r>
    </w:p>
    <w:p>
      <w:pPr>
        <w:pStyle w:val="Heading3"/>
        <w:pageBreakBefore w:val="0"/>
      </w:pPr>
      <w:r>
        <w:t>SI-20251022  Silver  2025-10-22</w:t>
      </w:r>
    </w:p>
    <w:p>
      <w:r>
        <w:rPr>
          <w:b w:val="0"/>
        </w:rPr>
        <w:t>Contract SIZ25; value -30.0; US cents/troy oz (saved USD/oz values multiplied by 100).</w:t>
      </w:r>
    </w:p>
    <w:p>
      <w:pPr>
        <w:spacing w:after="100"/>
      </w:pPr>
      <w:r>
        <w:rPr>
          <w:b w:val="0"/>
          <w:sz w:val="18"/>
        </w:rPr>
        <w:t>Kind reported; classification reported_spot_efp; side mid; qualifier reported.</w:t>
      </w:r>
    </w:p>
    <w:p>
      <w:pPr>
        <w:spacing w:after="100"/>
      </w:pPr>
      <w:r>
        <w:rPr>
          <w:b w:val="0"/>
          <w:sz w:val="18"/>
        </w:rPr>
        <w:t>Historical practitioner observation; no exact intraday timestamp, size or OTC spot value date. USD/troy oz normalisation inferred from standard COMEX/London context and quoted cents. Source groups observations as mid rates; reshared older bid/ask quotes excluded because dates cannot be assigned reliably.</w:t>
      </w:r>
    </w:p>
    <w:p>
      <w:hyperlink r:id="rId148">
        <w:r>
          <w:rPr>
            <w:color w:val="235779"/>
            <w:u w:val="single"/>
          </w:rPr>
          <w:t>Robert Gottlieb; practitioner/broker observation</w:t>
        </w:r>
      </w:hyperlink>
      <w:r>
        <w:t xml:space="preserve"> — publication 2025-10-22; observation date inferred: False; exact forward: False.</w:t>
      </w:r>
    </w:p>
    <w:p>
      <w:pPr>
        <w:pStyle w:val="Heading3"/>
        <w:pageBreakBefore w:val="0"/>
      </w:pPr>
      <w:r>
        <w:t>SI-20251202  Silver  2025-12-02</w:t>
      </w:r>
    </w:p>
    <w:p>
      <w:r>
        <w:rPr>
          <w:b w:val="0"/>
        </w:rPr>
        <w:t>Contract SIH26; value 60.0; US cents/troy oz (saved USD/oz values multiplied by 100).</w:t>
      </w:r>
    </w:p>
    <w:p>
      <w:pPr>
        <w:spacing w:after="100"/>
      </w:pPr>
      <w:r>
        <w:rPr>
          <w:b w:val="0"/>
          <w:sz w:val="18"/>
        </w:rPr>
        <w:t>Kind reported; classification reported_spot_efp; side unspecified; qualifier reported.</w:t>
      </w:r>
    </w:p>
    <w:p>
      <w:pPr>
        <w:spacing w:after="100"/>
      </w:pPr>
      <w:r>
        <w:rPr>
          <w:b w:val="0"/>
          <w:sz w:val="18"/>
        </w:rPr>
        <w:t>Historical practitioner observation; no exact intraday timestamp, size or OTC spot value date. USD/troy oz normalisation inferred from standard COMEX/London context and quoted cents. March 2026 inferred from next March. Source separately quotes 3-month OTC -3.5% and an illustrative -3% lending case; neither establishes first-delivery-date outright forward.</w:t>
      </w:r>
    </w:p>
    <w:p>
      <w:hyperlink r:id="rId149">
        <w:r>
          <w:rPr>
            <w:color w:val="235779"/>
            <w:u w:val="single"/>
          </w:rPr>
          <w:t>Robert Gottlieb; practitioner/broker observation</w:t>
        </w:r>
      </w:hyperlink>
      <w:r>
        <w:t xml:space="preserve"> — publication 2025-12-02; observation date inferred: False; exact forward: False.</w:t>
      </w:r>
    </w:p>
    <w:p>
      <w:pPr>
        <w:pStyle w:val="Heading3"/>
        <w:pageBreakBefore w:val="0"/>
      </w:pPr>
      <w:r>
        <w:t>SI-20260701  Silver  2026-07-01</w:t>
      </w:r>
    </w:p>
    <w:p>
      <w:r>
        <w:rPr>
          <w:b w:val="0"/>
        </w:rPr>
        <w:t>Contract SIU26; value 50.0; US cents/troy oz (saved USD/oz values multiplied by 100).</w:t>
      </w:r>
    </w:p>
    <w:p>
      <w:pPr>
        <w:spacing w:after="100"/>
      </w:pPr>
      <w:r>
        <w:rPr>
          <w:b w:val="0"/>
          <w:sz w:val="18"/>
        </w:rPr>
        <w:t>Kind reported; classification reported_spot_efp; side unspecified; qualifier approximately.</w:t>
      </w:r>
    </w:p>
    <w:p>
      <w:pPr>
        <w:spacing w:after="100"/>
      </w:pPr>
      <w:r>
        <w:rPr>
          <w:b w:val="0"/>
          <w:sz w:val="18"/>
        </w:rPr>
        <w:t>Historical practitioner observation; no exact intraday timestamp, size or OTC spot value date. USD/troy oz normalisation inferred from standard COMEX/London context and quoted cents. Author later notes a value-date error; raw 50-cent observation retained, yield not recomputed or certified.</w:t>
      </w:r>
    </w:p>
    <w:p>
      <w:hyperlink r:id="rId150">
        <w:r>
          <w:rPr>
            <w:color w:val="235779"/>
            <w:u w:val="single"/>
          </w:rPr>
          <w:t>Robert Gottlieb; practitioner/broker observation</w:t>
        </w:r>
      </w:hyperlink>
      <w:r>
        <w:t xml:space="preserve"> — publication 2026-07-01; observation date inferred: False; exact forward: False.</w:t>
      </w:r>
    </w:p>
    <w:p>
      <w:pPr>
        <w:pStyle w:val="Heading3"/>
        <w:pageBreakBefore w:val="0"/>
      </w:pPr>
      <w:r>
        <w:t>SI-20260730  Silver  2026-07-30</w:t>
      </w:r>
    </w:p>
    <w:p>
      <w:r>
        <w:rPr>
          <w:b w:val="0"/>
        </w:rPr>
        <w:t>Contract SIU26; value 24.0; US cents/troy oz (saved USD/oz values multiplied by 100).</w:t>
      </w:r>
    </w:p>
    <w:p>
      <w:pPr>
        <w:spacing w:after="100"/>
      </w:pPr>
      <w:r>
        <w:rPr>
          <w:b w:val="0"/>
          <w:sz w:val="18"/>
        </w:rPr>
        <w:t>Kind reported; classification reported_spot_efp; side mid; qualifier reported.</w:t>
      </w:r>
    </w:p>
    <w:p>
      <w:pPr>
        <w:spacing w:after="100"/>
      </w:pPr>
      <w:r>
        <w:rPr>
          <w:b w:val="0"/>
          <w:sz w:val="18"/>
        </w:rPr>
        <w:t>Historical practitioner observation; no exact intraday timestamp, size or OTC spot value date. USD/troy oz normalisation inferred from standard COMEX/London context and quoted cents. Source 5.06%-3.90%=116 basis points, not stated 106. Underlying 1-month forward not exact FDD matched.</w:t>
      </w:r>
    </w:p>
    <w:p>
      <w:hyperlink r:id="rId151">
        <w:r>
          <w:rPr>
            <w:color w:val="235779"/>
            <w:u w:val="single"/>
          </w:rPr>
          <w:t>Robert Gottlieb; practitioner/broker observation</w:t>
        </w:r>
      </w:hyperlink>
      <w:r>
        <w:t xml:space="preserve"> — publication 2026-07-30; observation date inferred: False; exact forward: False.</w:t>
      </w:r>
    </w:p>
    <w:p>
      <w:pPr>
        <w:pStyle w:val="Heading3"/>
        <w:pageBreakBefore w:val="0"/>
      </w:pPr>
      <w:r>
        <w:t>SI-20260806-BROKER  Silver  2026-08-06</w:t>
      </w:r>
    </w:p>
    <w:p>
      <w:r>
        <w:rPr>
          <w:b w:val="0"/>
        </w:rPr>
        <w:t>Contract SIU26; value 23.0; US cents/troy oz (saved USD/oz values multiplied by 100).</w:t>
      </w:r>
    </w:p>
    <w:p>
      <w:pPr>
        <w:spacing w:after="100"/>
      </w:pPr>
      <w:r>
        <w:rPr>
          <w:b w:val="0"/>
          <w:sz w:val="18"/>
        </w:rPr>
        <w:t>Kind reported; classification reported_spot_efp; side mid; qualifier approximately.</w:t>
      </w:r>
    </w:p>
    <w:p>
      <w:pPr>
        <w:spacing w:after="100"/>
      </w:pPr>
      <w:r>
        <w:rPr>
          <w:b w:val="0"/>
          <w:sz w:val="18"/>
        </w:rPr>
        <w:t>Historical practitioner observation; no exact intraday timestamp, size or OTC spot value date. USD/troy oz normalisation inferred from standard COMEX/London context and quoted cents. Distinct from simultaneous post reference to platform implied 24 cents; not two exchange settles.</w:t>
      </w:r>
    </w:p>
    <w:p>
      <w:hyperlink r:id="rId152">
        <w:r>
          <w:rPr>
            <w:color w:val="235779"/>
            <w:u w:val="single"/>
          </w:rPr>
          <w:t>Robert Gottlieb; practitioner/broker observation</w:t>
        </w:r>
      </w:hyperlink>
      <w:r>
        <w:t xml:space="preserve"> — publication 2026-08-06; observation date inferred: False; exact forward: False.</w:t>
      </w:r>
    </w:p>
    <w:p>
      <w:pPr>
        <w:pStyle w:val="Heading3"/>
        <w:pageBreakBefore w:val="0"/>
      </w:pPr>
      <w:r>
        <w:t>SI-20260806-IMPLIED  Silver  2026-08-06</w:t>
      </w:r>
    </w:p>
    <w:p>
      <w:r>
        <w:rPr>
          <w:b w:val="0"/>
        </w:rPr>
        <w:t>Contract SIU26; value 24.0; US cents/troy oz (saved USD/oz values multiplied by 100).</w:t>
      </w:r>
    </w:p>
    <w:p>
      <w:pPr>
        <w:spacing w:after="100"/>
      </w:pPr>
      <w:r>
        <w:rPr>
          <w:b w:val="0"/>
          <w:sz w:val="18"/>
        </w:rPr>
        <w:t>Kind implied; classification reported_platform_implied_spot_efp; side unspecified; qualifier approximately.</w:t>
      </w:r>
    </w:p>
    <w:p>
      <w:pPr>
        <w:spacing w:after="100"/>
      </w:pPr>
      <w:r>
        <w:rPr>
          <w:b w:val="0"/>
          <w:sz w:val="18"/>
        </w:rPr>
        <w:t>Historical practitioner observation; no exact intraday timestamp, size or OTC spot value date. USD/troy oz normalisation inferred from standard COMEX/London context and quoted cents. Author explicitly labels WatchGold implied value; construction not independently validated.</w:t>
      </w:r>
    </w:p>
    <w:p>
      <w:hyperlink r:id="rId152">
        <w:r>
          <w:rPr>
            <w:color w:val="235779"/>
            <w:u w:val="single"/>
          </w:rPr>
          <w:t>Robert Gottlieb; WatchGold implied</w:t>
        </w:r>
      </w:hyperlink>
      <w:r>
        <w:t xml:space="preserve"> — publication 2026-08-06; observation date inferred: False; exact forward: False.</w:t>
      </w:r>
    </w:p>
    <w:p>
      <w:pPr>
        <w:pStyle w:val="Heading3"/>
        <w:pageBreakBefore w:val="0"/>
      </w:pPr>
      <w:r>
        <w:t>SI-20260825-IMPLIED  Silver  2026-08-25</w:t>
      </w:r>
    </w:p>
    <w:p>
      <w:r>
        <w:rPr>
          <w:b w:val="0"/>
        </w:rPr>
        <w:t>Contract SIU26; value -1.0; US cents/troy oz (saved USD/oz values multiplied by 100).</w:t>
      </w:r>
    </w:p>
    <w:p>
      <w:pPr>
        <w:spacing w:after="100"/>
      </w:pPr>
      <w:r>
        <w:rPr>
          <w:b w:val="0"/>
          <w:sz w:val="18"/>
        </w:rPr>
        <w:t>Kind implied; classification reported_platform_implied_spot_efp; side unspecified; qualifier approximately.</w:t>
      </w:r>
    </w:p>
    <w:p>
      <w:pPr>
        <w:spacing w:after="100"/>
      </w:pPr>
      <w:r>
        <w:rPr>
          <w:b w:val="0"/>
          <w:sz w:val="18"/>
        </w:rPr>
        <w:t>Historical practitioner observation; no exact intraday timestamp, size or OTC spot value date. USD/troy oz normalisation inferred from standard COMEX/London context and quoted cents. Author explicitly labels WatchGold implied value; contract roll affects reading. No derived forward EFP.</w:t>
      </w:r>
    </w:p>
    <w:p>
      <w:hyperlink r:id="rId153">
        <w:r>
          <w:rPr>
            <w:color w:val="235779"/>
            <w:u w:val="single"/>
          </w:rPr>
          <w:t>Robert Gottlieb; WatchGold implied</w:t>
        </w:r>
      </w:hyperlink>
      <w:r>
        <w:t xml:space="preserve"> — publication 2026-08-25; observation date inferred: False; exact forward: False.</w:t>
      </w:r>
    </w:p>
    <w:p>
      <w:bookmarkStart w:id="46" w:name="research_23"/>
      <w:pPr>
        <w:pStyle w:val="Heading1"/>
        <w:pageBreakBefore/>
      </w:pPr>
      <w:r>
        <w:t>23  2025: classification shock, then a reversal of flows</w:t>
      </w:r>
      <w:bookmarkEnd w:id="46"/>
    </w:p>
    <w:p>
      <w:pPr>
        <w:ind w:left="360" w:hanging="360"/>
      </w:pPr>
      <w:r>
        <w:t xml:space="preserve">1. </w:t>
      </w:r>
      <w:r>
        <w:rPr>
          <w:b w:val="0"/>
          <w:i w:val="0"/>
        </w:rPr>
        <w:t>31 Jul–8 Aug</w:t>
      </w:r>
      <w:r>
        <w:br/>
      </w:r>
      <w:r>
        <w:t xml:space="preserve"> </w:t>
      </w:r>
      <w:r>
        <w:rPr>
          <w:b/>
          <w:i w:val="0"/>
        </w:rPr>
        <w:t>Swiss gold-bar classification exposed an exemption gap</w:t>
      </w:r>
      <w:r>
        <w:br/>
      </w:r>
      <w:r>
        <w:t xml:space="preserve"> </w:t>
      </w:r>
      <w:r>
        <w:rPr>
          <w:b w:val="0"/>
          <w:i w:val="0"/>
        </w:rPr>
        <w:t>CBP N351466 put the described kilo/100oz cast-and-marked bars in 7108.13.5500. The Swiss reciprocal schedule reached 39% on 7 August for non-exempt goods; this was not a 39% tariff on all gold.</w:t>
      </w:r>
    </w:p>
    <w:p>
      <w:pPr>
        <w:ind w:left="360" w:hanging="360"/>
      </w:pPr>
      <w:r>
        <w:t xml:space="preserve">2. </w:t>
      </w:r>
      <w:r>
        <w:rPr>
          <w:b w:val="0"/>
          <w:i w:val="0"/>
        </w:rPr>
        <w:t>5 / 8 Sep</w:t>
      </w:r>
      <w:r>
        <w:br/>
      </w:r>
      <w:r>
        <w:t xml:space="preserve"> </w:t>
      </w:r>
      <w:r>
        <w:rPr>
          <w:b/>
          <w:i w:val="0"/>
        </w:rPr>
        <w:t>Formal relief followed</w:t>
      </w:r>
      <w:r>
        <w:br/>
      </w:r>
      <w:r>
        <w:t xml:space="preserve"> </w:t>
      </w:r>
      <w:r>
        <w:rPr>
          <w:b w:val="0"/>
          <w:i w:val="0"/>
        </w:rPr>
        <w:t>The 5 September order added the implicated gold category to reciprocal exclusions, effective 8 September. An earlier reassurance was not the operative amendment.</w:t>
      </w:r>
    </w:p>
    <w:p>
      <w:pPr>
        <w:ind w:left="360" w:hanging="360"/>
      </w:pPr>
      <w:r>
        <w:t xml:space="preserve">3. </w:t>
      </w:r>
      <w:r>
        <w:rPr>
          <w:b w:val="0"/>
          <w:i w:val="0"/>
        </w:rPr>
        <w:t>Dec 2024–Oct 2025</w:t>
      </w:r>
      <w:r>
        <w:br/>
      </w:r>
      <w:r>
        <w:t xml:space="preserve"> </w:t>
      </w:r>
      <w:r>
        <w:rPr>
          <w:b/>
          <w:i w:val="0"/>
        </w:rPr>
        <w:t>Silver inventory moved toward the US</w:t>
      </w:r>
      <w:r>
        <w:br/>
      </w:r>
      <w:r>
        <w:t xml:space="preserve"> </w:t>
      </w:r>
      <w:r>
        <w:rPr>
          <w:b w:val="0"/>
          <w:i w:val="0"/>
        </w:rPr>
        <w:t>Metals Focus estimates about 225moz added to CME vaults by early October; it does not establish all ounces came from London.</w:t>
      </w:r>
    </w:p>
    <w:p>
      <w:pPr>
        <w:ind w:left="360" w:hanging="360"/>
      </w:pPr>
      <w:r>
        <w:t xml:space="preserve">4. </w:t>
      </w:r>
      <w:r>
        <w:rPr>
          <w:b w:val="0"/>
          <w:i w:val="0"/>
        </w:rPr>
        <w:t>Oct–Nov 2025</w:t>
      </w:r>
      <w:r>
        <w:br/>
      </w:r>
      <w:r>
        <w:t xml:space="preserve"> </w:t>
      </w:r>
      <w:r>
        <w:rPr>
          <w:b/>
          <w:i w:val="0"/>
        </w:rPr>
        <w:t>London tightness drew metal back</w:t>
      </w:r>
      <w:r>
        <w:br/>
      </w:r>
      <w:r>
        <w:t xml:space="preserve"> </w:t>
      </w:r>
      <w:r>
        <w:rPr>
          <w:b w:val="0"/>
          <w:i w:val="0"/>
        </w:rPr>
        <w:t>LBMA London silver stocks rose 6.8% in October and 3.6% in November. These are changes in aggregate month-end stocks, not gross shipments or an isolated tariff effect.</w:t>
      </w:r>
    </w:p>
    <w:p>
      <w:r>
        <w:rPr>
          <w:b w:val="0"/>
          <w:i w:val="0"/>
        </w:rPr>
        <w:t>Keep the service reversible. A stockpile can lose its location advantage when policy, demand or available supply changes.</w:t>
      </w:r>
    </w:p>
    <w:p>
      <w:pPr>
        <w:pStyle w:val="Heading3"/>
        <w:pageBreakBefore w:val="0"/>
      </w:pPr>
      <w:r>
        <w:t>Evidence and assumptions</w:t>
      </w:r>
    </w:p>
    <w:p>
      <w:hyperlink r:id="rId154">
        <w:r>
          <w:rPr>
            <w:color w:val="235779"/>
            <w:u w:val="single"/>
          </w:rPr>
          <w:t>CBP ruling, pp1–2</w:t>
        </w:r>
      </w:hyperlink>
    </w:p>
    <w:p>
      <w:hyperlink r:id="rId155">
        <w:r>
          <w:rPr>
            <w:color w:val="235779"/>
            <w:u w:val="single"/>
          </w:rPr>
          <w:t>September amendment, PDF6</w:t>
        </w:r>
      </w:hyperlink>
    </w:p>
    <w:p>
      <w:hyperlink r:id="rId156">
        <w:r>
          <w:rPr>
            <w:color w:val="235779"/>
            <w:u w:val="single"/>
          </w:rPr>
          <w:t>World Silver Survey 2026, PDF28</w:t>
        </w:r>
      </w:hyperlink>
    </w:p>
    <w:p>
      <w:hyperlink r:id="rId157">
        <w:r>
          <w:rPr>
            <w:color w:val="235779"/>
            <w:u w:val="single"/>
          </w:rPr>
          <w:t>LBMA Q4/full-year review</w:t>
        </w:r>
      </w:hyperlink>
    </w:p>
    <w:p>
      <w:hyperlink r:id="rId141">
        <w:r>
          <w:rPr>
            <w:color w:val="235779"/>
            <w:u w:val="single"/>
          </w:rPr>
          <w:t>Full timeline</w:t>
        </w:r>
      </w:hyperlink>
    </w:p>
    <w:p>
      <w:bookmarkStart w:id="47" w:name="research_24"/>
      <w:pPr>
        <w:pStyle w:val="Heading1"/>
        <w:pageBreakBefore/>
      </w:pPr>
      <w:r>
        <w:t>24  2026: the legal basis changed again</w:t>
      </w:r>
      <w:bookmarkEnd w:id="47"/>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9"/>
        <w:gridCol w:w="3703"/>
        <w:gridCol w:w="4093"/>
      </w:tblGrid>
      <w:tr>
        <w:trPr>
          <w:tblHeader/>
          <w:cantSplit/>
        </w:trPr>
        <w:tc>
          <w:tcPr>
            <w:tcW w:type="dxa" w:w="1949"/>
            <w:vAlign w:val="center"/>
            <w:tcMar>
              <w:top w:w="80" w:type="dxa"/>
              <w:bottom w:w="80" w:type="dxa"/>
              <w:left w:w="100" w:type="dxa"/>
              <w:right w:w="100" w:type="dxa"/>
            </w:tcMar>
            <w:shd w:fill="DCE6EB"/>
          </w:tcPr>
          <w:p>
            <w:pPr>
              <w:keepNext/>
              <w:spacing w:after="0" w:before="0" w:line="252" w:lineRule="auto"/>
            </w:pPr>
            <w:r>
              <w:rPr>
                <w:b/>
                <w:i w:val="0"/>
                <w:sz w:val="20"/>
              </w:rPr>
              <w:t>Date</w:t>
            </w:r>
          </w:p>
        </w:tc>
        <w:tc>
          <w:tcPr>
            <w:tcW w:type="dxa" w:w="3703"/>
            <w:vAlign w:val="center"/>
            <w:tcMar>
              <w:top w:w="80" w:type="dxa"/>
              <w:bottom w:w="80" w:type="dxa"/>
              <w:left w:w="100" w:type="dxa"/>
              <w:right w:w="100" w:type="dxa"/>
            </w:tcMar>
            <w:shd w:fill="DCE6EB"/>
          </w:tcPr>
          <w:p>
            <w:pPr>
              <w:keepNext/>
              <w:spacing w:after="0" w:before="0" w:line="252" w:lineRule="auto"/>
            </w:pPr>
            <w:r>
              <w:rPr>
                <w:b/>
                <w:i w:val="0"/>
                <w:sz w:val="20"/>
              </w:rPr>
              <w:t>Verified development</w:t>
            </w:r>
          </w:p>
        </w:tc>
        <w:tc>
          <w:tcPr>
            <w:tcW w:type="dxa" w:w="4093"/>
            <w:vAlign w:val="center"/>
            <w:tcMar>
              <w:top w:w="80" w:type="dxa"/>
              <w:bottom w:w="80" w:type="dxa"/>
              <w:left w:w="100" w:type="dxa"/>
              <w:right w:w="100" w:type="dxa"/>
            </w:tcMar>
            <w:shd w:fill="DCE6EB"/>
          </w:tcPr>
          <w:p>
            <w:pPr>
              <w:keepNext/>
              <w:spacing w:after="0" w:before="0" w:line="252" w:lineRule="auto"/>
            </w:pPr>
            <w:r>
              <w:rPr>
                <w:b/>
                <w:i w:val="0"/>
                <w:sz w:val="20"/>
              </w:rPr>
              <w:t>Consequence for the pitch</w:t>
            </w:r>
          </w:p>
        </w:tc>
      </w:tr>
      <w:tr>
        <w:trPr>
          <w:cantSplit/>
        </w:trPr>
        <w:tc>
          <w:tcPr>
            <w:tcW w:type="dxa" w:w="1949"/>
            <w:vAlign w:val="center"/>
            <w:tcMar>
              <w:top w:w="80" w:type="dxa"/>
              <w:bottom w:w="80" w:type="dxa"/>
              <w:left w:w="100" w:type="dxa"/>
              <w:right w:w="100" w:type="dxa"/>
            </w:tcMar>
            <w:shd w:fill="FFFFFF"/>
          </w:tcPr>
          <w:p>
            <w:pPr>
              <w:keepNext w:val="0"/>
              <w:spacing w:after="0" w:before="0" w:line="252" w:lineRule="auto"/>
            </w:pPr>
            <w:r>
              <w:rPr>
                <w:b w:val="0"/>
                <w:i w:val="0"/>
                <w:sz w:val="20"/>
              </w:rPr>
              <w:t>14 January</w:t>
            </w:r>
          </w:p>
        </w:tc>
        <w:tc>
          <w:tcPr>
            <w:tcW w:type="dxa" w:w="3703"/>
            <w:vAlign w:val="center"/>
            <w:tcMar>
              <w:top w:w="80" w:type="dxa"/>
              <w:bottom w:w="80" w:type="dxa"/>
              <w:left w:w="100" w:type="dxa"/>
              <w:right w:w="100" w:type="dxa"/>
            </w:tcMar>
            <w:shd w:fill="FFFFFF"/>
          </w:tcPr>
          <w:p>
            <w:pPr>
              <w:keepNext w:val="0"/>
              <w:spacing w:after="0" w:before="0" w:line="252" w:lineRule="auto"/>
            </w:pPr>
            <w:r>
              <w:rPr>
                <w:b w:val="0"/>
                <w:i w:val="0"/>
                <w:sz w:val="20"/>
              </w:rPr>
              <w:t>Section 232 negotiations and possible price-floor measures directed</w:t>
            </w:r>
          </w:p>
        </w:tc>
        <w:tc>
          <w:tcPr>
            <w:tcW w:type="dxa" w:w="4093"/>
            <w:vAlign w:val="center"/>
            <w:tcMar>
              <w:top w:w="80" w:type="dxa"/>
              <w:bottom w:w="80" w:type="dxa"/>
              <w:left w:w="100" w:type="dxa"/>
              <w:right w:w="100" w:type="dxa"/>
            </w:tcMar>
            <w:shd w:fill="FFFFFF"/>
          </w:tcPr>
          <w:p>
            <w:pPr>
              <w:keepNext w:val="0"/>
              <w:spacing w:after="0" w:before="0" w:line="252" w:lineRule="auto"/>
            </w:pPr>
            <w:r>
              <w:rPr>
                <w:b w:val="0"/>
                <w:i w:val="0"/>
                <w:sz w:val="20"/>
              </w:rPr>
              <w:t>No blanket 20% precious-metals tariff enacted by that proclamation.</w:t>
            </w:r>
          </w:p>
        </w:tc>
      </w:tr>
      <w:tr>
        <w:trPr>
          <w:cantSplit/>
        </w:trPr>
        <w:tc>
          <w:tcPr>
            <w:tcW w:type="dxa" w:w="1949"/>
            <w:vAlign w:val="center"/>
            <w:tcMar>
              <w:top w:w="80" w:type="dxa"/>
              <w:bottom w:w="80" w:type="dxa"/>
              <w:left w:w="100" w:type="dxa"/>
              <w:right w:w="100" w:type="dxa"/>
            </w:tcMar>
            <w:shd w:fill="F4F7F8"/>
          </w:tcPr>
          <w:p>
            <w:pPr>
              <w:keepNext w:val="0"/>
              <w:spacing w:after="0" w:before="0" w:line="252" w:lineRule="auto"/>
            </w:pPr>
            <w:r>
              <w:rPr>
                <w:b w:val="0"/>
                <w:i w:val="0"/>
                <w:sz w:val="20"/>
              </w:rPr>
              <w:t>20–24 February</w:t>
            </w:r>
          </w:p>
        </w:tc>
        <w:tc>
          <w:tcPr>
            <w:tcW w:type="dxa" w:w="3703"/>
            <w:vAlign w:val="center"/>
            <w:tcMar>
              <w:top w:w="80" w:type="dxa"/>
              <w:bottom w:w="80" w:type="dxa"/>
              <w:left w:w="100" w:type="dxa"/>
              <w:right w:w="100" w:type="dxa"/>
            </w:tcMar>
            <w:shd w:fill="F4F7F8"/>
          </w:tcPr>
          <w:p>
            <w:pPr>
              <w:keepNext w:val="0"/>
              <w:spacing w:after="0" w:before="0" w:line="252" w:lineRule="auto"/>
            </w:pPr>
            <w:r>
              <w:rPr>
                <w:b w:val="0"/>
                <w:i w:val="0"/>
                <w:sz w:val="20"/>
              </w:rPr>
              <w:t>Supreme Court rejected IEEPA tariff authority; CBP ended listed collections on 24 February</w:t>
            </w:r>
          </w:p>
        </w:tc>
        <w:tc>
          <w:tcPr>
            <w:tcW w:type="dxa" w:w="4093"/>
            <w:vAlign w:val="center"/>
            <w:tcMar>
              <w:top w:w="80" w:type="dxa"/>
              <w:bottom w:w="80" w:type="dxa"/>
              <w:left w:w="100" w:type="dxa"/>
              <w:right w:w="100" w:type="dxa"/>
            </w:tcMar>
            <w:shd w:fill="F4F7F8"/>
          </w:tcPr>
          <w:p>
            <w:pPr>
              <w:keepNext w:val="0"/>
              <w:spacing w:after="0" w:before="0" w:line="252" w:lineRule="auto"/>
            </w:pPr>
            <w:r>
              <w:rPr>
                <w:b w:val="0"/>
                <w:i w:val="0"/>
                <w:sz w:val="20"/>
              </w:rPr>
              <w:t>Do not carry the 2025 IEEPA rates forward as current September law.</w:t>
            </w:r>
          </w:p>
        </w:tc>
      </w:tr>
      <w:tr>
        <w:trPr>
          <w:cantSplit/>
        </w:trPr>
        <w:tc>
          <w:tcPr>
            <w:tcW w:type="dxa" w:w="1949"/>
            <w:vAlign w:val="center"/>
            <w:tcMar>
              <w:top w:w="80" w:type="dxa"/>
              <w:bottom w:w="80" w:type="dxa"/>
              <w:left w:w="100" w:type="dxa"/>
              <w:right w:w="100" w:type="dxa"/>
            </w:tcMar>
            <w:shd w:fill="FFFFFF"/>
          </w:tcPr>
          <w:p>
            <w:pPr>
              <w:keepNext w:val="0"/>
              <w:spacing w:after="0" w:before="0" w:line="252" w:lineRule="auto"/>
            </w:pPr>
            <w:r>
              <w:rPr>
                <w:b w:val="0"/>
                <w:i w:val="0"/>
                <w:sz w:val="20"/>
              </w:rPr>
              <w:t>24 February–24 July</w:t>
            </w:r>
          </w:p>
        </w:tc>
        <w:tc>
          <w:tcPr>
            <w:tcW w:type="dxa" w:w="3703"/>
            <w:vAlign w:val="center"/>
            <w:tcMar>
              <w:top w:w="80" w:type="dxa"/>
              <w:bottom w:w="80" w:type="dxa"/>
              <w:left w:w="100" w:type="dxa"/>
              <w:right w:w="100" w:type="dxa"/>
            </w:tcMar>
            <w:shd w:fill="FFFFFF"/>
          </w:tcPr>
          <w:p>
            <w:pPr>
              <w:keepNext w:val="0"/>
              <w:spacing w:after="0" w:before="0" w:line="252" w:lineRule="auto"/>
            </w:pPr>
            <w:r>
              <w:rPr>
                <w:b w:val="0"/>
                <w:i w:val="0"/>
                <w:sz w:val="20"/>
              </w:rPr>
              <w:t>Separate temporary Section 122 surcharge, with specified exclusions</w:t>
            </w:r>
          </w:p>
        </w:tc>
        <w:tc>
          <w:tcPr>
            <w:tcW w:type="dxa" w:w="4093"/>
            <w:vAlign w:val="center"/>
            <w:tcMar>
              <w:top w:w="80" w:type="dxa"/>
              <w:bottom w:w="80" w:type="dxa"/>
              <w:left w:w="100" w:type="dxa"/>
              <w:right w:w="100" w:type="dxa"/>
            </w:tcMar>
            <w:shd w:fill="FFFFFF"/>
          </w:tcPr>
          <w:p>
            <w:pPr>
              <w:keepNext w:val="0"/>
              <w:spacing w:after="0" w:before="0" w:line="252" w:lineRule="auto"/>
            </w:pPr>
            <w:r>
              <w:rPr>
                <w:b w:val="0"/>
                <w:i w:val="0"/>
                <w:sz w:val="20"/>
              </w:rPr>
              <w:t>Its stated period is historical; use the applicable September regime for new trades.</w:t>
            </w:r>
          </w:p>
        </w:tc>
      </w:tr>
      <w:tr>
        <w:trPr>
          <w:cantSplit/>
        </w:trPr>
        <w:tc>
          <w:tcPr>
            <w:tcW w:type="dxa" w:w="1949"/>
            <w:vAlign w:val="center"/>
            <w:tcMar>
              <w:top w:w="80" w:type="dxa"/>
              <w:bottom w:w="80" w:type="dxa"/>
              <w:left w:w="100" w:type="dxa"/>
              <w:right w:w="100" w:type="dxa"/>
            </w:tcMar>
            <w:shd w:fill="F4F7F8"/>
          </w:tcPr>
          <w:p>
            <w:pPr>
              <w:keepNext w:val="0"/>
              <w:spacing w:after="0" w:before="0" w:line="252" w:lineRule="auto"/>
            </w:pPr>
            <w:r>
              <w:rPr>
                <w:b w:val="0"/>
                <w:i w:val="0"/>
                <w:sz w:val="20"/>
              </w:rPr>
              <w:t>July–23 September</w:t>
            </w:r>
          </w:p>
        </w:tc>
        <w:tc>
          <w:tcPr>
            <w:tcW w:type="dxa" w:w="3703"/>
            <w:vAlign w:val="center"/>
            <w:tcMar>
              <w:top w:w="80" w:type="dxa"/>
              <w:bottom w:w="80" w:type="dxa"/>
              <w:left w:w="100" w:type="dxa"/>
              <w:right w:w="100" w:type="dxa"/>
            </w:tcMar>
            <w:shd w:fill="F4F7F8"/>
          </w:tcPr>
          <w:p>
            <w:pPr>
              <w:keepNext w:val="0"/>
              <w:spacing w:after="0" w:before="0" w:line="252" w:lineRule="auto"/>
            </w:pPr>
            <w:r>
              <w:rPr>
                <w:b w:val="0"/>
                <w:i w:val="0"/>
                <w:sz w:val="20"/>
              </w:rPr>
              <w:t>New Section 301 programmes retained specified bullion exceptions; independent duties still matter</w:t>
            </w:r>
          </w:p>
        </w:tc>
        <w:tc>
          <w:tcPr>
            <w:tcW w:type="dxa" w:w="4093"/>
            <w:vAlign w:val="center"/>
            <w:tcMar>
              <w:top w:w="80" w:type="dxa"/>
              <w:bottom w:w="80" w:type="dxa"/>
              <w:left w:w="100" w:type="dxa"/>
              <w:right w:w="100" w:type="dxa"/>
            </w:tcMar>
            <w:shd w:fill="F4F7F8"/>
          </w:tcPr>
          <w:p>
            <w:pPr>
              <w:keepNext w:val="0"/>
              <w:spacing w:after="0" w:before="0" w:line="252" w:lineRule="auto"/>
            </w:pPr>
            <w:r>
              <w:rPr>
                <w:b w:val="0"/>
                <w:i w:val="0"/>
                <w:sz w:val="20"/>
              </w:rPr>
              <w:t>Validate HTS, origin and Chapter 99. Inspected Russian silver/platinum rows retain 35% treatment.</w:t>
            </w:r>
          </w:p>
        </w:tc>
      </w:tr>
    </w:tbl>
    <w:p>
      <w:pPr>
        <w:spacing w:after="60" w:before="0" w:line="40" w:lineRule="exact"/>
      </w:pPr>
      <w:r>
        <w:rPr>
          <w:sz w:val="4"/>
        </w:rPr>
      </w:r>
    </w:p>
    <w:p>
      <w:r>
        <w:rPr>
          <w:b w:val="0"/>
          <w:i w:val="0"/>
        </w:rPr>
        <w:t>A 20% tariff is a stress scenario. A 20% US–London premium is a second assumption, not its automatic consequence.</w:t>
      </w:r>
    </w:p>
    <w:p>
      <w:pPr>
        <w:spacing w:after="100"/>
      </w:pPr>
      <w:r>
        <w:rPr>
          <w:b w:val="0"/>
          <w:i w:val="0"/>
          <w:sz w:val="18"/>
        </w:rPr>
        <w:t>Physical presence in the US does not prove duty-paid status or protection from a new measure. Admission, withdrawal, origin and the actual tariff instrument determine treatment.</w:t>
      </w:r>
    </w:p>
    <w:p>
      <w:pPr>
        <w:pStyle w:val="Heading3"/>
        <w:pageBreakBefore w:val="0"/>
      </w:pPr>
      <w:r>
        <w:t>Evidence and assumptions</w:t>
      </w:r>
    </w:p>
    <w:p>
      <w:hyperlink r:id="rId141">
        <w:r>
          <w:rPr>
            <w:color w:val="235779"/>
            <w:u w:val="single"/>
          </w:rPr>
          <w:t>Primary orders, court, CBP and HTS pinpoints</w:t>
        </w:r>
      </w:hyperlink>
    </w:p>
    <w:p>
      <w:hyperlink r:id="rId158">
        <w:r>
          <w:rPr>
            <w:color w:val="235779"/>
            <w:u w:val="single"/>
          </w:rPr>
          <w:t>Supreme Court decision</w:t>
        </w:r>
      </w:hyperlink>
    </w:p>
    <w:p>
      <w:hyperlink r:id="rId159">
        <w:r>
          <w:rPr>
            <w:color w:val="235779"/>
            <w:u w:val="single"/>
          </w:rPr>
          <w:t>CBP collection cutover</w:t>
        </w:r>
      </w:hyperlink>
    </w:p>
    <w:p>
      <w:hyperlink r:id="rId119">
        <w:r>
          <w:rPr>
            <w:color w:val="235779"/>
            <w:u w:val="single"/>
          </w:rPr>
          <w:t>US/India customs audit</w:t>
        </w:r>
      </w:hyperlink>
    </w:p>
    <w:p>
      <w:bookmarkStart w:id="48" w:name="research_25"/>
      <w:pPr>
        <w:pStyle w:val="Heading1"/>
        <w:pageBreakBefore/>
      </w:pPr>
      <w:r>
        <w:t>25  A large quoted spread can contain a large cost</w:t>
      </w:r>
      <w:bookmarkEnd w:id="48"/>
    </w:p>
    <w:p>
      <w:r>
        <w:rPr>
          <w:b w:val="0"/>
          <w:i w:val="0"/>
        </w:rPr>
        <w:t>Platinum in January 2025 offers a useful discipline for the revenue-share model.</w:t>
      </w:r>
    </w:p>
    <w:p>
      <w:r>
        <w:rPr>
          <w:b w:val="0"/>
        </w:rPr>
        <w:t>$75/oz</w:t>
      </w:r>
    </w:p>
    <w:p>
      <w:r>
        <w:rPr>
          <w:b w:val="0"/>
        </w:rPr>
        <w:t>WPIC reported peak 3-month futures-minus-spot measure</w:t>
      </w:r>
    </w:p>
    <w:p>
      <w:r>
        <w:rPr>
          <w:b w:val="0"/>
        </w:rPr>
        <w:t>$60/oz</w:t>
      </w:r>
    </w:p>
    <w:p>
      <w:r>
        <w:rPr>
          <w:b w:val="0"/>
        </w:rPr>
        <w:t>3-month metal lease cost, before credit</w:t>
      </w:r>
    </w:p>
    <w:p>
      <w:r>
        <w:rPr>
          <w:b w:val="0"/>
        </w:rPr>
        <w:t>Unproven</w:t>
      </w:r>
    </w:p>
    <w:p>
      <w:r>
        <w:rPr>
          <w:b w:val="0"/>
        </w:rPr>
        <w:t>executable net contribution</w:t>
      </w:r>
    </w:p>
    <w:p>
      <w:r>
        <w:rPr>
          <w:b w:val="0"/>
          <w:i w:val="0"/>
        </w:rPr>
        <w:t>Match both sides and every cost. $75 minus $60 is not evidence of an available $15 trade.</w:t>
      </w:r>
    </w:p>
    <w:p>
      <w:pPr>
        <w:spacing w:after="100"/>
      </w:pPr>
      <w:r>
        <w:rPr>
          <w:b w:val="0"/>
          <w:i w:val="0"/>
          <w:sz w:val="18"/>
        </w:rPr>
        <w:t>WPIC’s 28 March 2025 research describes the January levels and reports NYMEX platinum stocks up 460koz since mid-December. WPIC explicitly defines its EFP as futures minus spot. It is not the user-defined first-delivery-day forward EFP or a simultaneous firm bid/offer package.</w:t>
      </w:r>
    </w:p>
    <w:p>
      <w:pPr>
        <w:spacing w:after="100"/>
      </w:pPr>
      <w:r>
        <w:rPr>
          <w:b w:val="0"/>
          <w:i w:val="0"/>
          <w:sz w:val="18"/>
        </w:rPr>
        <w:t>No continuous, executable historical EFP series was obtained. The interactive timeline plots unconnected dated observations alongside legal and market events; gaps remain explicit.</w:t>
      </w:r>
    </w:p>
    <w:p>
      <w:pPr>
        <w:pStyle w:val="Heading3"/>
        <w:pageBreakBefore w:val="0"/>
      </w:pPr>
      <w:r>
        <w:t>Evidence and assumptions</w:t>
      </w:r>
    </w:p>
    <w:p>
      <w:hyperlink r:id="rId160">
        <w:r>
          <w:rPr>
            <w:color w:val="235779"/>
            <w:u w:val="single"/>
          </w:rPr>
          <w:t>WPIC, 28 March 2025, p1</w:t>
        </w:r>
      </w:hyperlink>
    </w:p>
    <w:p>
      <w:hyperlink r:id="rId141">
        <w:r>
          <w:rPr>
            <w:color w:val="235779"/>
            <w:u w:val="single"/>
          </w:rPr>
          <w:t>History, quote definitions and gaps</w:t>
        </w:r>
      </w:hyperlink>
    </w:p>
    <w:p>
      <w:bookmarkStart w:id="49" w:name="research_26"/>
      <w:pPr>
        <w:pStyle w:val="Heading1"/>
        <w:pageBreakBefore/>
      </w:pPr>
      <w:r>
        <w:t>26  China: distinguish International Board from domestic SGE</w:t>
      </w:r>
      <w:bookmarkEnd w:id="49"/>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9"/>
        <w:gridCol w:w="3703"/>
        <w:gridCol w:w="4093"/>
      </w:tblGrid>
      <w:tr>
        <w:trPr>
          <w:tblHeader/>
          <w:cantSplit/>
        </w:trPr>
        <w:tc>
          <w:tcPr>
            <w:tcW w:type="dxa" w:w="1949"/>
            <w:vAlign w:val="center"/>
            <w:tcMar>
              <w:top w:w="80" w:type="dxa"/>
              <w:bottom w:w="80" w:type="dxa"/>
              <w:left w:w="100" w:type="dxa"/>
              <w:right w:w="100" w:type="dxa"/>
            </w:tcMar>
            <w:shd w:fill="DCE6EB"/>
          </w:tcPr>
          <w:p>
            <w:pPr>
              <w:keepNext/>
              <w:spacing w:after="0" w:before="0" w:line="252" w:lineRule="auto"/>
            </w:pPr>
            <w:r>
              <w:rPr>
                <w:b/>
                <w:i w:val="0"/>
                <w:sz w:val="20"/>
              </w:rPr>
              <w:t>Market</w:t>
            </w:r>
          </w:p>
        </w:tc>
        <w:tc>
          <w:tcPr>
            <w:tcW w:type="dxa" w:w="3703"/>
            <w:vAlign w:val="center"/>
            <w:tcMar>
              <w:top w:w="80" w:type="dxa"/>
              <w:bottom w:w="80" w:type="dxa"/>
              <w:left w:w="100" w:type="dxa"/>
              <w:right w:w="100" w:type="dxa"/>
            </w:tcMar>
            <w:shd w:fill="DCE6EB"/>
          </w:tcPr>
          <w:p>
            <w:pPr>
              <w:keepNext/>
              <w:spacing w:after="0" w:before="0" w:line="252" w:lineRule="auto"/>
            </w:pPr>
            <w:r>
              <w:rPr>
                <w:b/>
                <w:i w:val="0"/>
                <w:sz w:val="20"/>
              </w:rPr>
              <w:t>Verified physical comparison</w:t>
            </w:r>
          </w:p>
        </w:tc>
        <w:tc>
          <w:tcPr>
            <w:tcW w:type="dxa" w:w="4093"/>
            <w:vAlign w:val="center"/>
            <w:tcMar>
              <w:top w:w="80" w:type="dxa"/>
              <w:bottom w:w="80" w:type="dxa"/>
              <w:left w:w="100" w:type="dxa"/>
              <w:right w:w="100" w:type="dxa"/>
            </w:tcMar>
            <w:shd w:fill="DCE6EB"/>
          </w:tcPr>
          <w:p>
            <w:pPr>
              <w:keepNext/>
              <w:spacing w:after="0" w:before="0" w:line="252" w:lineRule="auto"/>
            </w:pPr>
            <w:r>
              <w:rPr>
                <w:b/>
                <w:i w:val="0"/>
                <w:sz w:val="20"/>
              </w:rPr>
              <w:t>Access and title constraint</w:t>
            </w:r>
          </w:p>
        </w:tc>
      </w:tr>
      <w:tr>
        <w:trPr>
          <w:cantSplit/>
        </w:trPr>
        <w:tc>
          <w:tcPr>
            <w:tcW w:type="dxa" w:w="1949"/>
            <w:vAlign w:val="center"/>
            <w:tcMar>
              <w:top w:w="80" w:type="dxa"/>
              <w:bottom w:w="80" w:type="dxa"/>
              <w:left w:w="100" w:type="dxa"/>
              <w:right w:w="100" w:type="dxa"/>
            </w:tcMar>
            <w:shd w:fill="FFFFFF"/>
          </w:tcPr>
          <w:p>
            <w:pPr>
              <w:keepNext w:val="0"/>
              <w:spacing w:after="0" w:before="0" w:line="252" w:lineRule="auto"/>
            </w:pPr>
            <w:r>
              <w:rPr>
                <w:b w:val="0"/>
                <w:i w:val="0"/>
                <w:sz w:val="20"/>
              </w:rPr>
              <w:t>SGEI matching gold</w:t>
            </w:r>
          </w:p>
        </w:tc>
        <w:tc>
          <w:tcPr>
            <w:tcW w:type="dxa" w:w="3703"/>
            <w:vAlign w:val="center"/>
            <w:tcMar>
              <w:top w:w="80" w:type="dxa"/>
              <w:bottom w:w="80" w:type="dxa"/>
              <w:left w:w="100" w:type="dxa"/>
              <w:right w:w="100" w:type="dxa"/>
            </w:tcMar>
            <w:shd w:fill="FFFFFF"/>
          </w:tcPr>
          <w:p>
            <w:pPr>
              <w:keepNext w:val="0"/>
              <w:spacing w:after="0" w:before="0" w:line="252" w:lineRule="auto"/>
            </w:pPr>
            <w:r>
              <w:rPr>
                <w:b w:val="0"/>
                <w:i w:val="0"/>
                <w:sz w:val="20"/>
              </w:rPr>
              <w:t>iAu99.99: 1kg ≥99.99%; iAu99.5: 12.5kg ≥99.5%; iAu100g: 100g ≥99.99%</w:t>
            </w:r>
          </w:p>
        </w:tc>
        <w:tc>
          <w:tcPr>
            <w:tcW w:type="dxa" w:w="4093"/>
            <w:vAlign w:val="center"/>
            <w:tcMar>
              <w:top w:w="80" w:type="dxa"/>
              <w:bottom w:w="80" w:type="dxa"/>
              <w:left w:w="100" w:type="dxa"/>
              <w:right w:w="100" w:type="dxa"/>
            </w:tcMar>
            <w:shd w:fill="FFFFFF"/>
          </w:tcPr>
          <w:p>
            <w:pPr>
              <w:keepNext w:val="0"/>
              <w:spacing w:after="0" w:before="0" w:line="252" w:lineRule="auto"/>
            </w:pPr>
            <w:r>
              <w:rPr>
                <w:b w:val="0"/>
                <w:i w:val="0"/>
                <w:sz w:val="20"/>
              </w:rPr>
              <w:t>RMB quotation and International Board delivery route; exchange gold accounts are unallocated.</w:t>
            </w:r>
          </w:p>
        </w:tc>
      </w:tr>
      <w:tr>
        <w:trPr>
          <w:cantSplit/>
        </w:trPr>
        <w:tc>
          <w:tcPr>
            <w:tcW w:type="dxa" w:w="1949"/>
            <w:vAlign w:val="center"/>
            <w:tcMar>
              <w:top w:w="80" w:type="dxa"/>
              <w:bottom w:w="80" w:type="dxa"/>
              <w:left w:w="100" w:type="dxa"/>
              <w:right w:w="100" w:type="dxa"/>
            </w:tcMar>
            <w:shd w:fill="F4F7F8"/>
          </w:tcPr>
          <w:p>
            <w:pPr>
              <w:keepNext w:val="0"/>
              <w:spacing w:after="0" w:before="0" w:line="252" w:lineRule="auto"/>
            </w:pPr>
            <w:r>
              <w:rPr>
                <w:b w:val="0"/>
                <w:i w:val="0"/>
                <w:sz w:val="20"/>
              </w:rPr>
              <w:t>Hong Kong International Board gold</w:t>
            </w:r>
          </w:p>
        </w:tc>
        <w:tc>
          <w:tcPr>
            <w:tcW w:type="dxa" w:w="3703"/>
            <w:vAlign w:val="center"/>
            <w:tcMar>
              <w:top w:w="80" w:type="dxa"/>
              <w:bottom w:w="80" w:type="dxa"/>
              <w:left w:w="100" w:type="dxa"/>
              <w:right w:w="100" w:type="dxa"/>
            </w:tcMar>
            <w:shd w:fill="F4F7F8"/>
          </w:tcPr>
          <w:p>
            <w:pPr>
              <w:keepNext w:val="0"/>
              <w:spacing w:after="0" w:before="0" w:line="252" w:lineRule="auto"/>
            </w:pPr>
            <w:r>
              <w:rPr>
                <w:b w:val="0"/>
                <w:i w:val="0"/>
                <w:sz w:val="20"/>
              </w:rPr>
              <w:t>Over-the-counter iPAu99.99HK / iPAu99.5HK launched 26 June 2025</w:t>
            </w:r>
          </w:p>
        </w:tc>
        <w:tc>
          <w:tcPr>
            <w:tcW w:type="dxa" w:w="4093"/>
            <w:vAlign w:val="center"/>
            <w:tcMar>
              <w:top w:w="80" w:type="dxa"/>
              <w:bottom w:w="80" w:type="dxa"/>
              <w:left w:w="100" w:type="dxa"/>
              <w:right w:w="100" w:type="dxa"/>
            </w:tcMar>
            <w:shd w:fill="F4F7F8"/>
          </w:tcPr>
          <w:p>
            <w:pPr>
              <w:keepNext w:val="0"/>
              <w:spacing w:after="0" w:before="0" w:line="252" w:lineRule="auto"/>
            </w:pPr>
            <w:r>
              <w:rPr>
                <w:b w:val="0"/>
                <w:i w:val="0"/>
                <w:sz w:val="20"/>
              </w:rPr>
              <w:t>A possible gold-routing extension; not authority to place BlackRock bars in the exchange system.</w:t>
            </w:r>
          </w:p>
        </w:tc>
      </w:tr>
      <w:tr>
        <w:trPr>
          <w:cantSplit/>
        </w:trPr>
        <w:tc>
          <w:tcPr>
            <w:tcW w:type="dxa" w:w="1949"/>
            <w:vAlign w:val="center"/>
            <w:tcMar>
              <w:top w:w="80" w:type="dxa"/>
              <w:bottom w:w="80" w:type="dxa"/>
              <w:left w:w="100" w:type="dxa"/>
              <w:right w:w="100" w:type="dxa"/>
            </w:tcMar>
            <w:shd w:fill="FFFFFF"/>
          </w:tcPr>
          <w:p>
            <w:pPr>
              <w:keepNext w:val="0"/>
              <w:spacing w:after="0" w:before="0" w:line="252" w:lineRule="auto"/>
            </w:pPr>
            <w:r>
              <w:rPr>
                <w:b w:val="0"/>
                <w:i w:val="0"/>
                <w:sz w:val="20"/>
              </w:rPr>
              <w:t>Domestic SGE</w:t>
            </w:r>
          </w:p>
        </w:tc>
        <w:tc>
          <w:tcPr>
            <w:tcW w:type="dxa" w:w="3703"/>
            <w:vAlign w:val="center"/>
            <w:tcMar>
              <w:top w:w="80" w:type="dxa"/>
              <w:bottom w:w="80" w:type="dxa"/>
              <w:left w:w="100" w:type="dxa"/>
              <w:right w:w="100" w:type="dxa"/>
            </w:tcMar>
            <w:shd w:fill="FFFFFF"/>
          </w:tcPr>
          <w:p>
            <w:pPr>
              <w:keepNext w:val="0"/>
              <w:spacing w:after="0" w:before="0" w:line="252" w:lineRule="auto"/>
            </w:pPr>
            <w:r>
              <w:rPr>
                <w:b w:val="0"/>
                <w:i w:val="0"/>
                <w:sz w:val="20"/>
              </w:rPr>
              <w:t>Physical gold; silver Ag99.99 (15kg ≥99.99%); platinum Pt99.95</w:t>
            </w:r>
          </w:p>
        </w:tc>
        <w:tc>
          <w:tcPr>
            <w:tcW w:type="dxa" w:w="4093"/>
            <w:vAlign w:val="center"/>
            <w:tcMar>
              <w:top w:w="80" w:type="dxa"/>
              <w:bottom w:w="80" w:type="dxa"/>
              <w:left w:w="100" w:type="dxa"/>
              <w:right w:w="100" w:type="dxa"/>
            </w:tcMar>
            <w:shd w:fill="FFFFFF"/>
          </w:tcPr>
          <w:p>
            <w:pPr>
              <w:keepNext w:val="0"/>
              <w:spacing w:after="0" w:before="0" w:line="252" w:lineRule="auto"/>
            </w:pPr>
            <w:r>
              <w:rPr>
                <w:b w:val="0"/>
                <w:i w:val="0"/>
                <w:sz w:val="20"/>
              </w:rPr>
              <w:t>Different import/export, delivery-access, VAT and invoice rules. International access is not universal.</w:t>
            </w:r>
          </w:p>
        </w:tc>
      </w:tr>
      <w:tr>
        <w:trPr>
          <w:cantSplit/>
        </w:trPr>
        <w:tc>
          <w:tcPr>
            <w:tcW w:type="dxa" w:w="1949"/>
            <w:vAlign w:val="center"/>
            <w:tcMar>
              <w:top w:w="80" w:type="dxa"/>
              <w:bottom w:w="80" w:type="dxa"/>
              <w:left w:w="100" w:type="dxa"/>
              <w:right w:w="100" w:type="dxa"/>
            </w:tcMar>
            <w:shd w:fill="F4F7F8"/>
          </w:tcPr>
          <w:p>
            <w:pPr>
              <w:keepNext w:val="0"/>
              <w:spacing w:after="0" w:before="0" w:line="252" w:lineRule="auto"/>
            </w:pPr>
            <w:r>
              <w:rPr>
                <w:b w:val="0"/>
                <w:i w:val="0"/>
                <w:sz w:val="20"/>
              </w:rPr>
              <w:t>COMEX / NYMEX</w:t>
            </w:r>
          </w:p>
        </w:tc>
        <w:tc>
          <w:tcPr>
            <w:tcW w:type="dxa" w:w="3703"/>
            <w:vAlign w:val="center"/>
            <w:tcMar>
              <w:top w:w="80" w:type="dxa"/>
              <w:bottom w:w="80" w:type="dxa"/>
              <w:left w:w="100" w:type="dxa"/>
              <w:right w:w="100" w:type="dxa"/>
            </w:tcMar>
            <w:shd w:fill="F4F7F8"/>
          </w:tcPr>
          <w:p>
            <w:pPr>
              <w:keepNext w:val="0"/>
              <w:spacing w:after="0" w:before="0" w:line="252" w:lineRule="auto"/>
            </w:pPr>
            <w:r>
              <w:rPr>
                <w:b w:val="0"/>
                <w:i w:val="0"/>
                <w:sz w:val="20"/>
              </w:rPr>
              <w:t>Gold GC; silver SI; platinum PL; palladium PA</w:t>
            </w:r>
          </w:p>
        </w:tc>
        <w:tc>
          <w:tcPr>
            <w:tcW w:type="dxa" w:w="4093"/>
            <w:vAlign w:val="center"/>
            <w:tcMar>
              <w:top w:w="80" w:type="dxa"/>
              <w:bottom w:w="80" w:type="dxa"/>
              <w:left w:w="100" w:type="dxa"/>
              <w:right w:w="100" w:type="dxa"/>
            </w:tcMar>
            <w:shd w:fill="F4F7F8"/>
          </w:tcPr>
          <w:p>
            <w:pPr>
              <w:keepNext w:val="0"/>
              <w:spacing w:after="0" w:before="0" w:line="252" w:lineRule="auto"/>
            </w:pPr>
            <w:r>
              <w:rPr>
                <w:b w:val="0"/>
                <w:i w:val="0"/>
                <w:sz w:val="20"/>
              </w:rPr>
              <w:t>Contract, grade, bar format, tenor and delivery location must match the physical hedge.</w:t>
            </w:r>
          </w:p>
        </w:tc>
      </w:tr>
    </w:tbl>
    <w:p>
      <w:pPr>
        <w:spacing w:after="60" w:before="0" w:line="40" w:lineRule="exact"/>
      </w:pPr>
      <w:r>
        <w:rPr>
          <w:sz w:val="4"/>
        </w:rPr>
      </w:r>
    </w:p>
    <w:p>
      <w:pPr>
        <w:spacing w:after="100"/>
      </w:pPr>
      <w:r>
        <w:rPr>
          <w:b w:val="0"/>
          <w:i w:val="0"/>
          <w:sz w:val="18"/>
        </w:rPr>
        <w:t>No verified four-metal SGEI–CME route: no live International Board silver/platinum/palladium pairing was established. Domestic silver delivery accounts are allocated; gold/platinum accounts are unallocated. International Board matching gold fee is 0.5bp for 2026, before other costs.</w:t>
      </w:r>
    </w:p>
    <w:p>
      <w:pPr>
        <w:pStyle w:val="Heading3"/>
        <w:pageBreakBefore w:val="0"/>
      </w:pPr>
      <w:r>
        <w:t>Evidence and assumptions</w:t>
      </w:r>
    </w:p>
    <w:p>
      <w:hyperlink r:id="rId120">
        <w:r>
          <w:rPr>
            <w:color w:val="235779"/>
            <w:u w:val="single"/>
          </w:rPr>
          <w:t>Contract and access table</w:t>
        </w:r>
      </w:hyperlink>
    </w:p>
    <w:p>
      <w:hyperlink r:id="rId161">
        <w:r>
          <w:rPr>
            <w:color w:val="235779"/>
            <w:u w:val="single"/>
          </w:rPr>
          <w:t>SGE delivery rules, Article8</w:t>
        </w:r>
      </w:hyperlink>
    </w:p>
    <w:p>
      <w:hyperlink r:id="rId162">
        <w:r>
          <w:rPr>
            <w:color w:val="235779"/>
            <w:u w:val="single"/>
          </w:rPr>
          <w:t>Hong Kong launch</w:t>
        </w:r>
      </w:hyperlink>
    </w:p>
    <w:p>
      <w:hyperlink r:id="rId163">
        <w:r>
          <w:rPr>
            <w:color w:val="235779"/>
            <w:u w:val="single"/>
          </w:rPr>
          <w:t>2026 fee schedule</w:t>
        </w:r>
      </w:hyperlink>
    </w:p>
    <w:p>
      <w:bookmarkStart w:id="50" w:name="research_27"/>
      <w:pPr>
        <w:pStyle w:val="Heading1"/>
        <w:pageBreakBefore/>
      </w:pPr>
      <w:r>
        <w:t>27  China premium evidence: material, but not a trade ticket</w:t>
      </w:r>
      <w:bookmarkEnd w:id="50"/>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9"/>
        <w:gridCol w:w="3703"/>
        <w:gridCol w:w="4093"/>
      </w:tblGrid>
      <w:tr>
        <w:trPr>
          <w:tblHeader/>
          <w:cantSplit/>
        </w:trPr>
        <w:tc>
          <w:tcPr>
            <w:tcW w:type="dxa" w:w="1949"/>
            <w:vAlign w:val="center"/>
            <w:tcMar>
              <w:top w:w="80" w:type="dxa"/>
              <w:bottom w:w="80" w:type="dxa"/>
              <w:left w:w="100" w:type="dxa"/>
              <w:right w:w="100" w:type="dxa"/>
            </w:tcMar>
            <w:shd w:fill="DCE6EB"/>
          </w:tcPr>
          <w:p>
            <w:pPr>
              <w:keepNext/>
              <w:spacing w:after="0" w:before="0" w:line="252" w:lineRule="auto"/>
            </w:pPr>
            <w:r>
              <w:rPr>
                <w:b/>
                <w:i w:val="0"/>
                <w:sz w:val="20"/>
              </w:rPr>
              <w:t>Observation</w:t>
            </w:r>
          </w:p>
        </w:tc>
        <w:tc>
          <w:tcPr>
            <w:tcW w:type="dxa" w:w="3703"/>
            <w:vAlign w:val="center"/>
            <w:tcMar>
              <w:top w:w="80" w:type="dxa"/>
              <w:bottom w:w="80" w:type="dxa"/>
              <w:left w:w="100" w:type="dxa"/>
              <w:right w:w="100" w:type="dxa"/>
            </w:tcMar>
            <w:shd w:fill="DCE6EB"/>
          </w:tcPr>
          <w:p>
            <w:pPr>
              <w:keepNext/>
              <w:spacing w:after="0" w:before="0" w:line="252" w:lineRule="auto"/>
            </w:pPr>
            <w:r>
              <w:rPr>
                <w:b/>
                <w:i w:val="0"/>
                <w:sz w:val="20"/>
              </w:rPr>
              <w:t>Evidence</w:t>
            </w:r>
          </w:p>
        </w:tc>
        <w:tc>
          <w:tcPr>
            <w:tcW w:type="dxa" w:w="4093"/>
            <w:vAlign w:val="center"/>
            <w:tcMar>
              <w:top w:w="80" w:type="dxa"/>
              <w:bottom w:w="80" w:type="dxa"/>
              <w:left w:w="100" w:type="dxa"/>
              <w:right w:w="100" w:type="dxa"/>
            </w:tcMar>
            <w:shd w:fill="DCE6EB"/>
          </w:tcPr>
          <w:p>
            <w:pPr>
              <w:keepNext/>
              <w:spacing w:after="0" w:before="0" w:line="252" w:lineRule="auto"/>
            </w:pPr>
            <w:r>
              <w:rPr>
                <w:b/>
                <w:i w:val="0"/>
                <w:sz w:val="20"/>
              </w:rPr>
              <w:t>Interpretation</w:t>
            </w:r>
          </w:p>
        </w:tc>
      </w:tr>
      <w:tr>
        <w:trPr>
          <w:cantSplit/>
        </w:trPr>
        <w:tc>
          <w:tcPr>
            <w:tcW w:type="dxa" w:w="1949"/>
            <w:vAlign w:val="center"/>
            <w:tcMar>
              <w:top w:w="80" w:type="dxa"/>
              <w:bottom w:w="80" w:type="dxa"/>
              <w:left w:w="100" w:type="dxa"/>
              <w:right w:w="100" w:type="dxa"/>
            </w:tcMar>
            <w:shd w:fill="FFFFFF"/>
          </w:tcPr>
          <w:p>
            <w:pPr>
              <w:keepNext w:val="0"/>
              <w:spacing w:after="0" w:before="0" w:line="252" w:lineRule="auto"/>
            </w:pPr>
            <w:r>
              <w:rPr>
                <w:b w:val="0"/>
                <w:i w:val="0"/>
                <w:sz w:val="20"/>
              </w:rPr>
              <w:t>February 2025</w:t>
            </w:r>
          </w:p>
        </w:tc>
        <w:tc>
          <w:tcPr>
            <w:tcW w:type="dxa" w:w="3703"/>
            <w:vAlign w:val="center"/>
            <w:tcMar>
              <w:top w:w="80" w:type="dxa"/>
              <w:bottom w:w="80" w:type="dxa"/>
              <w:left w:w="100" w:type="dxa"/>
              <w:right w:w="100" w:type="dxa"/>
            </w:tcMar>
            <w:shd w:fill="FFFFFF"/>
          </w:tcPr>
          <w:p>
            <w:pPr>
              <w:keepNext w:val="0"/>
              <w:spacing w:after="0" w:before="0" w:line="252" w:lineRule="auto"/>
            </w:pPr>
            <w:r>
              <w:rPr>
                <w:b w:val="0"/>
                <w:i w:val="0"/>
                <w:sz w:val="20"/>
              </w:rPr>
              <w:t>WGC domestic Shanghai–London monthly premium: −$1.5/oz</w:t>
            </w:r>
          </w:p>
        </w:tc>
        <w:tc>
          <w:tcPr>
            <w:tcW w:type="dxa" w:w="4093"/>
            <w:vAlign w:val="center"/>
            <w:tcMar>
              <w:top w:w="80" w:type="dxa"/>
              <w:bottom w:w="80" w:type="dxa"/>
              <w:left w:w="100" w:type="dxa"/>
              <w:right w:w="100" w:type="dxa"/>
            </w:tcMar>
            <w:shd w:fill="FFFFFF"/>
          </w:tcPr>
          <w:p>
            <w:pPr>
              <w:keepNext w:val="0"/>
              <w:spacing w:after="0" w:before="0" w:line="252" w:lineRule="auto"/>
            </w:pPr>
            <w:r>
              <w:rPr>
                <w:b w:val="0"/>
                <w:i w:val="0"/>
                <w:sz w:val="20"/>
              </w:rPr>
              <w:t>An indicative domestic market measure; not SGEI–CME.</w:t>
            </w:r>
          </w:p>
        </w:tc>
      </w:tr>
      <w:tr>
        <w:trPr>
          <w:cantSplit/>
        </w:trPr>
        <w:tc>
          <w:tcPr>
            <w:tcW w:type="dxa" w:w="1949"/>
            <w:vAlign w:val="center"/>
            <w:tcMar>
              <w:top w:w="80" w:type="dxa"/>
              <w:bottom w:w="80" w:type="dxa"/>
              <w:left w:w="100" w:type="dxa"/>
              <w:right w:w="100" w:type="dxa"/>
            </w:tcMar>
            <w:shd w:fill="F4F7F8"/>
          </w:tcPr>
          <w:p>
            <w:pPr>
              <w:keepNext w:val="0"/>
              <w:spacing w:after="0" w:before="0" w:line="252" w:lineRule="auto"/>
            </w:pPr>
            <w:r>
              <w:rPr>
                <w:b w:val="0"/>
                <w:i w:val="0"/>
                <w:sz w:val="20"/>
              </w:rPr>
              <w:t>April 2025</w:t>
            </w:r>
          </w:p>
        </w:tc>
        <w:tc>
          <w:tcPr>
            <w:tcW w:type="dxa" w:w="3703"/>
            <w:vAlign w:val="center"/>
            <w:tcMar>
              <w:top w:w="80" w:type="dxa"/>
              <w:bottom w:w="80" w:type="dxa"/>
              <w:left w:w="100" w:type="dxa"/>
              <w:right w:w="100" w:type="dxa"/>
            </w:tcMar>
            <w:shd w:fill="F4F7F8"/>
          </w:tcPr>
          <w:p>
            <w:pPr>
              <w:keepNext w:val="0"/>
              <w:spacing w:after="0" w:before="0" w:line="252" w:lineRule="auto"/>
            </w:pPr>
            <w:r>
              <w:rPr>
                <w:b w:val="0"/>
                <w:i w:val="0"/>
                <w:sz w:val="20"/>
              </w:rPr>
              <w:t>WGC domestic Shanghai–London monthly premium: +$37/oz</w:t>
            </w:r>
          </w:p>
        </w:tc>
        <w:tc>
          <w:tcPr>
            <w:tcW w:type="dxa" w:w="4093"/>
            <w:vAlign w:val="center"/>
            <w:tcMar>
              <w:top w:w="80" w:type="dxa"/>
              <w:bottom w:w="80" w:type="dxa"/>
              <w:left w:w="100" w:type="dxa"/>
              <w:right w:w="100" w:type="dxa"/>
            </w:tcMar>
            <w:shd w:fill="F4F7F8"/>
          </w:tcPr>
          <w:p>
            <w:pPr>
              <w:keepNext w:val="0"/>
              <w:spacing w:after="0" w:before="0" w:line="252" w:lineRule="auto"/>
            </w:pPr>
            <w:r>
              <w:rPr>
                <w:b w:val="0"/>
                <w:i w:val="0"/>
                <w:sz w:val="20"/>
              </w:rPr>
              <w:t>WGC associated strong investment with US–China tension and also jewellery restocking; not proof of tariff-only causality.</w:t>
            </w:r>
          </w:p>
        </w:tc>
      </w:tr>
      <w:tr>
        <w:trPr>
          <w:cantSplit/>
        </w:trPr>
        <w:tc>
          <w:tcPr>
            <w:tcW w:type="dxa" w:w="1949"/>
            <w:vAlign w:val="center"/>
            <w:tcMar>
              <w:top w:w="80" w:type="dxa"/>
              <w:bottom w:w="80" w:type="dxa"/>
              <w:left w:w="100" w:type="dxa"/>
              <w:right w:w="100" w:type="dxa"/>
            </w:tcMar>
            <w:shd w:fill="FFFFFF"/>
          </w:tcPr>
          <w:p>
            <w:pPr>
              <w:keepNext w:val="0"/>
              <w:spacing w:after="0" w:before="0" w:line="252" w:lineRule="auto"/>
            </w:pPr>
            <w:r>
              <w:rPr>
                <w:b w:val="0"/>
                <w:i w:val="0"/>
                <w:sz w:val="20"/>
              </w:rPr>
              <w:t>9 April 2025</w:t>
            </w:r>
          </w:p>
        </w:tc>
        <w:tc>
          <w:tcPr>
            <w:tcW w:type="dxa" w:w="3703"/>
            <w:vAlign w:val="center"/>
            <w:tcMar>
              <w:top w:w="80" w:type="dxa"/>
              <w:bottom w:w="80" w:type="dxa"/>
              <w:left w:w="100" w:type="dxa"/>
              <w:right w:w="100" w:type="dxa"/>
            </w:tcMar>
            <w:shd w:fill="FFFFFF"/>
          </w:tcPr>
          <w:p>
            <w:pPr>
              <w:keepNext w:val="0"/>
              <w:spacing w:after="0" w:before="0" w:line="252" w:lineRule="auto"/>
            </w:pPr>
            <w:r>
              <w:rPr>
                <w:b w:val="0"/>
                <w:i w:val="0"/>
                <w:sz w:val="20"/>
              </w:rPr>
              <w:t>Domestic Au99.99 close RMB728.88/g; international iAu99.99 RMB721.62/g</w:t>
            </w:r>
          </w:p>
        </w:tc>
        <w:tc>
          <w:tcPr>
            <w:tcW w:type="dxa" w:w="4093"/>
            <w:vAlign w:val="center"/>
            <w:tcMar>
              <w:top w:w="80" w:type="dxa"/>
              <w:bottom w:w="80" w:type="dxa"/>
              <w:left w:w="100" w:type="dxa"/>
              <w:right w:w="100" w:type="dxa"/>
            </w:tcMar>
            <w:shd w:fill="FFFFFF"/>
          </w:tcPr>
          <w:p>
            <w:pPr>
              <w:keepNext w:val="0"/>
              <w:spacing w:after="0" w:before="0" w:line="252" w:lineRule="auto"/>
            </w:pPr>
            <w:r>
              <w:rPr>
                <w:b w:val="0"/>
                <w:i w:val="0"/>
                <w:sz w:val="20"/>
              </w:rPr>
              <w:t>Native close difference RMB7.26/g; not necessarily simultaneous or normalised for access, taxes, FX and delivery.</w:t>
            </w:r>
          </w:p>
        </w:tc>
      </w:tr>
      <w:tr>
        <w:trPr>
          <w:cantSplit/>
        </w:trPr>
        <w:tc>
          <w:tcPr>
            <w:tcW w:type="dxa" w:w="1949"/>
            <w:vAlign w:val="center"/>
            <w:tcMar>
              <w:top w:w="80" w:type="dxa"/>
              <w:bottom w:w="80" w:type="dxa"/>
              <w:left w:w="100" w:type="dxa"/>
              <w:right w:w="100" w:type="dxa"/>
            </w:tcMar>
            <w:shd w:fill="F4F7F8"/>
          </w:tcPr>
          <w:p>
            <w:pPr>
              <w:keepNext w:val="0"/>
              <w:spacing w:after="0" w:before="0" w:line="252" w:lineRule="auto"/>
            </w:pPr>
            <w:r>
              <w:rPr>
                <w:b w:val="0"/>
                <w:i w:val="0"/>
                <w:sz w:val="20"/>
              </w:rPr>
              <w:t>Ten selected 2025 sessions</w:t>
            </w:r>
          </w:p>
        </w:tc>
        <w:tc>
          <w:tcPr>
            <w:tcW w:type="dxa" w:w="3703"/>
            <w:vAlign w:val="center"/>
            <w:tcMar>
              <w:top w:w="80" w:type="dxa"/>
              <w:bottom w:w="80" w:type="dxa"/>
              <w:left w:w="100" w:type="dxa"/>
              <w:right w:w="100" w:type="dxa"/>
            </w:tcMar>
            <w:shd w:fill="F4F7F8"/>
          </w:tcPr>
          <w:p>
            <w:pPr>
              <w:keepNext w:val="0"/>
              <w:spacing w:after="0" w:before="0" w:line="252" w:lineRule="auto"/>
            </w:pPr>
            <w:r>
              <w:rPr>
                <w:b w:val="0"/>
                <w:i w:val="0"/>
                <w:sz w:val="20"/>
              </w:rPr>
              <w:t>165 source rows retained across domestic and international reports</w:t>
            </w:r>
          </w:p>
        </w:tc>
        <w:tc>
          <w:tcPr>
            <w:tcW w:type="dxa" w:w="4093"/>
            <w:vAlign w:val="center"/>
            <w:tcMar>
              <w:top w:w="80" w:type="dxa"/>
              <w:bottom w:w="80" w:type="dxa"/>
              <w:left w:w="100" w:type="dxa"/>
              <w:right w:w="100" w:type="dxa"/>
            </w:tcMar>
            <w:shd w:fill="F4F7F8"/>
          </w:tcPr>
          <w:p>
            <w:pPr>
              <w:keepNext w:val="0"/>
              <w:spacing w:after="0" w:before="0" w:line="252" w:lineRule="auto"/>
            </w:pPr>
            <w:r>
              <w:rPr>
                <w:b w:val="0"/>
                <w:i w:val="0"/>
                <w:sz w:val="20"/>
              </w:rPr>
              <w:t>A transparent sample, not complete market history or demonstrated executable depth.</w:t>
            </w:r>
          </w:p>
        </w:tc>
      </w:tr>
    </w:tbl>
    <w:p>
      <w:pPr>
        <w:spacing w:after="60" w:before="0" w:line="40" w:lineRule="exact"/>
      </w:pPr>
      <w:r>
        <w:rPr>
          <w:sz w:val="4"/>
        </w:rPr>
      </w:r>
    </w:p>
    <w:p>
      <w:r>
        <w:rPr>
          <w:b w:val="0"/>
          <w:i w:val="0"/>
        </w:rPr>
        <w:t>Shanghai–London, SGEI–CME and SGE–CME are different comparisons. None should be presented as another without the missing legs.</w:t>
      </w:r>
    </w:p>
    <w:p>
      <w:pPr>
        <w:spacing w:after="100"/>
      </w:pPr>
      <w:r>
        <w:rPr>
          <w:b w:val="0"/>
          <w:i w:val="0"/>
          <w:sz w:val="18"/>
        </w:rPr>
        <w:t>No matched CME and FX observations were obtained. March WGC publications conflict ($4.3 versus $2/oz); that point is excluded here and preserved in the source notes. SGE printed volumes are two-way, not unique physical flow.</w:t>
      </w:r>
    </w:p>
    <w:p>
      <w:pPr>
        <w:pStyle w:val="Heading3"/>
        <w:pageBreakBefore w:val="0"/>
      </w:pPr>
      <w:r>
        <w:t>Evidence and assumptions</w:t>
      </w:r>
    </w:p>
    <w:p>
      <w:hyperlink r:id="rId164">
        <w:r>
          <w:rPr>
            <w:color w:val="235779"/>
            <w:u w:val="single"/>
          </w:rPr>
          <w:t>WGC April market update</w:t>
        </w:r>
      </w:hyperlink>
    </w:p>
    <w:p>
      <w:hyperlink r:id="rId165">
        <w:r>
          <w:rPr>
            <w:color w:val="235779"/>
            <w:u w:val="single"/>
          </w:rPr>
          <w:t>WGC February/March discussion</w:t>
        </w:r>
      </w:hyperlink>
    </w:p>
    <w:p>
      <w:hyperlink r:id="rId166">
        <w:r>
          <w:rPr>
            <w:color w:val="235779"/>
            <w:u w:val="single"/>
          </w:rPr>
          <w:t>9 April source report</w:t>
        </w:r>
      </w:hyperlink>
    </w:p>
    <w:p>
      <w:hyperlink r:id="rId120">
        <w:r>
          <w:rPr>
            <w:color w:val="235779"/>
            <w:u w:val="single"/>
          </w:rPr>
          <w:t>Saved observations and limitations</w:t>
        </w:r>
      </w:hyperlink>
    </w:p>
    <w:p>
      <w:bookmarkStart w:id="51" w:name="research_28"/>
      <w:pPr>
        <w:pStyle w:val="Heading1"/>
        <w:pageBreakBefore/>
      </w:pPr>
      <w:r>
        <w:t>28  One comparable measure for each physical route</w:t>
      </w:r>
      <w:bookmarkEnd w:id="51"/>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9"/>
        <w:gridCol w:w="3703"/>
        <w:gridCol w:w="4093"/>
      </w:tblGrid>
      <w:tr>
        <w:trPr>
          <w:tblHeader/>
          <w:cantSplit/>
        </w:trPr>
        <w:tc>
          <w:tcPr>
            <w:tcW w:type="dxa" w:w="1949"/>
            <w:vAlign w:val="center"/>
            <w:tcMar>
              <w:top w:w="80" w:type="dxa"/>
              <w:bottom w:w="80" w:type="dxa"/>
              <w:left w:w="100" w:type="dxa"/>
              <w:right w:w="100" w:type="dxa"/>
            </w:tcMar>
            <w:shd w:fill="DCE6EB"/>
          </w:tcPr>
          <w:p>
            <w:pPr>
              <w:keepNext/>
              <w:spacing w:after="0" w:before="0" w:line="252" w:lineRule="auto"/>
            </w:pPr>
            <w:r>
              <w:rPr>
                <w:b/>
                <w:i w:val="0"/>
                <w:sz w:val="20"/>
              </w:rPr>
              <w:t>Comparison</w:t>
            </w:r>
          </w:p>
        </w:tc>
        <w:tc>
          <w:tcPr>
            <w:tcW w:type="dxa" w:w="3703"/>
            <w:vAlign w:val="center"/>
            <w:tcMar>
              <w:top w:w="80" w:type="dxa"/>
              <w:bottom w:w="80" w:type="dxa"/>
              <w:left w:w="100" w:type="dxa"/>
              <w:right w:w="100" w:type="dxa"/>
            </w:tcMar>
            <w:shd w:fill="DCE6EB"/>
          </w:tcPr>
          <w:p>
            <w:pPr>
              <w:keepNext/>
              <w:spacing w:after="0" w:before="0" w:line="252" w:lineRule="auto"/>
            </w:pPr>
            <w:r>
              <w:rPr>
                <w:b/>
                <w:i w:val="0"/>
                <w:sz w:val="20"/>
              </w:rPr>
              <w:t>Normalise before subtracting</w:t>
            </w:r>
          </w:p>
        </w:tc>
        <w:tc>
          <w:tcPr>
            <w:tcW w:type="dxa" w:w="4093"/>
            <w:vAlign w:val="center"/>
            <w:tcMar>
              <w:top w:w="80" w:type="dxa"/>
              <w:bottom w:w="80" w:type="dxa"/>
              <w:left w:w="100" w:type="dxa"/>
              <w:right w:w="100" w:type="dxa"/>
            </w:tcMar>
            <w:shd w:fill="DCE6EB"/>
          </w:tcPr>
          <w:p>
            <w:pPr>
              <w:keepNext/>
              <w:spacing w:after="0" w:before="0" w:line="252" w:lineRule="auto"/>
            </w:pPr>
            <w:r>
              <w:rPr>
                <w:b/>
                <w:i w:val="0"/>
                <w:sz w:val="20"/>
              </w:rPr>
              <w:t>Current evidence</w:t>
            </w:r>
          </w:p>
        </w:tc>
      </w:tr>
      <w:tr>
        <w:trPr>
          <w:cantSplit/>
        </w:trPr>
        <w:tc>
          <w:tcPr>
            <w:tcW w:type="dxa" w:w="1949"/>
            <w:vAlign w:val="center"/>
            <w:tcMar>
              <w:top w:w="80" w:type="dxa"/>
              <w:bottom w:w="80" w:type="dxa"/>
              <w:left w:w="100" w:type="dxa"/>
              <w:right w:w="100" w:type="dxa"/>
            </w:tcMar>
            <w:shd w:fill="FFFFFF"/>
          </w:tcPr>
          <w:p>
            <w:pPr>
              <w:keepNext w:val="0"/>
              <w:spacing w:after="0" w:before="0" w:line="252" w:lineRule="auto"/>
            </w:pPr>
            <w:r>
              <w:rPr>
                <w:b w:val="0"/>
                <w:i w:val="0"/>
                <w:sz w:val="20"/>
              </w:rPr>
              <w:t>US vs London</w:t>
            </w:r>
          </w:p>
        </w:tc>
        <w:tc>
          <w:tcPr>
            <w:tcW w:type="dxa" w:w="3703"/>
            <w:vAlign w:val="center"/>
            <w:tcMar>
              <w:top w:w="80" w:type="dxa"/>
              <w:bottom w:w="80" w:type="dxa"/>
              <w:left w:w="100" w:type="dxa"/>
              <w:right w:w="100" w:type="dxa"/>
            </w:tcMar>
            <w:shd w:fill="FFFFFF"/>
          </w:tcPr>
          <w:p>
            <w:pPr>
              <w:keepNext w:val="0"/>
              <w:spacing w:after="0" w:before="0" w:line="252" w:lineRule="auto"/>
            </w:pPr>
            <w:r>
              <w:rPr>
                <w:b w:val="0"/>
                <w:i w:val="0"/>
                <w:sz w:val="20"/>
              </w:rPr>
              <w:t>Distinguish physical location quotes from futures-minus-spot and from CME minus over-the-counter forward for first delivery day; match each convention’s units, dates and costs</w:t>
            </w:r>
          </w:p>
        </w:tc>
        <w:tc>
          <w:tcPr>
            <w:tcW w:type="dxa" w:w="4093"/>
            <w:vAlign w:val="center"/>
            <w:tcMar>
              <w:top w:w="80" w:type="dxa"/>
              <w:bottom w:w="80" w:type="dxa"/>
              <w:left w:w="100" w:type="dxa"/>
              <w:right w:w="100" w:type="dxa"/>
            </w:tcMar>
            <w:shd w:fill="FFFFFF"/>
          </w:tcPr>
          <w:p>
            <w:pPr>
              <w:keepNext w:val="0"/>
              <w:spacing w:after="0" w:before="0" w:line="252" w:lineRule="auto"/>
            </w:pPr>
            <w:r>
              <w:rPr>
                <w:b w:val="0"/>
                <w:i w:val="0"/>
                <w:sz w:val="20"/>
              </w:rPr>
              <w:t>Historical observations; no executable continuous EFP series.</w:t>
            </w:r>
          </w:p>
        </w:tc>
      </w:tr>
      <w:tr>
        <w:trPr>
          <w:cantSplit/>
        </w:trPr>
        <w:tc>
          <w:tcPr>
            <w:tcW w:type="dxa" w:w="1949"/>
            <w:vAlign w:val="center"/>
            <w:tcMar>
              <w:top w:w="80" w:type="dxa"/>
              <w:bottom w:w="80" w:type="dxa"/>
              <w:left w:w="100" w:type="dxa"/>
              <w:right w:w="100" w:type="dxa"/>
            </w:tcMar>
            <w:shd w:fill="F4F7F8"/>
          </w:tcPr>
          <w:p>
            <w:pPr>
              <w:keepNext w:val="0"/>
              <w:spacing w:after="0" w:before="0" w:line="252" w:lineRule="auto"/>
            </w:pPr>
            <w:r>
              <w:rPr>
                <w:b w:val="0"/>
                <w:i w:val="0"/>
                <w:sz w:val="20"/>
              </w:rPr>
              <w:t>IIBX vs London / CME</w:t>
            </w:r>
          </w:p>
        </w:tc>
        <w:tc>
          <w:tcPr>
            <w:tcW w:type="dxa" w:w="3703"/>
            <w:vAlign w:val="center"/>
            <w:tcMar>
              <w:top w:w="80" w:type="dxa"/>
              <w:bottom w:w="80" w:type="dxa"/>
              <w:left w:w="100" w:type="dxa"/>
              <w:right w:w="100" w:type="dxa"/>
            </w:tcMar>
            <w:shd w:fill="F4F7F8"/>
          </w:tcPr>
          <w:p>
            <w:pPr>
              <w:keepNext w:val="0"/>
              <w:spacing w:after="0" w:before="0" w:line="252" w:lineRule="auto"/>
            </w:pPr>
            <w:r>
              <w:rPr>
                <w:b w:val="0"/>
                <w:i w:val="0"/>
                <w:sz w:val="20"/>
              </w:rPr>
              <w:t>Matched USD quotes and quantity; actual payable weight, importer eligibility, tax and insurance/transport</w:t>
            </w:r>
          </w:p>
        </w:tc>
        <w:tc>
          <w:tcPr>
            <w:tcW w:type="dxa" w:w="4093"/>
            <w:vAlign w:val="center"/>
            <w:tcMar>
              <w:top w:w="80" w:type="dxa"/>
              <w:bottom w:w="80" w:type="dxa"/>
              <w:left w:w="100" w:type="dxa"/>
              <w:right w:w="100" w:type="dxa"/>
            </w:tcMar>
            <w:shd w:fill="F4F7F8"/>
          </w:tcPr>
          <w:p>
            <w:pPr>
              <w:keepNext w:val="0"/>
              <w:spacing w:after="0" w:before="0" w:line="252" w:lineRule="auto"/>
            </w:pPr>
            <w:r>
              <w:rPr>
                <w:b w:val="0"/>
                <w:i w:val="0"/>
                <w:sz w:val="20"/>
              </w:rPr>
              <w:t>Actual dated trades and stock; live all-in margin missing.</w:t>
            </w:r>
          </w:p>
        </w:tc>
      </w:tr>
      <w:tr>
        <w:trPr>
          <w:cantSplit/>
        </w:trPr>
        <w:tc>
          <w:tcPr>
            <w:tcW w:type="dxa" w:w="1949"/>
            <w:vAlign w:val="center"/>
            <w:tcMar>
              <w:top w:w="80" w:type="dxa"/>
              <w:bottom w:w="80" w:type="dxa"/>
              <w:left w:w="100" w:type="dxa"/>
              <w:right w:w="100" w:type="dxa"/>
            </w:tcMar>
            <w:shd w:fill="FFFFFF"/>
          </w:tcPr>
          <w:p>
            <w:pPr>
              <w:keepNext w:val="0"/>
              <w:spacing w:after="0" w:before="0" w:line="252" w:lineRule="auto"/>
            </w:pPr>
            <w:r>
              <w:rPr>
                <w:b w:val="0"/>
                <w:i w:val="0"/>
                <w:sz w:val="20"/>
              </w:rPr>
              <w:t>SGEI vs CME</w:t>
            </w:r>
          </w:p>
        </w:tc>
        <w:tc>
          <w:tcPr>
            <w:tcW w:type="dxa" w:w="3703"/>
            <w:vAlign w:val="center"/>
            <w:tcMar>
              <w:top w:w="80" w:type="dxa"/>
              <w:bottom w:w="80" w:type="dxa"/>
              <w:left w:w="100" w:type="dxa"/>
              <w:right w:w="100" w:type="dxa"/>
            </w:tcMar>
            <w:shd w:fill="FFFFFF"/>
          </w:tcPr>
          <w:p>
            <w:pPr>
              <w:keepNext w:val="0"/>
              <w:spacing w:after="0" w:before="0" w:line="252" w:lineRule="auto"/>
            </w:pPr>
            <w:r>
              <w:rPr>
                <w:b w:val="0"/>
                <w:i w:val="0"/>
                <w:sz w:val="20"/>
              </w:rPr>
              <w:t>RMB/g to USD/fine oz; executable FX, contract month, carry, board and delivery access</w:t>
            </w:r>
          </w:p>
        </w:tc>
        <w:tc>
          <w:tcPr>
            <w:tcW w:type="dxa" w:w="4093"/>
            <w:vAlign w:val="center"/>
            <w:tcMar>
              <w:top w:w="80" w:type="dxa"/>
              <w:bottom w:w="80" w:type="dxa"/>
              <w:left w:w="100" w:type="dxa"/>
              <w:right w:w="100" w:type="dxa"/>
            </w:tcMar>
            <w:shd w:fill="FFFFFF"/>
          </w:tcPr>
          <w:p>
            <w:pPr>
              <w:keepNext w:val="0"/>
              <w:spacing w:after="0" w:before="0" w:line="252" w:lineRule="auto"/>
            </w:pPr>
            <w:r>
              <w:rPr>
                <w:b w:val="0"/>
                <w:i w:val="0"/>
                <w:sz w:val="20"/>
              </w:rPr>
              <w:t>Contract rules and sampled closes; matched FX/CME series missing.</w:t>
            </w:r>
          </w:p>
        </w:tc>
      </w:tr>
      <w:tr>
        <w:trPr>
          <w:cantSplit/>
        </w:trPr>
        <w:tc>
          <w:tcPr>
            <w:tcW w:type="dxa" w:w="1949"/>
            <w:vAlign w:val="center"/>
            <w:tcMar>
              <w:top w:w="80" w:type="dxa"/>
              <w:bottom w:w="80" w:type="dxa"/>
              <w:left w:w="100" w:type="dxa"/>
              <w:right w:w="100" w:type="dxa"/>
            </w:tcMar>
            <w:shd w:fill="F4F7F8"/>
          </w:tcPr>
          <w:p>
            <w:pPr>
              <w:keepNext w:val="0"/>
              <w:spacing w:after="0" w:before="0" w:line="252" w:lineRule="auto"/>
            </w:pPr>
            <w:r>
              <w:rPr>
                <w:b w:val="0"/>
                <w:i w:val="0"/>
                <w:sz w:val="20"/>
              </w:rPr>
              <w:t>Domestic SGE vs CME</w:t>
            </w:r>
          </w:p>
        </w:tc>
        <w:tc>
          <w:tcPr>
            <w:tcW w:type="dxa" w:w="3703"/>
            <w:vAlign w:val="center"/>
            <w:tcMar>
              <w:top w:w="80" w:type="dxa"/>
              <w:bottom w:w="80" w:type="dxa"/>
              <w:left w:w="100" w:type="dxa"/>
              <w:right w:w="100" w:type="dxa"/>
            </w:tcMar>
            <w:shd w:fill="F4F7F8"/>
          </w:tcPr>
          <w:p>
            <w:pPr>
              <w:keepNext w:val="0"/>
              <w:spacing w:after="0" w:before="0" w:line="252" w:lineRule="auto"/>
            </w:pPr>
            <w:r>
              <w:rPr>
                <w:b w:val="0"/>
                <w:i w:val="0"/>
                <w:sz w:val="20"/>
              </w:rPr>
              <w:t>Same unit, grade, time, FX and tenor checks, with domestic-specific access, import/export, end-use, VAT and invoice treatment</w:t>
            </w:r>
          </w:p>
        </w:tc>
        <w:tc>
          <w:tcPr>
            <w:tcW w:type="dxa" w:w="4093"/>
            <w:vAlign w:val="center"/>
            <w:tcMar>
              <w:top w:w="80" w:type="dxa"/>
              <w:bottom w:w="80" w:type="dxa"/>
              <w:left w:w="100" w:type="dxa"/>
              <w:right w:w="100" w:type="dxa"/>
            </w:tcMar>
            <w:shd w:fill="F4F7F8"/>
          </w:tcPr>
          <w:p>
            <w:pPr>
              <w:keepNext w:val="0"/>
              <w:spacing w:after="0" w:before="0" w:line="252" w:lineRule="auto"/>
            </w:pPr>
            <w:r>
              <w:rPr>
                <w:b w:val="0"/>
                <w:i w:val="0"/>
                <w:sz w:val="20"/>
              </w:rPr>
              <w:t>Indicative Shanghai–London research is a separate proxy.</w:t>
            </w:r>
          </w:p>
        </w:tc>
      </w:tr>
    </w:tbl>
    <w:p>
      <w:pPr>
        <w:spacing w:after="60" w:before="0" w:line="40" w:lineRule="exact"/>
      </w:pPr>
      <w:r>
        <w:rPr>
          <w:sz w:val="4"/>
        </w:rPr>
      </w:r>
    </w:p>
    <w:p>
      <w:pPr>
        <w:spacing w:after="100"/>
      </w:pPr>
      <w:r>
        <w:rPr>
          <w:b w:val="0"/>
          <w:i w:val="0"/>
          <w:sz w:val="18"/>
        </w:rPr>
        <w:t>For a price per gross gram: USD/fine oz = RMB/g × 31.1034768 ÷ fineness ÷ RMB per USD. Fineness is a decimal, e.g. 0.9999. For RMB/kg, divide by 1,000 too. Do not apply purity twice or mechanically divide every Chinese gold price by 1.13.</w:t>
      </w:r>
    </w:p>
    <w:p>
      <w:r>
        <w:rPr>
          <w:b w:val="0"/>
          <w:i w:val="0"/>
        </w:rPr>
        <w:t>The decision metric is executable net proceeds on eligible, deliverable metal—measured against what the client already owns.</w:t>
      </w:r>
    </w:p>
    <w:p>
      <w:pPr>
        <w:pStyle w:val="Heading3"/>
        <w:pageBreakBefore w:val="0"/>
      </w:pPr>
      <w:r>
        <w:t>Evidence and assumptions</w:t>
      </w:r>
    </w:p>
    <w:p>
      <w:hyperlink r:id="rId120">
        <w:r>
          <w:rPr>
            <w:color w:val="235779"/>
            <w:u w:val="single"/>
          </w:rPr>
          <w:t>China normalisation, tax and access</w:t>
        </w:r>
      </w:hyperlink>
    </w:p>
    <w:p>
      <w:hyperlink r:id="rId141">
        <w:r>
          <w:rPr>
            <w:color w:val="235779"/>
            <w:u w:val="single"/>
          </w:rPr>
          <w:t>Tariff and EFP methodology</w:t>
        </w:r>
      </w:hyperlink>
    </w:p>
    <w:p>
      <w:hyperlink r:id="rId93">
        <w:r>
          <w:rPr>
            <w:color w:val="235779"/>
            <w:u w:val="single"/>
          </w:rPr>
          <w:t>IIBX payable-weight and landed-cost requirements</w:t>
        </w:r>
      </w:hyperlink>
    </w:p>
    <w:p>
      <w:bookmarkStart w:id="52" w:name="research_29"/>
      <w:pPr>
        <w:pStyle w:val="Heading1"/>
        <w:pageBreakBefore/>
      </w:pPr>
      <w:r>
        <w:t>29  Forward EFP: match the first delivery day</w:t>
      </w:r>
      <w:bookmarkEnd w:id="52"/>
    </w:p>
    <w:p>
      <w:r>
        <w:rPr>
          <w:b w:val="0"/>
          <w:i w:val="0"/>
        </w:rPr>
        <w:t>Forward EFP = CME contract price − over-the-counter forward price for that contract’s first delivery day, both observed at the same time.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16"/>
        <w:gridCol w:w="6530"/>
      </w:tblGrid>
      <w:tr>
        <w:trPr>
          <w:tblHeader/>
          <w:cantSplit/>
        </w:trPr>
        <w:tc>
          <w:tcPr>
            <w:tcW w:type="dxa" w:w="3216"/>
            <w:vAlign w:val="center"/>
            <w:tcMar>
              <w:top w:w="80" w:type="dxa"/>
              <w:bottom w:w="80" w:type="dxa"/>
              <w:left w:w="100" w:type="dxa"/>
              <w:right w:w="100" w:type="dxa"/>
            </w:tcMar>
            <w:shd w:fill="DCE6EB"/>
          </w:tcPr>
          <w:p>
            <w:pPr>
              <w:keepNext/>
              <w:spacing w:after="0" w:before="0" w:line="252" w:lineRule="auto"/>
            </w:pPr>
            <w:r>
              <w:rPr>
                <w:b/>
                <w:i w:val="0"/>
                <w:sz w:val="20"/>
              </w:rPr>
              <w:t>Price measure</w:t>
            </w:r>
          </w:p>
        </w:tc>
        <w:tc>
          <w:tcPr>
            <w:tcW w:type="dxa" w:w="6530"/>
            <w:vAlign w:val="center"/>
            <w:tcMar>
              <w:top w:w="80" w:type="dxa"/>
              <w:bottom w:w="80" w:type="dxa"/>
              <w:left w:w="100" w:type="dxa"/>
              <w:right w:w="100" w:type="dxa"/>
            </w:tcMar>
            <w:shd w:fill="DCE6EB"/>
          </w:tcPr>
          <w:p>
            <w:pPr>
              <w:keepNext/>
              <w:spacing w:after="0" w:before="0" w:line="252" w:lineRule="auto"/>
            </w:pPr>
            <w:r>
              <w:rPr>
                <w:b/>
                <w:i w:val="0"/>
                <w:sz w:val="20"/>
              </w:rPr>
              <w:t>What it contains</w:t>
            </w:r>
          </w:p>
        </w:tc>
      </w:tr>
      <w:tr>
        <w:trPr>
          <w:cantSplit/>
        </w:trPr>
        <w:tc>
          <w:tcPr>
            <w:tcW w:type="dxa" w:w="3216"/>
            <w:vAlign w:val="center"/>
            <w:tcMar>
              <w:top w:w="80" w:type="dxa"/>
              <w:bottom w:w="80" w:type="dxa"/>
              <w:left w:w="100" w:type="dxa"/>
              <w:right w:w="100" w:type="dxa"/>
            </w:tcMar>
            <w:shd w:fill="FFFFFF"/>
          </w:tcPr>
          <w:p>
            <w:pPr>
              <w:keepNext w:val="0"/>
              <w:spacing w:after="0" w:before="0" w:line="252" w:lineRule="auto"/>
            </w:pPr>
            <w:r>
              <w:rPr>
                <w:b w:val="0"/>
                <w:i w:val="0"/>
                <w:sz w:val="20"/>
              </w:rPr>
              <w:t>Reported spot EFP</w:t>
            </w:r>
          </w:p>
        </w:tc>
        <w:tc>
          <w:tcPr>
            <w:tcW w:type="dxa" w:w="6530"/>
            <w:vAlign w:val="center"/>
            <w:tcMar>
              <w:top w:w="80" w:type="dxa"/>
              <w:bottom w:w="80" w:type="dxa"/>
              <w:left w:w="100" w:type="dxa"/>
              <w:right w:w="100" w:type="dxa"/>
            </w:tcMar>
            <w:shd w:fill="FFFFFF"/>
          </w:tcPr>
          <w:p>
            <w:pPr>
              <w:keepNext w:val="0"/>
              <w:spacing w:after="0" w:before="0" w:line="252" w:lineRule="auto"/>
            </w:pPr>
            <w:r>
              <w:rPr>
                <w:b w:val="0"/>
                <w:i w:val="0"/>
                <w:sz w:val="20"/>
              </w:rPr>
              <w:t>Provider convention: CME future minus over-the-counter London spot. Includes the spot-to-forward price difference.</w:t>
            </w:r>
          </w:p>
        </w:tc>
      </w:tr>
      <w:tr>
        <w:trPr>
          <w:cantSplit/>
        </w:trPr>
        <w:tc>
          <w:tcPr>
            <w:tcW w:type="dxa" w:w="3216"/>
            <w:vAlign w:val="center"/>
            <w:tcMar>
              <w:top w:w="80" w:type="dxa"/>
              <w:bottom w:w="80" w:type="dxa"/>
              <w:left w:w="100" w:type="dxa"/>
              <w:right w:w="100" w:type="dxa"/>
            </w:tcMar>
            <w:shd w:fill="F4F7F8"/>
          </w:tcPr>
          <w:p>
            <w:pPr>
              <w:keepNext w:val="0"/>
              <w:spacing w:after="0" w:before="0" w:line="252" w:lineRule="auto"/>
            </w:pPr>
            <w:r>
              <w:rPr>
                <w:b w:val="0"/>
                <w:i w:val="0"/>
                <w:sz w:val="20"/>
              </w:rPr>
              <w:t>User-defined forward EFP</w:t>
            </w:r>
          </w:p>
        </w:tc>
        <w:tc>
          <w:tcPr>
            <w:tcW w:type="dxa" w:w="6530"/>
            <w:vAlign w:val="center"/>
            <w:tcMar>
              <w:top w:w="80" w:type="dxa"/>
              <w:bottom w:w="80" w:type="dxa"/>
              <w:left w:w="100" w:type="dxa"/>
              <w:right w:w="100" w:type="dxa"/>
            </w:tcMar>
            <w:shd w:fill="F4F7F8"/>
          </w:tcPr>
          <w:p>
            <w:pPr>
              <w:keepNext w:val="0"/>
              <w:spacing w:after="0" w:before="0" w:line="252" w:lineRule="auto"/>
            </w:pPr>
            <w:r>
              <w:rPr>
                <w:b w:val="0"/>
                <w:i w:val="0"/>
                <w:sz w:val="20"/>
              </w:rPr>
              <w:t>Named CME future minus the over-the-counter outright forward for its exact first delivery day.</w:t>
            </w:r>
          </w:p>
        </w:tc>
      </w:tr>
      <w:tr>
        <w:trPr>
          <w:cantSplit/>
        </w:trPr>
        <w:tc>
          <w:tcPr>
            <w:tcW w:type="dxa" w:w="3216"/>
            <w:vAlign w:val="center"/>
            <w:tcMar>
              <w:top w:w="80" w:type="dxa"/>
              <w:bottom w:w="80" w:type="dxa"/>
              <w:left w:w="100" w:type="dxa"/>
              <w:right w:w="100" w:type="dxa"/>
            </w:tcMar>
            <w:shd w:fill="FFFFFF"/>
          </w:tcPr>
          <w:p>
            <w:pPr>
              <w:keepNext w:val="0"/>
              <w:spacing w:after="0" w:before="0" w:line="252" w:lineRule="auto"/>
            </w:pPr>
            <w:r>
              <w:rPr>
                <w:b w:val="0"/>
                <w:i w:val="0"/>
                <w:sz w:val="20"/>
              </w:rPr>
              <w:t>Spot location premium</w:t>
            </w:r>
          </w:p>
        </w:tc>
        <w:tc>
          <w:tcPr>
            <w:tcW w:type="dxa" w:w="6530"/>
            <w:vAlign w:val="center"/>
            <w:tcMar>
              <w:top w:w="80" w:type="dxa"/>
              <w:bottom w:w="80" w:type="dxa"/>
              <w:left w:w="100" w:type="dxa"/>
              <w:right w:w="100" w:type="dxa"/>
            </w:tcMar>
            <w:shd w:fill="FFFFFF"/>
          </w:tcPr>
          <w:p>
            <w:pPr>
              <w:keepNext w:val="0"/>
              <w:spacing w:after="0" w:before="0" w:line="252" w:lineRule="auto"/>
            </w:pPr>
            <w:r>
              <w:rPr>
                <w:b w:val="0"/>
                <w:i w:val="0"/>
                <w:sz w:val="20"/>
              </w:rPr>
              <w:t>Equivalent spot metal in New York versus London. The pitch’s 50¢ physical premium is an assumption, not a retrieved EFP quote.</w:t>
            </w:r>
          </w:p>
        </w:tc>
      </w:tr>
    </w:tbl>
    <w:p>
      <w:pPr>
        <w:spacing w:after="60" w:before="0" w:line="40" w:lineRule="exact"/>
      </w:pPr>
      <w:r>
        <w:rPr>
          <w:sz w:val="4"/>
        </w:rPr>
      </w:r>
    </w:p>
    <w:p>
      <w:r>
        <w:rPr>
          <w:b w:val="0"/>
          <w:i w:val="0"/>
        </w:rPr>
        <w:t>Forward EFP = futures-minus-spot difference − over-the-counter forward points, on a consistently matched basis.</w:t>
      </w:r>
    </w:p>
    <w:p>
      <w:pPr>
        <w:spacing w:after="100"/>
      </w:pPr>
      <w:r>
        <w:rPr>
          <w:b w:val="0"/>
          <w:i w:val="0"/>
          <w:sz w:val="18"/>
        </w:rPr>
        <w:t>Use first delivery day—not first notice or expiry. A standard 1M rate may have the wrong value date. Aligning the valuation date does not guarantee futures delivery on that day. Preserve gold fine-ounce and silver source quotation conventions.</w:t>
      </w:r>
    </w:p>
    <w:p>
      <w:pPr>
        <w:pStyle w:val="Heading3"/>
        <w:pageBreakBefore w:val="0"/>
      </w:pPr>
      <w:r>
        <w:t>Evidence and assumptions</w:t>
      </w:r>
    </w:p>
    <w:p>
      <w:hyperlink r:id="rId107">
        <w:r>
          <w:rPr>
            <w:color w:val="235779"/>
            <w:u w:val="single"/>
          </w:rPr>
          <w:t>Definitions, side-aware formulas, dates and units</w:t>
        </w:r>
      </w:hyperlink>
    </w:p>
    <w:p>
      <w:hyperlink r:id="rId167">
        <w:r>
          <w:rPr>
            <w:color w:val="235779"/>
            <w:u w:val="single"/>
          </w:rPr>
          <w:t>LBMA conventions</w:t>
        </w:r>
      </w:hyperlink>
    </w:p>
    <w:p>
      <w:hyperlink r:id="rId168">
        <w:r>
          <w:rPr>
            <w:color w:val="235779"/>
            <w:u w:val="single"/>
          </w:rPr>
          <w:t>CME gold delivery rule113102.E</w:t>
        </w:r>
      </w:hyperlink>
    </w:p>
    <w:p>
      <w:hyperlink r:id="rId102">
        <w:r>
          <w:rPr>
            <w:color w:val="235779"/>
            <w:u w:val="single"/>
          </w:rPr>
          <w:t>CME silver delivery rule112102.E</w:t>
        </w:r>
      </w:hyperlink>
    </w:p>
    <w:p>
      <w:bookmarkStart w:id="53" w:name="research_30"/>
      <w:pPr>
        <w:pStyle w:val="Heading1"/>
        <w:pageBreakBefore/>
      </w:pPr>
      <w:r>
        <w:t>30  Recovered history: useful points, different conventions</w:t>
      </w:r>
      <w:bookmarkEnd w:id="53"/>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9"/>
        <w:gridCol w:w="3703"/>
        <w:gridCol w:w="4093"/>
      </w:tblGrid>
      <w:tr>
        <w:trPr>
          <w:tblHeader/>
          <w:cantSplit/>
        </w:trPr>
        <w:tc>
          <w:tcPr>
            <w:tcW w:type="dxa" w:w="1949"/>
            <w:vAlign w:val="center"/>
            <w:tcMar>
              <w:top w:w="80" w:type="dxa"/>
              <w:bottom w:w="80" w:type="dxa"/>
              <w:left w:w="100" w:type="dxa"/>
              <w:right w:w="100" w:type="dxa"/>
            </w:tcMar>
            <w:shd w:fill="DCE6EB"/>
          </w:tcPr>
          <w:p>
            <w:pPr>
              <w:keepNext/>
              <w:spacing w:after="0" w:before="0" w:line="252" w:lineRule="auto"/>
            </w:pPr>
            <w:r>
              <w:rPr>
                <w:b/>
                <w:i w:val="0"/>
                <w:sz w:val="20"/>
              </w:rPr>
              <w:t>Gold · reported futures minus spot</w:t>
            </w:r>
          </w:p>
        </w:tc>
        <w:tc>
          <w:tcPr>
            <w:tcW w:type="dxa" w:w="3703"/>
            <w:vAlign w:val="center"/>
            <w:tcMar>
              <w:top w:w="80" w:type="dxa"/>
              <w:bottom w:w="80" w:type="dxa"/>
              <w:left w:w="100" w:type="dxa"/>
              <w:right w:w="100" w:type="dxa"/>
            </w:tcMar>
            <w:shd w:fill="DCE6EB"/>
          </w:tcPr>
          <w:p>
            <w:pPr>
              <w:keepNext/>
              <w:spacing w:after="0" w:before="0" w:line="252" w:lineRule="auto"/>
            </w:pPr>
            <w:r>
              <w:rPr>
                <w:b/>
                <w:i w:val="0"/>
                <w:sz w:val="20"/>
              </w:rPr>
              <w:t>Contract</w:t>
            </w:r>
          </w:p>
        </w:tc>
        <w:tc>
          <w:tcPr>
            <w:tcW w:type="dxa" w:w="4093"/>
            <w:vAlign w:val="center"/>
            <w:tcMar>
              <w:top w:w="80" w:type="dxa"/>
              <w:bottom w:w="80" w:type="dxa"/>
              <w:left w:w="100" w:type="dxa"/>
              <w:right w:w="100" w:type="dxa"/>
            </w:tcMar>
            <w:shd w:fill="DCE6EB"/>
          </w:tcPr>
          <w:p>
            <w:pPr>
              <w:keepNext/>
              <w:spacing w:after="0" w:before="0" w:line="252" w:lineRule="auto"/>
            </w:pPr>
            <w:r>
              <w:rPr>
                <w:b/>
                <w:i w:val="0"/>
                <w:sz w:val="20"/>
              </w:rPr>
              <w:t>USD/oz as reported</w:t>
            </w:r>
          </w:p>
        </w:tc>
      </w:tr>
      <w:tr>
        <w:trPr>
          <w:cantSplit/>
        </w:trPr>
        <w:tc>
          <w:tcPr>
            <w:tcW w:type="dxa" w:w="1949"/>
            <w:vAlign w:val="center"/>
            <w:tcMar>
              <w:top w:w="80" w:type="dxa"/>
              <w:bottom w:w="80" w:type="dxa"/>
              <w:left w:w="100" w:type="dxa"/>
              <w:right w:w="100" w:type="dxa"/>
            </w:tcMar>
            <w:shd w:fill="FFFFFF"/>
          </w:tcPr>
          <w:p>
            <w:pPr>
              <w:keepNext w:val="0"/>
              <w:spacing w:after="0" w:before="0" w:line="252" w:lineRule="auto"/>
            </w:pPr>
            <w:r>
              <w:rPr>
                <w:b w:val="0"/>
                <w:i w:val="0"/>
                <w:sz w:val="20"/>
              </w:rPr>
              <w:t>16 January 2025 · intraday</w:t>
            </w:r>
          </w:p>
        </w:tc>
        <w:tc>
          <w:tcPr>
            <w:tcW w:type="dxa" w:w="3703"/>
            <w:vAlign w:val="center"/>
            <w:tcMar>
              <w:top w:w="80" w:type="dxa"/>
              <w:bottom w:w="80" w:type="dxa"/>
              <w:left w:w="100" w:type="dxa"/>
              <w:right w:w="100" w:type="dxa"/>
            </w:tcMar>
            <w:shd w:fill="FFFFFF"/>
          </w:tcPr>
          <w:p>
            <w:pPr>
              <w:keepNext w:val="0"/>
              <w:spacing w:after="0" w:before="0" w:line="252" w:lineRule="auto"/>
            </w:pPr>
            <w:r>
              <w:rPr>
                <w:b w:val="0"/>
                <w:i w:val="0"/>
                <w:sz w:val="20"/>
              </w:rPr>
              <w:t>February2025</w:t>
            </w:r>
          </w:p>
        </w:tc>
        <w:tc>
          <w:tcPr>
            <w:tcW w:type="dxa" w:w="4093"/>
            <w:vAlign w:val="center"/>
            <w:tcMar>
              <w:top w:w="80" w:type="dxa"/>
              <w:bottom w:w="80" w:type="dxa"/>
              <w:left w:w="100" w:type="dxa"/>
              <w:right w:w="100" w:type="dxa"/>
            </w:tcMar>
            <w:shd w:fill="FFFFFF"/>
          </w:tcPr>
          <w:p>
            <w:pPr>
              <w:keepNext w:val="0"/>
              <w:spacing w:after="0" w:before="0" w:line="252" w:lineRule="auto"/>
            </w:pPr>
            <w:r>
              <w:rPr>
                <w:b w:val="0"/>
                <w:i w:val="0"/>
                <w:sz w:val="20"/>
              </w:rPr>
              <w:t>30</w:t>
            </w:r>
          </w:p>
        </w:tc>
      </w:tr>
      <w:tr>
        <w:trPr>
          <w:cantSplit/>
        </w:trPr>
        <w:tc>
          <w:tcPr>
            <w:tcW w:type="dxa" w:w="1949"/>
            <w:vAlign w:val="center"/>
            <w:tcMar>
              <w:top w:w="80" w:type="dxa"/>
              <w:bottom w:w="80" w:type="dxa"/>
              <w:left w:w="100" w:type="dxa"/>
              <w:right w:w="100" w:type="dxa"/>
            </w:tcMar>
            <w:shd w:fill="F4F7F8"/>
          </w:tcPr>
          <w:p>
            <w:pPr>
              <w:keepNext w:val="0"/>
              <w:spacing w:after="0" w:before="0" w:line="252" w:lineRule="auto"/>
            </w:pPr>
            <w:r>
              <w:rPr>
                <w:b w:val="0"/>
                <w:i w:val="0"/>
                <w:sz w:val="20"/>
              </w:rPr>
              <w:t>3 April 2025 · intraday low</w:t>
            </w:r>
          </w:p>
        </w:tc>
        <w:tc>
          <w:tcPr>
            <w:tcW w:type="dxa" w:w="3703"/>
            <w:vAlign w:val="center"/>
            <w:tcMar>
              <w:top w:w="80" w:type="dxa"/>
              <w:bottom w:w="80" w:type="dxa"/>
              <w:left w:w="100" w:type="dxa"/>
              <w:right w:w="100" w:type="dxa"/>
            </w:tcMar>
            <w:shd w:fill="F4F7F8"/>
          </w:tcPr>
          <w:p>
            <w:pPr>
              <w:keepNext w:val="0"/>
              <w:spacing w:after="0" w:before="0" w:line="252" w:lineRule="auto"/>
            </w:pPr>
            <w:r>
              <w:rPr>
                <w:b w:val="0"/>
                <w:i w:val="0"/>
                <w:sz w:val="20"/>
              </w:rPr>
              <w:t>June2025</w:t>
            </w:r>
          </w:p>
        </w:tc>
        <w:tc>
          <w:tcPr>
            <w:tcW w:type="dxa" w:w="4093"/>
            <w:vAlign w:val="center"/>
            <w:tcMar>
              <w:top w:w="80" w:type="dxa"/>
              <w:bottom w:w="80" w:type="dxa"/>
              <w:left w:w="100" w:type="dxa"/>
              <w:right w:w="100" w:type="dxa"/>
            </w:tcMar>
            <w:shd w:fill="F4F7F8"/>
          </w:tcPr>
          <w:p>
            <w:pPr>
              <w:keepNext w:val="0"/>
              <w:spacing w:after="0" w:before="0" w:line="252" w:lineRule="auto"/>
            </w:pPr>
            <w:r>
              <w:rPr>
                <w:b w:val="0"/>
                <w:i w:val="0"/>
                <w:sz w:val="20"/>
              </w:rPr>
              <w:t>20</w:t>
            </w:r>
          </w:p>
        </w:tc>
      </w:tr>
      <w:tr>
        <w:trPr>
          <w:cantSplit/>
        </w:trPr>
        <w:tc>
          <w:tcPr>
            <w:tcW w:type="dxa" w:w="1949"/>
            <w:vAlign w:val="center"/>
            <w:tcMar>
              <w:top w:w="80" w:type="dxa"/>
              <w:bottom w:w="80" w:type="dxa"/>
              <w:left w:w="100" w:type="dxa"/>
              <w:right w:w="100" w:type="dxa"/>
            </w:tcMar>
            <w:shd w:fill="FFFFFF"/>
          </w:tcPr>
          <w:p>
            <w:pPr>
              <w:keepNext w:val="0"/>
              <w:spacing w:after="0" w:before="0" w:line="252" w:lineRule="auto"/>
            </w:pPr>
            <w:r>
              <w:rPr>
                <w:b w:val="0"/>
                <w:i w:val="0"/>
                <w:sz w:val="20"/>
              </w:rPr>
              <w:t>8 August 2025 · overnight</w:t>
            </w:r>
          </w:p>
        </w:tc>
        <w:tc>
          <w:tcPr>
            <w:tcW w:type="dxa" w:w="3703"/>
            <w:vAlign w:val="center"/>
            <w:tcMar>
              <w:top w:w="80" w:type="dxa"/>
              <w:bottom w:w="80" w:type="dxa"/>
              <w:left w:w="100" w:type="dxa"/>
              <w:right w:w="100" w:type="dxa"/>
            </w:tcMar>
            <w:shd w:fill="FFFFFF"/>
          </w:tcPr>
          <w:p>
            <w:pPr>
              <w:keepNext w:val="0"/>
              <w:spacing w:after="0" w:before="0" w:line="252" w:lineRule="auto"/>
            </w:pPr>
            <w:r>
              <w:rPr>
                <w:b w:val="0"/>
                <w:i w:val="0"/>
                <w:sz w:val="20"/>
              </w:rPr>
              <w:t>December2025</w:t>
            </w:r>
          </w:p>
        </w:tc>
        <w:tc>
          <w:tcPr>
            <w:tcW w:type="dxa" w:w="4093"/>
            <w:vAlign w:val="center"/>
            <w:tcMar>
              <w:top w:w="80" w:type="dxa"/>
              <w:bottom w:w="80" w:type="dxa"/>
              <w:left w:w="100" w:type="dxa"/>
              <w:right w:w="100" w:type="dxa"/>
            </w:tcMar>
            <w:shd w:fill="FFFFFF"/>
          </w:tcPr>
          <w:p>
            <w:pPr>
              <w:keepNext w:val="0"/>
              <w:spacing w:after="0" w:before="0" w:line="252" w:lineRule="auto"/>
            </w:pPr>
            <w:r>
              <w:rPr>
                <w:b w:val="0"/>
                <w:i w:val="0"/>
                <w:sz w:val="20"/>
              </w:rPr>
              <w:t>More than100</w:t>
            </w:r>
          </w:p>
        </w:tc>
      </w:tr>
    </w:tbl>
    <w:p>
      <w:pPr>
        <w:spacing w:after="60" w:before="0" w:line="40" w:lineRule="exact"/>
      </w:pPr>
      <w:r>
        <w:rPr>
          <w:sz w:val="4"/>
        </w:rP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9"/>
        <w:gridCol w:w="3703"/>
        <w:gridCol w:w="4093"/>
      </w:tblGrid>
      <w:tr>
        <w:trPr>
          <w:tblHeader/>
          <w:cantSplit/>
        </w:trPr>
        <w:tc>
          <w:tcPr>
            <w:tcW w:type="dxa" w:w="1949"/>
            <w:vAlign w:val="center"/>
            <w:tcMar>
              <w:top w:w="80" w:type="dxa"/>
              <w:bottom w:w="80" w:type="dxa"/>
              <w:left w:w="100" w:type="dxa"/>
              <w:right w:w="100" w:type="dxa"/>
            </w:tcMar>
            <w:shd w:fill="DCE6EB"/>
          </w:tcPr>
          <w:p>
            <w:pPr>
              <w:keepNext/>
              <w:spacing w:after="0" w:before="0" w:line="252" w:lineRule="auto"/>
            </w:pPr>
            <w:r>
              <w:rPr>
                <w:b/>
                <w:i w:val="0"/>
                <w:sz w:val="20"/>
              </w:rPr>
              <w:t>Silver · reported spot EFP</w:t>
            </w:r>
          </w:p>
        </w:tc>
        <w:tc>
          <w:tcPr>
            <w:tcW w:type="dxa" w:w="3703"/>
            <w:vAlign w:val="center"/>
            <w:tcMar>
              <w:top w:w="80" w:type="dxa"/>
              <w:bottom w:w="80" w:type="dxa"/>
              <w:left w:w="100" w:type="dxa"/>
              <w:right w:w="100" w:type="dxa"/>
            </w:tcMar>
            <w:shd w:fill="DCE6EB"/>
          </w:tcPr>
          <w:p>
            <w:pPr>
              <w:keepNext/>
              <w:spacing w:after="0" w:before="0" w:line="252" w:lineRule="auto"/>
            </w:pPr>
            <w:r>
              <w:rPr>
                <w:b/>
                <w:i w:val="0"/>
                <w:sz w:val="20"/>
              </w:rPr>
              <w:t>Contract</w:t>
            </w:r>
          </w:p>
        </w:tc>
        <w:tc>
          <w:tcPr>
            <w:tcW w:type="dxa" w:w="4093"/>
            <w:vAlign w:val="center"/>
            <w:tcMar>
              <w:top w:w="80" w:type="dxa"/>
              <w:bottom w:w="80" w:type="dxa"/>
              <w:left w:w="100" w:type="dxa"/>
              <w:right w:w="100" w:type="dxa"/>
            </w:tcMar>
            <w:shd w:fill="DCE6EB"/>
          </w:tcPr>
          <w:p>
            <w:pPr>
              <w:keepNext/>
              <w:spacing w:after="0" w:before="0" w:line="252" w:lineRule="auto"/>
            </w:pPr>
            <w:r>
              <w:rPr>
                <w:b/>
                <w:i w:val="0"/>
                <w:sz w:val="20"/>
              </w:rPr>
              <w:t>USD/oz, normalised from cents</w:t>
            </w:r>
          </w:p>
        </w:tc>
      </w:tr>
      <w:tr>
        <w:trPr>
          <w:cantSplit/>
        </w:trPr>
        <w:tc>
          <w:tcPr>
            <w:tcW w:type="dxa" w:w="1949"/>
            <w:vAlign w:val="center"/>
            <w:tcMar>
              <w:top w:w="80" w:type="dxa"/>
              <w:bottom w:w="80" w:type="dxa"/>
              <w:left w:w="100" w:type="dxa"/>
              <w:right w:w="100" w:type="dxa"/>
            </w:tcMar>
            <w:shd w:fill="FFFFFF"/>
          </w:tcPr>
          <w:p>
            <w:pPr>
              <w:keepNext w:val="0"/>
              <w:spacing w:after="0" w:before="0" w:line="252" w:lineRule="auto"/>
            </w:pPr>
            <w:r>
              <w:rPr>
                <w:b w:val="0"/>
                <w:i w:val="0"/>
                <w:sz w:val="20"/>
              </w:rPr>
              <w:t>10 July 2025 · broker-run mid</w:t>
            </w:r>
          </w:p>
        </w:tc>
        <w:tc>
          <w:tcPr>
            <w:tcW w:type="dxa" w:w="3703"/>
            <w:vAlign w:val="center"/>
            <w:tcMar>
              <w:top w:w="80" w:type="dxa"/>
              <w:bottom w:w="80" w:type="dxa"/>
              <w:left w:w="100" w:type="dxa"/>
              <w:right w:w="100" w:type="dxa"/>
            </w:tcMar>
            <w:shd w:fill="FFFFFF"/>
          </w:tcPr>
          <w:p>
            <w:pPr>
              <w:keepNext w:val="0"/>
              <w:spacing w:after="0" w:before="0" w:line="252" w:lineRule="auto"/>
            </w:pPr>
            <w:r>
              <w:rPr>
                <w:b w:val="0"/>
                <w:i w:val="0"/>
                <w:sz w:val="20"/>
              </w:rPr>
              <w:t>September2025, inferred</w:t>
            </w:r>
          </w:p>
        </w:tc>
        <w:tc>
          <w:tcPr>
            <w:tcW w:type="dxa" w:w="4093"/>
            <w:vAlign w:val="center"/>
            <w:tcMar>
              <w:top w:w="80" w:type="dxa"/>
              <w:bottom w:w="80" w:type="dxa"/>
              <w:left w:w="100" w:type="dxa"/>
              <w:right w:w="100" w:type="dxa"/>
            </w:tcMar>
            <w:shd w:fill="FFFFFF"/>
          </w:tcPr>
          <w:p>
            <w:pPr>
              <w:keepNext w:val="0"/>
              <w:spacing w:after="0" w:before="0" w:line="252" w:lineRule="auto"/>
            </w:pPr>
            <w:r>
              <w:rPr>
                <w:b w:val="0"/>
                <w:i w:val="0"/>
                <w:sz w:val="20"/>
              </w:rPr>
              <w:t>+0.425</w:t>
            </w:r>
          </w:p>
        </w:tc>
      </w:tr>
      <w:tr>
        <w:trPr>
          <w:cantSplit/>
        </w:trPr>
        <w:tc>
          <w:tcPr>
            <w:tcW w:type="dxa" w:w="1949"/>
            <w:vAlign w:val="center"/>
            <w:tcMar>
              <w:top w:w="80" w:type="dxa"/>
              <w:bottom w:w="80" w:type="dxa"/>
              <w:left w:w="100" w:type="dxa"/>
              <w:right w:w="100" w:type="dxa"/>
            </w:tcMar>
            <w:shd w:fill="F4F7F8"/>
          </w:tcPr>
          <w:p>
            <w:pPr>
              <w:keepNext w:val="0"/>
              <w:spacing w:after="0" w:before="0" w:line="252" w:lineRule="auto"/>
            </w:pPr>
            <w:r>
              <w:rPr>
                <w:b w:val="0"/>
                <w:i w:val="0"/>
                <w:sz w:val="20"/>
              </w:rPr>
              <w:t>21 / 22 October 2025 · reported mids</w:t>
            </w:r>
          </w:p>
        </w:tc>
        <w:tc>
          <w:tcPr>
            <w:tcW w:type="dxa" w:w="3703"/>
            <w:vAlign w:val="center"/>
            <w:tcMar>
              <w:top w:w="80" w:type="dxa"/>
              <w:bottom w:w="80" w:type="dxa"/>
              <w:left w:w="100" w:type="dxa"/>
              <w:right w:w="100" w:type="dxa"/>
            </w:tcMar>
            <w:shd w:fill="F4F7F8"/>
          </w:tcPr>
          <w:p>
            <w:pPr>
              <w:keepNext w:val="0"/>
              <w:spacing w:after="0" w:before="0" w:line="252" w:lineRule="auto"/>
            </w:pPr>
            <w:r>
              <w:rPr>
                <w:b w:val="0"/>
                <w:i w:val="0"/>
                <w:sz w:val="20"/>
              </w:rPr>
              <w:t>December2025</w:t>
            </w:r>
          </w:p>
        </w:tc>
        <w:tc>
          <w:tcPr>
            <w:tcW w:type="dxa" w:w="4093"/>
            <w:vAlign w:val="center"/>
            <w:tcMar>
              <w:top w:w="80" w:type="dxa"/>
              <w:bottom w:w="80" w:type="dxa"/>
              <w:left w:w="100" w:type="dxa"/>
              <w:right w:w="100" w:type="dxa"/>
            </w:tcMar>
            <w:shd w:fill="F4F7F8"/>
          </w:tcPr>
          <w:p>
            <w:pPr>
              <w:keepNext w:val="0"/>
              <w:spacing w:after="0" w:before="0" w:line="252" w:lineRule="auto"/>
            </w:pPr>
            <w:r>
              <w:rPr>
                <w:b w:val="0"/>
                <w:i w:val="0"/>
                <w:sz w:val="20"/>
              </w:rPr>
              <w:t>−0.77 / −0.30</w:t>
            </w:r>
          </w:p>
        </w:tc>
      </w:tr>
      <w:tr>
        <w:trPr>
          <w:cantSplit/>
        </w:trPr>
        <w:tc>
          <w:tcPr>
            <w:tcW w:type="dxa" w:w="1949"/>
            <w:vAlign w:val="center"/>
            <w:tcMar>
              <w:top w:w="80" w:type="dxa"/>
              <w:bottom w:w="80" w:type="dxa"/>
              <w:left w:w="100" w:type="dxa"/>
              <w:right w:w="100" w:type="dxa"/>
            </w:tcMar>
            <w:shd w:fill="FFFFFF"/>
          </w:tcPr>
          <w:p>
            <w:pPr>
              <w:keepNext w:val="0"/>
              <w:spacing w:after="0" w:before="0" w:line="252" w:lineRule="auto"/>
            </w:pPr>
            <w:r>
              <w:rPr>
                <w:b w:val="0"/>
                <w:i w:val="0"/>
                <w:sz w:val="20"/>
              </w:rPr>
              <w:t>30 July / 6 August 2026 · reported broker mids</w:t>
            </w:r>
          </w:p>
        </w:tc>
        <w:tc>
          <w:tcPr>
            <w:tcW w:type="dxa" w:w="3703"/>
            <w:vAlign w:val="center"/>
            <w:tcMar>
              <w:top w:w="80" w:type="dxa"/>
              <w:bottom w:w="80" w:type="dxa"/>
              <w:left w:w="100" w:type="dxa"/>
              <w:right w:w="100" w:type="dxa"/>
            </w:tcMar>
            <w:shd w:fill="FFFFFF"/>
          </w:tcPr>
          <w:p>
            <w:pPr>
              <w:keepNext w:val="0"/>
              <w:spacing w:after="0" w:before="0" w:line="252" w:lineRule="auto"/>
            </w:pPr>
            <w:r>
              <w:rPr>
                <w:b w:val="0"/>
                <w:i w:val="0"/>
                <w:sz w:val="20"/>
              </w:rPr>
              <w:t>September2026</w:t>
            </w:r>
          </w:p>
        </w:tc>
        <w:tc>
          <w:tcPr>
            <w:tcW w:type="dxa" w:w="4093"/>
            <w:vAlign w:val="center"/>
            <w:tcMar>
              <w:top w:w="80" w:type="dxa"/>
              <w:bottom w:w="80" w:type="dxa"/>
              <w:left w:w="100" w:type="dxa"/>
              <w:right w:w="100" w:type="dxa"/>
            </w:tcMar>
            <w:shd w:fill="FFFFFF"/>
          </w:tcPr>
          <w:p>
            <w:pPr>
              <w:keepNext w:val="0"/>
              <w:spacing w:after="0" w:before="0" w:line="252" w:lineRule="auto"/>
            </w:pPr>
            <w:r>
              <w:rPr>
                <w:b w:val="0"/>
                <w:i w:val="0"/>
                <w:sz w:val="20"/>
              </w:rPr>
              <w:t>+0.24 / approximately+0.23</w:t>
            </w:r>
          </w:p>
        </w:tc>
      </w:tr>
    </w:tbl>
    <w:p>
      <w:pPr>
        <w:spacing w:after="60" w:before="0" w:line="40" w:lineRule="exact"/>
      </w:pPr>
      <w:r>
        <w:rPr>
          <w:sz w:val="4"/>
        </w:rPr>
      </w:r>
    </w:p>
    <w:p>
      <w:pPr>
        <w:spacing w:after="100"/>
      </w:pPr>
      <w:r>
        <w:rPr>
          <w:b w:val="0"/>
          <w:i w:val="0"/>
          <w:sz w:val="18"/>
        </w:rPr>
        <w:t>Gold: dealer/platform commentary. Silver: attributed Robert Gottlieb observations; some dates/contracts inferred as flagged in the CSV. Exact timestamps, size and over-the-counter value dates are generally absent. These are not the requested matched forward EFPs; do not join them into a continuous line or infer annual profit.</w:t>
      </w:r>
    </w:p>
    <w:p>
      <w:pPr>
        <w:pStyle w:val="Heading3"/>
        <w:pageBreakBefore w:val="0"/>
      </w:pPr>
      <w:r>
        <w:t>Evidence and assumptions</w:t>
      </w:r>
    </w:p>
    <w:p>
      <w:hyperlink r:id="rId169">
        <w:r>
          <w:rPr>
            <w:color w:val="235779"/>
            <w:u w:val="single"/>
          </w:rPr>
          <w:t>Gold observations and original publisher links</w:t>
        </w:r>
      </w:hyperlink>
    </w:p>
    <w:p>
      <w:hyperlink r:id="rId170">
        <w:r>
          <w:rPr>
            <w:color w:val="235779"/>
            <w:u w:val="single"/>
          </w:rPr>
          <w:t>Gold CSV</w:t>
        </w:r>
      </w:hyperlink>
    </w:p>
    <w:p>
      <w:hyperlink r:id="rId171">
        <w:r>
          <w:rPr>
            <w:color w:val="235779"/>
            <w:u w:val="single"/>
          </w:rPr>
          <w:t>Silver observations and original post links</w:t>
        </w:r>
      </w:hyperlink>
    </w:p>
    <w:p>
      <w:hyperlink r:id="rId172">
        <w:r>
          <w:rPr>
            <w:color w:val="235779"/>
            <w:u w:val="single"/>
          </w:rPr>
          <w:t>Silver CSV</w:t>
        </w:r>
      </w:hyperlink>
    </w:p>
    <w:p>
      <w:hyperlink r:id="rId173">
        <w:r>
          <w:rPr>
            <w:color w:val="235779"/>
            <w:u w:val="single"/>
          </w:rPr>
          <w:t>Full history inventory</w:t>
        </w:r>
      </w:hyperlink>
    </w:p>
    <w:p>
      <w:bookmarkStart w:id="54" w:name="research_31"/>
      <w:pPr>
        <w:pStyle w:val="Heading1"/>
        <w:pageBreakBefore/>
      </w:pPr>
      <w:r>
        <w:t>31  The missing leg is an exact-date over-the-counter forward history</w:t>
      </w:r>
      <w:bookmarkEnd w:id="54"/>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16"/>
        <w:gridCol w:w="6530"/>
      </w:tblGrid>
      <w:tr>
        <w:trPr>
          <w:tblHeader/>
          <w:cantSplit/>
        </w:trPr>
        <w:tc>
          <w:tcPr>
            <w:tcW w:type="dxa" w:w="3216"/>
            <w:vAlign w:val="center"/>
            <w:tcMar>
              <w:top w:w="80" w:type="dxa"/>
              <w:bottom w:w="80" w:type="dxa"/>
              <w:left w:w="100" w:type="dxa"/>
              <w:right w:w="100" w:type="dxa"/>
            </w:tcMar>
            <w:shd w:fill="DCE6EB"/>
          </w:tcPr>
          <w:p>
            <w:pPr>
              <w:keepNext/>
              <w:spacing w:after="0" w:before="0" w:line="252" w:lineRule="auto"/>
            </w:pPr>
            <w:r>
              <w:rPr>
                <w:b/>
                <w:i w:val="0"/>
                <w:sz w:val="20"/>
              </w:rPr>
              <w:t>Evidence recovered</w:t>
            </w:r>
          </w:p>
        </w:tc>
        <w:tc>
          <w:tcPr>
            <w:tcW w:type="dxa" w:w="6530"/>
            <w:vAlign w:val="center"/>
            <w:tcMar>
              <w:top w:w="80" w:type="dxa"/>
              <w:bottom w:w="80" w:type="dxa"/>
              <w:left w:w="100" w:type="dxa"/>
              <w:right w:w="100" w:type="dxa"/>
            </w:tcMar>
            <w:shd w:fill="DCE6EB"/>
          </w:tcPr>
          <w:p>
            <w:pPr>
              <w:keepNext/>
              <w:spacing w:after="0" w:before="0" w:line="252" w:lineRule="auto"/>
            </w:pPr>
            <w:r>
              <w:rPr>
                <w:b/>
                <w:i w:val="0"/>
                <w:sz w:val="20"/>
              </w:rPr>
              <w:t>Status for forward EFP</w:t>
            </w:r>
          </w:p>
        </w:tc>
      </w:tr>
      <w:tr>
        <w:trPr>
          <w:cantSplit/>
        </w:trPr>
        <w:tc>
          <w:tcPr>
            <w:tcW w:type="dxa" w:w="3216"/>
            <w:vAlign w:val="center"/>
            <w:tcMar>
              <w:top w:w="80" w:type="dxa"/>
              <w:bottom w:w="80" w:type="dxa"/>
              <w:left w:w="100" w:type="dxa"/>
              <w:right w:w="100" w:type="dxa"/>
            </w:tcMar>
            <w:shd w:fill="FFFFFF"/>
          </w:tcPr>
          <w:p>
            <w:pPr>
              <w:keepNext w:val="0"/>
              <w:spacing w:after="0" w:before="0" w:line="252" w:lineRule="auto"/>
            </w:pPr>
            <w:r>
              <w:rPr>
                <w:b w:val="0"/>
                <w:i w:val="0"/>
                <w:sz w:val="20"/>
              </w:rPr>
              <w:t>Gold:8 reported/sample records;15 older price pairs</w:t>
            </w:r>
          </w:p>
        </w:tc>
        <w:tc>
          <w:tcPr>
            <w:tcW w:type="dxa" w:w="6530"/>
            <w:vAlign w:val="center"/>
            <w:tcMar>
              <w:top w:w="80" w:type="dxa"/>
              <w:bottom w:w="80" w:type="dxa"/>
              <w:left w:w="100" w:type="dxa"/>
              <w:right w:w="100" w:type="dxa"/>
            </w:tcMar>
            <w:shd w:fill="FFFFFF"/>
          </w:tcPr>
          <w:p>
            <w:pPr>
              <w:keepNext w:val="0"/>
              <w:spacing w:after="0" w:before="0" w:line="252" w:lineRule="auto"/>
            </w:pPr>
            <w:r>
              <w:rPr>
                <w:b w:val="0"/>
                <w:i w:val="0"/>
                <w:sz w:val="20"/>
              </w:rPr>
              <w:t>Spot-referenced observations and daily-average proxies. One provider sample has unconfirmed units.</w:t>
            </w:r>
          </w:p>
        </w:tc>
      </w:tr>
      <w:tr>
        <w:trPr>
          <w:cantSplit/>
        </w:trPr>
        <w:tc>
          <w:tcPr>
            <w:tcW w:type="dxa" w:w="3216"/>
            <w:vAlign w:val="center"/>
            <w:tcMar>
              <w:top w:w="80" w:type="dxa"/>
              <w:bottom w:w="80" w:type="dxa"/>
              <w:left w:w="100" w:type="dxa"/>
              <w:right w:w="100" w:type="dxa"/>
            </w:tcMar>
            <w:shd w:fill="F4F7F8"/>
          </w:tcPr>
          <w:p>
            <w:pPr>
              <w:keepNext w:val="0"/>
              <w:spacing w:after="0" w:before="0" w:line="252" w:lineRule="auto"/>
            </w:pPr>
            <w:r>
              <w:rPr>
                <w:b w:val="0"/>
                <w:i w:val="0"/>
                <w:sz w:val="20"/>
              </w:rPr>
              <w:t>Silver:11 dated observations across10dates;4 context highs</w:t>
            </w:r>
          </w:p>
        </w:tc>
        <w:tc>
          <w:tcPr>
            <w:tcW w:type="dxa" w:w="6530"/>
            <w:vAlign w:val="center"/>
            <w:tcMar>
              <w:top w:w="80" w:type="dxa"/>
              <w:bottom w:w="80" w:type="dxa"/>
              <w:left w:w="100" w:type="dxa"/>
              <w:right w:w="100" w:type="dxa"/>
            </w:tcMar>
            <w:shd w:fill="F4F7F8"/>
          </w:tcPr>
          <w:p>
            <w:pPr>
              <w:keepNext w:val="0"/>
              <w:spacing w:after="0" w:before="0" w:line="252" w:lineRule="auto"/>
            </w:pPr>
            <w:r>
              <w:rPr>
                <w:b w:val="0"/>
                <w:i w:val="0"/>
                <w:sz w:val="20"/>
              </w:rPr>
              <w:t>Nine practitioner/broker reports and two platform-implied observations; sparse history.</w:t>
            </w:r>
          </w:p>
        </w:tc>
      </w:tr>
      <w:tr>
        <w:trPr>
          <w:cantSplit/>
        </w:trPr>
        <w:tc>
          <w:tcPr>
            <w:tcW w:type="dxa" w:w="3216"/>
            <w:vAlign w:val="center"/>
            <w:tcMar>
              <w:top w:w="80" w:type="dxa"/>
              <w:bottom w:w="80" w:type="dxa"/>
              <w:left w:w="100" w:type="dxa"/>
              <w:right w:w="100" w:type="dxa"/>
            </w:tcMar>
            <w:shd w:fill="FFFFFF"/>
          </w:tcPr>
          <w:p>
            <w:pPr>
              <w:keepNext w:val="0"/>
              <w:spacing w:after="0" w:before="0" w:line="252" w:lineRule="auto"/>
            </w:pPr>
            <w:r>
              <w:rPr>
                <w:b w:val="0"/>
                <w:i w:val="0"/>
                <w:sz w:val="20"/>
              </w:rPr>
              <w:t>Silver:9 over-the-counter-rate observations;2 carry-adjusted estimates</w:t>
            </w:r>
          </w:p>
        </w:tc>
        <w:tc>
          <w:tcPr>
            <w:tcW w:type="dxa" w:w="6530"/>
            <w:vAlign w:val="center"/>
            <w:tcMar>
              <w:top w:w="80" w:type="dxa"/>
              <w:bottom w:w="80" w:type="dxa"/>
              <w:left w:w="100" w:type="dxa"/>
              <w:right w:w="100" w:type="dxa"/>
            </w:tcMar>
            <w:shd w:fill="FFFFFF"/>
          </w:tcPr>
          <w:p>
            <w:pPr>
              <w:keepNext w:val="0"/>
              <w:spacing w:after="0" w:before="0" w:line="252" w:lineRule="auto"/>
            </w:pPr>
            <w:r>
              <w:rPr>
                <w:b w:val="0"/>
                <w:i w:val="0"/>
                <w:sz w:val="20"/>
              </w:rPr>
              <w:t>Generic tenors and author estimates do not certify exact first-delivery-day pricing.</w:t>
            </w:r>
          </w:p>
        </w:tc>
      </w:tr>
      <w:tr>
        <w:trPr>
          <w:cantSplit/>
        </w:trPr>
        <w:tc>
          <w:tcPr>
            <w:tcW w:type="dxa" w:w="3216"/>
            <w:vAlign w:val="center"/>
            <w:tcMar>
              <w:top w:w="80" w:type="dxa"/>
              <w:bottom w:w="80" w:type="dxa"/>
              <w:left w:w="100" w:type="dxa"/>
              <w:right w:w="100" w:type="dxa"/>
            </w:tcMar>
            <w:shd w:fill="F4F7F8"/>
          </w:tcPr>
          <w:p>
            <w:pPr>
              <w:keepNext w:val="0"/>
              <w:spacing w:after="0" w:before="0" w:line="252" w:lineRule="auto"/>
            </w:pPr>
            <w:r>
              <w:rPr>
                <w:b w:val="0"/>
                <w:i w:val="0"/>
                <w:sz w:val="20"/>
              </w:rPr>
              <w:t>Published model curve:7 gold +7 silver tenors</w:t>
            </w:r>
          </w:p>
        </w:tc>
        <w:tc>
          <w:tcPr>
            <w:tcW w:type="dxa" w:w="6530"/>
            <w:vAlign w:val="center"/>
            <w:tcMar>
              <w:top w:w="80" w:type="dxa"/>
              <w:bottom w:w="80" w:type="dxa"/>
              <w:left w:w="100" w:type="dxa"/>
              <w:right w:w="100" w:type="dxa"/>
            </w:tcMar>
            <w:shd w:fill="F4F7F8"/>
          </w:tcPr>
          <w:p>
            <w:pPr>
              <w:keepNext w:val="0"/>
              <w:spacing w:after="0" w:before="0" w:line="252" w:lineRule="auto"/>
            </w:pPr>
            <w:r>
              <w:rPr>
                <w:b w:val="0"/>
                <w:i w:val="0"/>
                <w:sz w:val="20"/>
              </w:rPr>
              <w:t>Limpid model estimates; independence and full conventions unverified.</w:t>
            </w:r>
          </w:p>
        </w:tc>
      </w:tr>
      <w:tr>
        <w:trPr>
          <w:cantSplit/>
        </w:trPr>
        <w:tc>
          <w:tcPr>
            <w:tcW w:type="dxa" w:w="3216"/>
            <w:vAlign w:val="center"/>
            <w:tcMar>
              <w:top w:w="80" w:type="dxa"/>
              <w:bottom w:w="80" w:type="dxa"/>
              <w:left w:w="100" w:type="dxa"/>
              <w:right w:w="100" w:type="dxa"/>
            </w:tcMar>
            <w:shd w:fill="FFFFFF"/>
          </w:tcPr>
          <w:p>
            <w:pPr>
              <w:keepNext w:val="0"/>
              <w:spacing w:after="0" w:before="0" w:line="252" w:lineRule="auto"/>
            </w:pPr>
            <w:r>
              <w:rPr>
                <w:b w:val="0"/>
                <w:i w:val="0"/>
                <w:sz w:val="20"/>
              </w:rPr>
              <w:t>Exact matched first-delivery-day forward EFP history</w:t>
            </w:r>
          </w:p>
        </w:tc>
        <w:tc>
          <w:tcPr>
            <w:tcW w:type="dxa" w:w="6530"/>
            <w:vAlign w:val="center"/>
            <w:tcMar>
              <w:top w:w="80" w:type="dxa"/>
              <w:bottom w:w="80" w:type="dxa"/>
              <w:left w:w="100" w:type="dxa"/>
              <w:right w:w="100" w:type="dxa"/>
            </w:tcMar>
            <w:shd w:fill="FFFFFF"/>
          </w:tcPr>
          <w:p>
            <w:pPr>
              <w:keepNext w:val="0"/>
              <w:spacing w:after="0" w:before="0" w:line="252" w:lineRule="auto"/>
            </w:pPr>
            <w:r>
              <w:rPr>
                <w:b w:val="0"/>
                <w:i w:val="0"/>
                <w:sz w:val="20"/>
              </w:rPr>
              <w:t>No verified rows obtained. Request a direct matched assessment or independent over-the-counter curve with precise value dates.</w:t>
            </w:r>
          </w:p>
        </w:tc>
      </w:tr>
    </w:tbl>
    <w:p>
      <w:pPr>
        <w:spacing w:after="60" w:before="0" w:line="40" w:lineRule="exact"/>
      </w:pPr>
      <w:r>
        <w:rPr>
          <w:sz w:val="4"/>
        </w:rPr>
      </w:r>
    </w:p>
    <w:p>
      <w:pPr>
        <w:spacing w:after="100"/>
      </w:pPr>
      <w:r>
        <w:rPr>
          <w:b w:val="0"/>
          <w:i w:val="0"/>
          <w:sz w:val="18"/>
        </w:rPr>
        <w:t>Tradition and Parameta advertise relevant historical broker data; instrument coverage and conventions still need confirmation. CME GSP/SSP and GB were delisted in March2025; surviving product FAQs are historical. Monetary Metals’ futures-derived forward rates cannot independently identify this basis.</w:t>
      </w:r>
    </w:p>
    <w:p>
      <w:r>
        <w:rPr>
          <w:b w:val="0"/>
          <w:i w:val="0"/>
        </w:rPr>
        <w:t>Keep the 50¢ physical example as a sensitivity until the desk supplies an executable, fully costed location quote.</w:t>
      </w:r>
    </w:p>
    <w:p>
      <w:pPr>
        <w:pStyle w:val="Heading3"/>
        <w:pageBreakBefore w:val="0"/>
      </w:pPr>
      <w:r>
        <w:t>Evidence and assumptions</w:t>
      </w:r>
    </w:p>
    <w:p>
      <w:hyperlink r:id="rId173">
        <w:r>
          <w:rPr>
            <w:color w:val="235779"/>
            <w:u w:val="single"/>
          </w:rPr>
          <w:t>Data inventory, provider route and gaps</w:t>
        </w:r>
      </w:hyperlink>
    </w:p>
    <w:p>
      <w:hyperlink r:id="rId174">
        <w:r>
          <w:rPr>
            <w:color w:val="235779"/>
            <w:u w:val="single"/>
          </w:rPr>
          <w:t>Import/request schema</w:t>
        </w:r>
      </w:hyperlink>
    </w:p>
    <w:p>
      <w:hyperlink r:id="rId175">
        <w:r>
          <w:rPr>
            <w:color w:val="235779"/>
            <w:u w:val="single"/>
          </w:rPr>
          <w:t>CME delisting SER9515</w:t>
        </w:r>
      </w:hyperlink>
    </w:p>
    <w:p>
      <w:hyperlink r:id="rId176">
        <w:r>
          <w:rPr>
            <w:color w:val="235779"/>
            <w:u w:val="single"/>
          </w:rPr>
          <w:t>CME clearing implementation notice</w:t>
        </w:r>
      </w:hyperlink>
    </w:p>
    <w:p>
      <w:bookmarkStart w:id="55" w:name="research_32"/>
      <w:pPr>
        <w:pStyle w:val="Heading1"/>
        <w:pageBreakBefore/>
      </w:pPr>
      <w:r>
        <w:t>32  Future innovation: investor distributions</w:t>
      </w:r>
      <w:bookmarkEnd w:id="55"/>
    </w:p>
    <w:p>
      <w:r>
        <w:rPr>
          <w:b w:val="0"/>
          <w:i w:val="0"/>
        </w:rPr>
        <w:t>A potential differentiator: reinvest part of BlackRock’s share in a permissible distribution funded by location-management revenue.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16"/>
        <w:gridCol w:w="6530"/>
      </w:tblGrid>
      <w:tr>
        <w:trPr>
          <w:tblHeader/>
          <w:cantSplit/>
        </w:trPr>
        <w:tc>
          <w:tcPr>
            <w:tcW w:type="dxa" w:w="3216"/>
            <w:vAlign w:val="center"/>
            <w:tcMar>
              <w:top w:w="80" w:type="dxa"/>
              <w:bottom w:w="80" w:type="dxa"/>
              <w:left w:w="100" w:type="dxa"/>
              <w:right w:w="100" w:type="dxa"/>
            </w:tcMar>
            <w:shd w:fill="DCE6EB"/>
          </w:tcPr>
          <w:p>
            <w:pPr>
              <w:keepNext/>
              <w:spacing w:after="0" w:before="0" w:line="252" w:lineRule="auto"/>
            </w:pPr>
            <w:r>
              <w:rPr>
                <w:b/>
                <w:i w:val="0"/>
                <w:sz w:val="20"/>
              </w:rPr>
              <w:t>Proposition</w:t>
            </w:r>
          </w:p>
        </w:tc>
        <w:tc>
          <w:tcPr>
            <w:tcW w:type="dxa" w:w="6530"/>
            <w:vAlign w:val="center"/>
            <w:tcMar>
              <w:top w:w="80" w:type="dxa"/>
              <w:bottom w:w="80" w:type="dxa"/>
              <w:left w:w="100" w:type="dxa"/>
              <w:right w:w="100" w:type="dxa"/>
            </w:tcMar>
            <w:shd w:fill="DCE6EB"/>
          </w:tcPr>
          <w:p>
            <w:pPr>
              <w:keepNext/>
              <w:spacing w:after="0" w:before="0" w:line="252" w:lineRule="auto"/>
            </w:pPr>
            <w:r>
              <w:rPr>
                <w:b/>
                <w:i w:val="0"/>
                <w:sz w:val="20"/>
              </w:rPr>
              <w:t>What must be established</w:t>
            </w:r>
          </w:p>
        </w:tc>
      </w:tr>
      <w:tr>
        <w:trPr>
          <w:cantSplit/>
        </w:trPr>
        <w:tc>
          <w:tcPr>
            <w:tcW w:type="dxa" w:w="3216"/>
            <w:vAlign w:val="center"/>
            <w:tcMar>
              <w:top w:w="80" w:type="dxa"/>
              <w:bottom w:w="80" w:type="dxa"/>
              <w:left w:w="100" w:type="dxa"/>
              <w:right w:w="100" w:type="dxa"/>
            </w:tcMar>
            <w:shd w:fill="FFFFFF"/>
          </w:tcPr>
          <w:p>
            <w:pPr>
              <w:keepNext w:val="0"/>
              <w:spacing w:after="0" w:before="0" w:line="252" w:lineRule="auto"/>
            </w:pPr>
            <w:r>
              <w:rPr>
                <w:b w:val="0"/>
                <w:i w:val="0"/>
                <w:sz w:val="20"/>
              </w:rPr>
              <w:t>Investor proposition</w:t>
            </w:r>
          </w:p>
        </w:tc>
        <w:tc>
          <w:tcPr>
            <w:tcW w:type="dxa" w:w="6530"/>
            <w:vAlign w:val="center"/>
            <w:tcMar>
              <w:top w:w="80" w:type="dxa"/>
              <w:bottom w:w="80" w:type="dxa"/>
              <w:left w:w="100" w:type="dxa"/>
              <w:right w:w="100" w:type="dxa"/>
            </w:tcMar>
            <w:shd w:fill="FFFFFF"/>
          </w:tcPr>
          <w:p>
            <w:pPr>
              <w:keepNext w:val="0"/>
              <w:spacing w:after="0" w:before="0" w:line="252" w:lineRule="auto"/>
            </w:pPr>
            <w:r>
              <w:rPr>
                <w:b w:val="0"/>
                <w:i w:val="0"/>
                <w:sz w:val="20"/>
              </w:rPr>
              <w:t>Evaluate a one-off distribution funded from an approved use of BlackRock’s share. No payment amount, recurring yield or transfer from sponsor to fund is assumed.</w:t>
            </w:r>
          </w:p>
        </w:tc>
      </w:tr>
      <w:tr>
        <w:trPr>
          <w:cantSplit/>
        </w:trPr>
        <w:tc>
          <w:tcPr>
            <w:tcW w:type="dxa" w:w="3216"/>
            <w:vAlign w:val="center"/>
            <w:tcMar>
              <w:top w:w="80" w:type="dxa"/>
              <w:bottom w:w="80" w:type="dxa"/>
              <w:left w:w="100" w:type="dxa"/>
              <w:right w:w="100" w:type="dxa"/>
            </w:tcMar>
            <w:shd w:fill="F4F7F8"/>
          </w:tcPr>
          <w:p>
            <w:pPr>
              <w:keepNext w:val="0"/>
              <w:spacing w:after="0" w:before="0" w:line="252" w:lineRule="auto"/>
            </w:pPr>
            <w:r>
              <w:rPr>
                <w:b w:val="0"/>
                <w:i w:val="0"/>
                <w:sz w:val="20"/>
              </w:rPr>
              <w:t>First-to-market ambition</w:t>
            </w:r>
          </w:p>
        </w:tc>
        <w:tc>
          <w:tcPr>
            <w:tcW w:type="dxa" w:w="6530"/>
            <w:vAlign w:val="center"/>
            <w:tcMar>
              <w:top w:w="80" w:type="dxa"/>
              <w:bottom w:w="80" w:type="dxa"/>
              <w:left w:w="100" w:type="dxa"/>
              <w:right w:w="100" w:type="dxa"/>
            </w:tcMar>
            <w:shd w:fill="F4F7F8"/>
          </w:tcPr>
          <w:p>
            <w:pPr>
              <w:keepNext w:val="0"/>
              <w:spacing w:after="0" w:before="0" w:line="252" w:lineRule="auto"/>
            </w:pPr>
            <w:r>
              <w:rPr>
                <w:b w:val="0"/>
                <w:i w:val="0"/>
                <w:sz w:val="20"/>
              </w:rPr>
              <w:t>Do not assert “first precious metals ETF to pay a dividend”: gold income ETFs already distribute. Test the narrower physical-bullion/location-revenue proposition separately.</w:t>
            </w:r>
          </w:p>
        </w:tc>
      </w:tr>
      <w:tr>
        <w:trPr>
          <w:cantSplit/>
        </w:trPr>
        <w:tc>
          <w:tcPr>
            <w:tcW w:type="dxa" w:w="3216"/>
            <w:vAlign w:val="center"/>
            <w:tcMar>
              <w:top w:w="80" w:type="dxa"/>
              <w:bottom w:w="80" w:type="dxa"/>
              <w:left w:w="100" w:type="dxa"/>
              <w:right w:w="100" w:type="dxa"/>
            </w:tcMar>
            <w:shd w:fill="FFFFFF"/>
          </w:tcPr>
          <w:p>
            <w:pPr>
              <w:keepNext w:val="0"/>
              <w:spacing w:after="0" w:before="0" w:line="252" w:lineRule="auto"/>
            </w:pPr>
            <w:r>
              <w:rPr>
                <w:b w:val="0"/>
                <w:i w:val="0"/>
                <w:sz w:val="20"/>
              </w:rPr>
              <w:t>Existing precedent</w:t>
            </w:r>
          </w:p>
        </w:tc>
        <w:tc>
          <w:tcPr>
            <w:tcW w:type="dxa" w:w="6530"/>
            <w:vAlign w:val="center"/>
            <w:tcMar>
              <w:top w:w="80" w:type="dxa"/>
              <w:bottom w:w="80" w:type="dxa"/>
              <w:left w:w="100" w:type="dxa"/>
              <w:right w:w="100" w:type="dxa"/>
            </w:tcMar>
            <w:shd w:fill="FFFFFF"/>
          </w:tcPr>
          <w:p>
            <w:pPr>
              <w:keepNext w:val="0"/>
              <w:spacing w:after="0" w:before="0" w:line="252" w:lineRule="auto"/>
            </w:pPr>
            <w:r>
              <w:rPr>
                <w:b w:val="0"/>
                <w:i w:val="0"/>
                <w:sz w:val="20"/>
              </w:rPr>
              <w:t>First Trust IGLD’s official history records ordinary distributions from April 2021. It is a gold-linked income strategy, distinct from this proposed bullion-location mechanism.</w:t>
            </w:r>
          </w:p>
        </w:tc>
      </w:tr>
    </w:tbl>
    <w:p>
      <w:pPr>
        <w:spacing w:after="60" w:before="0" w:line="40" w:lineRule="exact"/>
      </w:pPr>
      <w:r>
        <w:rPr>
          <w:sz w:val="4"/>
        </w:rPr>
      </w:r>
    </w:p>
    <w:p>
      <w:pPr>
        <w:spacing w:after="100"/>
      </w:pPr>
      <w:r>
        <w:rPr>
          <w:b w:val="0"/>
          <w:i w:val="0"/>
          <w:sz w:val="18"/>
        </w:rPr>
        <w:t>A sponsor’s commercial receipt is not automatically fund income. Structure, tax treatment, fair consideration, fund powers and creation restrictions require review.</w:t>
      </w:r>
    </w:p>
    <w:p>
      <w:r>
        <w:rPr>
          <w:b w:val="0"/>
          <w:i w:val="0"/>
        </w:rPr>
        <w:t>Explore whether permissible realised value could support a one-off investor distribution, after proving the core location service.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16"/>
        <w:gridCol w:w="6530"/>
      </w:tblGrid>
      <w:tr>
        <w:trPr>
          <w:tblHeader/>
          <w:cantSplit/>
        </w:trPr>
        <w:tc>
          <w:tcPr>
            <w:tcW w:type="dxa" w:w="3216"/>
            <w:vAlign w:val="center"/>
            <w:tcMar>
              <w:top w:w="80" w:type="dxa"/>
              <w:bottom w:w="80" w:type="dxa"/>
              <w:left w:w="100" w:type="dxa"/>
              <w:right w:w="100" w:type="dxa"/>
            </w:tcMar>
            <w:shd w:fill="DCE6EB"/>
          </w:tcPr>
          <w:p>
            <w:pPr>
              <w:keepNext/>
              <w:spacing w:after="0" w:before="0" w:line="252" w:lineRule="auto"/>
            </w:pPr>
            <w:r>
              <w:rPr>
                <w:b/>
                <w:i w:val="0"/>
                <w:sz w:val="20"/>
              </w:rPr>
              <w:t>Design question</w:t>
            </w:r>
          </w:p>
        </w:tc>
        <w:tc>
          <w:tcPr>
            <w:tcW w:type="dxa" w:w="6530"/>
            <w:vAlign w:val="center"/>
            <w:tcMar>
              <w:top w:w="80" w:type="dxa"/>
              <w:bottom w:w="80" w:type="dxa"/>
              <w:left w:w="100" w:type="dxa"/>
              <w:right w:w="100" w:type="dxa"/>
            </w:tcMar>
            <w:shd w:fill="DCE6EB"/>
          </w:tcPr>
          <w:p>
            <w:pPr>
              <w:keepNext/>
              <w:spacing w:after="0" w:before="0" w:line="252" w:lineRule="auto"/>
            </w:pPr>
            <w:r>
              <w:rPr>
                <w:b/>
                <w:i w:val="0"/>
                <w:sz w:val="20"/>
              </w:rPr>
              <w:t>Constraint or evidence needed</w:t>
            </w:r>
          </w:p>
        </w:tc>
      </w:tr>
      <w:tr>
        <w:trPr>
          <w:cantSplit/>
        </w:trPr>
        <w:tc>
          <w:tcPr>
            <w:tcW w:type="dxa" w:w="3216"/>
            <w:vAlign w:val="center"/>
            <w:tcMar>
              <w:top w:w="80" w:type="dxa"/>
              <w:bottom w:w="80" w:type="dxa"/>
              <w:left w:w="100" w:type="dxa"/>
              <w:right w:w="100" w:type="dxa"/>
            </w:tcMar>
            <w:shd w:fill="FFFFFF"/>
          </w:tcPr>
          <w:p>
            <w:pPr>
              <w:keepNext w:val="0"/>
              <w:spacing w:after="0" w:before="0" w:line="252" w:lineRule="auto"/>
            </w:pPr>
            <w:r>
              <w:rPr>
                <w:b w:val="0"/>
                <w:i w:val="0"/>
                <w:sz w:val="20"/>
              </w:rPr>
              <w:t>Is the receipt permitted?</w:t>
            </w:r>
          </w:p>
        </w:tc>
        <w:tc>
          <w:tcPr>
            <w:tcW w:type="dxa" w:w="6530"/>
            <w:vAlign w:val="center"/>
            <w:tcMar>
              <w:top w:w="80" w:type="dxa"/>
              <w:bottom w:w="80" w:type="dxa"/>
              <w:left w:w="100" w:type="dxa"/>
              <w:right w:w="100" w:type="dxa"/>
            </w:tcMar>
            <w:shd w:fill="FFFFFF"/>
          </w:tcPr>
          <w:p>
            <w:pPr>
              <w:keepNext w:val="0"/>
              <w:spacing w:after="0" w:before="0" w:line="252" w:lineRule="auto"/>
            </w:pPr>
            <w:r>
              <w:rPr>
                <w:b w:val="0"/>
                <w:i w:val="0"/>
                <w:sz w:val="20"/>
              </w:rPr>
              <w:t>Identify the legal recipient and genuine consideration. The substitution clause does not itself authorise a cash-generating programme.</w:t>
            </w:r>
          </w:p>
        </w:tc>
      </w:tr>
      <w:tr>
        <w:trPr>
          <w:cantSplit/>
        </w:trPr>
        <w:tc>
          <w:tcPr>
            <w:tcW w:type="dxa" w:w="3216"/>
            <w:vAlign w:val="center"/>
            <w:tcMar>
              <w:top w:w="80" w:type="dxa"/>
              <w:bottom w:w="80" w:type="dxa"/>
              <w:left w:w="100" w:type="dxa"/>
              <w:right w:w="100" w:type="dxa"/>
            </w:tcMar>
            <w:shd w:fill="F4F7F8"/>
          </w:tcPr>
          <w:p>
            <w:pPr>
              <w:keepNext w:val="0"/>
              <w:spacing w:after="0" w:before="0" w:line="252" w:lineRule="auto"/>
            </w:pPr>
            <w:r>
              <w:rPr>
                <w:b w:val="0"/>
                <w:i w:val="0"/>
                <w:sz w:val="20"/>
              </w:rPr>
              <w:t>Can cash be distributed without disrupting the product?</w:t>
            </w:r>
          </w:p>
        </w:tc>
        <w:tc>
          <w:tcPr>
            <w:tcW w:type="dxa" w:w="6530"/>
            <w:vAlign w:val="center"/>
            <w:tcMar>
              <w:top w:w="80" w:type="dxa"/>
              <w:bottom w:w="80" w:type="dxa"/>
              <w:left w:w="100" w:type="dxa"/>
              <w:right w:w="100" w:type="dxa"/>
            </w:tcMar>
            <w:shd w:fill="F4F7F8"/>
          </w:tcPr>
          <w:p>
            <w:pPr>
              <w:keepNext w:val="0"/>
              <w:spacing w:after="0" w:before="0" w:line="252" w:lineRule="auto"/>
            </w:pPr>
            <w:r>
              <w:rPr>
                <w:b w:val="0"/>
                <w:i w:val="0"/>
                <w:sz w:val="20"/>
              </w:rPr>
              <w:t>SLV Trust §2.3(c) can restrict new creations after cash/non-silver property is received until a distribution record date passes. Distribution provisions do not create authority to earn the cash.</w:t>
            </w:r>
          </w:p>
        </w:tc>
      </w:tr>
      <w:tr>
        <w:trPr>
          <w:cantSplit/>
        </w:trPr>
        <w:tc>
          <w:tcPr>
            <w:tcW w:type="dxa" w:w="3216"/>
            <w:vAlign w:val="center"/>
            <w:tcMar>
              <w:top w:w="80" w:type="dxa"/>
              <w:bottom w:w="80" w:type="dxa"/>
              <w:left w:w="100" w:type="dxa"/>
              <w:right w:w="100" w:type="dxa"/>
            </w:tcMar>
            <w:shd w:fill="FFFFFF"/>
          </w:tcPr>
          <w:p>
            <w:pPr>
              <w:keepNext w:val="0"/>
              <w:spacing w:after="0" w:before="0" w:line="252" w:lineRule="auto"/>
            </w:pPr>
            <w:r>
              <w:rPr>
                <w:b w:val="0"/>
                <w:i w:val="0"/>
                <w:sz w:val="20"/>
              </w:rPr>
              <w:t>What is the investor’s total outcome?</w:t>
            </w:r>
          </w:p>
        </w:tc>
        <w:tc>
          <w:tcPr>
            <w:tcW w:type="dxa" w:w="6530"/>
            <w:vAlign w:val="center"/>
            <w:tcMar>
              <w:top w:w="80" w:type="dxa"/>
              <w:bottom w:w="80" w:type="dxa"/>
              <w:left w:w="100" w:type="dxa"/>
              <w:right w:w="100" w:type="dxa"/>
            </w:tcMar>
            <w:shd w:fill="FFFFFF"/>
          </w:tcPr>
          <w:p>
            <w:pPr>
              <w:keepNext w:val="0"/>
              <w:spacing w:after="0" w:before="0" w:line="252" w:lineRule="auto"/>
            </w:pPr>
            <w:r>
              <w:rPr>
                <w:b w:val="0"/>
                <w:i w:val="0"/>
                <w:sz w:val="20"/>
              </w:rPr>
              <w:t>Recognising location value is not automatically new alpha. Include the value of surrendered metal, all costs and tax, and any effect on NAV and metal entitlement.</w:t>
            </w:r>
          </w:p>
        </w:tc>
      </w:tr>
      <w:tr>
        <w:trPr>
          <w:cantSplit/>
        </w:trPr>
        <w:tc>
          <w:tcPr>
            <w:tcW w:type="dxa" w:w="3216"/>
            <w:vAlign w:val="center"/>
            <w:tcMar>
              <w:top w:w="80" w:type="dxa"/>
              <w:bottom w:w="80" w:type="dxa"/>
              <w:left w:w="100" w:type="dxa"/>
              <w:right w:w="100" w:type="dxa"/>
            </w:tcMar>
            <w:shd w:fill="F4F7F8"/>
          </w:tcPr>
          <w:p>
            <w:pPr>
              <w:keepNext w:val="0"/>
              <w:spacing w:after="0" w:before="0" w:line="252" w:lineRule="auto"/>
            </w:pPr>
            <w:r>
              <w:rPr>
                <w:b w:val="0"/>
                <w:i w:val="0"/>
                <w:sz w:val="20"/>
              </w:rPr>
              <w:t>What could be paid per share?</w:t>
            </w:r>
          </w:p>
        </w:tc>
        <w:tc>
          <w:tcPr>
            <w:tcW w:type="dxa" w:w="6530"/>
            <w:vAlign w:val="center"/>
            <w:tcMar>
              <w:top w:w="80" w:type="dxa"/>
              <w:bottom w:w="80" w:type="dxa"/>
              <w:left w:w="100" w:type="dxa"/>
              <w:right w:w="100" w:type="dxa"/>
            </w:tcMar>
            <w:shd w:fill="F4F7F8"/>
          </w:tcPr>
          <w:p>
            <w:pPr>
              <w:keepNext w:val="0"/>
              <w:spacing w:after="0" w:before="0" w:line="252" w:lineRule="auto"/>
            </w:pPr>
            <w:r>
              <w:rPr>
                <w:b w:val="0"/>
                <w:i w:val="0"/>
                <w:sz w:val="20"/>
              </w:rPr>
              <w:t>Permitted distributable cash divided by eligible shares at the record date. No amount is forecast or declared; the example client allocation is not a dividend commitment.</w:t>
            </w:r>
          </w:p>
        </w:tc>
      </w:tr>
      <w:tr>
        <w:trPr>
          <w:cantSplit/>
        </w:trPr>
        <w:tc>
          <w:tcPr>
            <w:tcW w:type="dxa" w:w="3216"/>
            <w:vAlign w:val="center"/>
            <w:tcMar>
              <w:top w:w="80" w:type="dxa"/>
              <w:bottom w:w="80" w:type="dxa"/>
              <w:left w:w="100" w:type="dxa"/>
              <w:right w:w="100" w:type="dxa"/>
            </w:tcMar>
            <w:shd w:fill="FFFFFF"/>
          </w:tcPr>
          <w:p>
            <w:pPr>
              <w:keepNext w:val="0"/>
              <w:spacing w:after="0" w:before="0" w:line="252" w:lineRule="auto"/>
            </w:pPr>
            <w:r>
              <w:rPr>
                <w:b w:val="0"/>
                <w:i w:val="0"/>
                <w:sz w:val="20"/>
              </w:rPr>
              <w:t>How would this be positioned?</w:t>
            </w:r>
          </w:p>
        </w:tc>
        <w:tc>
          <w:tcPr>
            <w:tcW w:type="dxa" w:w="6530"/>
            <w:vAlign w:val="center"/>
            <w:tcMar>
              <w:top w:w="80" w:type="dxa"/>
              <w:bottom w:w="80" w:type="dxa"/>
              <w:left w:w="100" w:type="dxa"/>
              <w:right w:w="100" w:type="dxa"/>
            </w:tcMar>
            <w:shd w:fill="FFFFFF"/>
          </w:tcPr>
          <w:p>
            <w:pPr>
              <w:keepNext w:val="0"/>
              <w:spacing w:after="0" w:before="0" w:line="252" w:lineRule="auto"/>
            </w:pPr>
            <w:r>
              <w:rPr>
                <w:b w:val="0"/>
                <w:i w:val="0"/>
                <w:sz w:val="20"/>
              </w:rPr>
              <w:t>A future product-design study with BlackRock, trustee, custody, tax and legal teams. Any novelty claim requires its own evidence.</w:t>
            </w:r>
          </w:p>
        </w:tc>
      </w:tr>
    </w:tbl>
    <w:p>
      <w:pPr>
        <w:spacing w:after="60" w:before="0" w:line="40" w:lineRule="exact"/>
      </w:pPr>
      <w:r>
        <w:rPr>
          <w:sz w:val="4"/>
        </w:rPr>
      </w:r>
    </w:p>
    <w:p>
      <w:pPr>
        <w:spacing w:after="100"/>
      </w:pPr>
      <w:r>
        <w:rPr>
          <w:b w:val="0"/>
          <w:i w:val="0"/>
          <w:sz w:val="18"/>
        </w:rPr>
        <w:t>Retained SLV trust provisions and tax analysis are product-specific. Other BlackRock bullion vehicles require their own review. Cash settlement technology does not remove these conditions.</w:t>
      </w:r>
    </w:p>
    <w:p>
      <w:pPr>
        <w:pStyle w:val="Heading3"/>
        <w:pageBreakBefore w:val="0"/>
      </w:pPr>
      <w:r>
        <w:t>Evidence and assumptions</w:t>
      </w:r>
    </w:p>
    <w:p>
      <w:hyperlink r:id="rId95">
        <w:r>
          <w:rPr>
            <w:color w:val="235779"/>
            <w:u w:val="single"/>
          </w:rPr>
          <w:t>SLV Trust §§2.3(c),4.4,4.7,4.11</w:t>
        </w:r>
      </w:hyperlink>
    </w:p>
    <w:p>
      <w:hyperlink r:id="rId92">
        <w:r>
          <w:rPr>
            <w:color w:val="235779"/>
            <w:u w:val="single"/>
          </w:rPr>
          <w:t>Legal and tax analysis</w:t>
        </w:r>
      </w:hyperlink>
    </w:p>
    <w:p>
      <w:pPr>
        <w:pStyle w:val="Heading3"/>
        <w:pageBreakBefore w:val="0"/>
      </w:pPr>
      <w:r>
        <w:t>Evidence and assumptions</w:t>
      </w:r>
    </w:p>
    <w:p>
      <w:hyperlink r:id="rId177">
        <w:r>
          <w:rPr>
            <w:color w:val="235779"/>
            <w:u w:val="single"/>
          </w:rPr>
          <w:t>IGLD official 2021 distribution history</w:t>
        </w:r>
      </w:hyperlink>
    </w:p>
    <w:p>
      <w:bookmarkStart w:id="56" w:name="research_33"/>
      <w:pPr>
        <w:pStyle w:val="Heading1"/>
        <w:pageBreakBefore/>
      </w:pPr>
      <w:r>
        <w:t>33  Future growth: locations, products and bar optionality</w:t>
      </w:r>
      <w:bookmarkEnd w:id="56"/>
    </w:p>
    <w:p>
      <w:r>
        <w:rPr>
          <w:b w:val="0"/>
          <w:i w:val="0"/>
        </w:rPr>
        <w:t>Grow the Citigroup / BlackRock partnership through more approved locations, metals and bar formats; use part of BlackRock’s income to develop an investor dividend proposition.</w:t>
      </w:r>
    </w:p>
    <w:p>
      <w:pPr>
        <w:spacing w:after="100"/>
      </w:pPr>
      <w:r>
        <w:rPr>
          <w:b w:val="0"/>
          <w:i w:val="0"/>
          <w:sz w:val="18"/>
        </w:rPr>
        <w:t>The dividend ambition is specifically a physical-bullion ETF dividend funded by location revenue; its novelty and a permissible funding/distribution structure remain unverified. The desk’s expectation of higher platinum/palladium tariff risk is a commercial view, not an estimated probability or a statement that blanket tariffs apply. Bonded India/IIBX and China international-gold routes aim to reduce onshore customs friction; ETF approval, authorised access, re-export, domestic release and product eligibility remain separate. Citi client demand and local expertise would support the proposed revenue-sharing business; no incorporated joint venture is assumed.</w:t>
      </w:r>
    </w:p>
    <w:p>
      <w:r>
        <w:rPr>
          <w:b w:val="0"/>
          <w:i w:val="0"/>
        </w:rPr>
        <w:t>Revenue opportunities depend on a permitted, executable route from ownership through delivery and resale.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9"/>
        <w:gridCol w:w="3703"/>
        <w:gridCol w:w="4093"/>
      </w:tblGrid>
      <w:tr>
        <w:trPr>
          <w:tblHeader/>
          <w:cantSplit/>
        </w:trPr>
        <w:tc>
          <w:tcPr>
            <w:tcW w:type="dxa" w:w="1949"/>
            <w:vAlign w:val="center"/>
            <w:tcMar>
              <w:top w:w="80" w:type="dxa"/>
              <w:bottom w:w="80" w:type="dxa"/>
              <w:left w:w="100" w:type="dxa"/>
              <w:right w:w="100" w:type="dxa"/>
            </w:tcMar>
            <w:shd w:fill="DCE6EB"/>
          </w:tcPr>
          <w:p>
            <w:pPr>
              <w:keepNext/>
              <w:spacing w:after="0" w:before="0" w:line="252" w:lineRule="auto"/>
            </w:pPr>
            <w:r>
              <w:rPr>
                <w:b/>
                <w:i w:val="0"/>
                <w:sz w:val="20"/>
              </w:rPr>
              <w:t>Segment</w:t>
            </w:r>
          </w:p>
        </w:tc>
        <w:tc>
          <w:tcPr>
            <w:tcW w:type="dxa" w:w="3703"/>
            <w:vAlign w:val="center"/>
            <w:tcMar>
              <w:top w:w="80" w:type="dxa"/>
              <w:bottom w:w="80" w:type="dxa"/>
              <w:left w:w="100" w:type="dxa"/>
              <w:right w:w="100" w:type="dxa"/>
            </w:tcMar>
            <w:shd w:fill="DCE6EB"/>
          </w:tcPr>
          <w:p>
            <w:pPr>
              <w:keepNext/>
              <w:spacing w:after="0" w:before="0" w:line="252" w:lineRule="auto"/>
            </w:pPr>
            <w:r>
              <w:rPr>
                <w:b/>
                <w:i w:val="0"/>
                <w:sz w:val="20"/>
              </w:rPr>
              <w:t>Commercial idea</w:t>
            </w:r>
          </w:p>
        </w:tc>
        <w:tc>
          <w:tcPr>
            <w:tcW w:type="dxa" w:w="4093"/>
            <w:vAlign w:val="center"/>
            <w:tcMar>
              <w:top w:w="80" w:type="dxa"/>
              <w:bottom w:w="80" w:type="dxa"/>
              <w:left w:w="100" w:type="dxa"/>
              <w:right w:w="100" w:type="dxa"/>
            </w:tcMar>
            <w:shd w:fill="DCE6EB"/>
          </w:tcPr>
          <w:p>
            <w:pPr>
              <w:keepNext/>
              <w:spacing w:after="0" w:before="0" w:line="252" w:lineRule="auto"/>
            </w:pPr>
            <w:r>
              <w:rPr>
                <w:b/>
                <w:i w:val="0"/>
                <w:sz w:val="20"/>
              </w:rPr>
              <w:t>Key design boundary</w:t>
            </w:r>
          </w:p>
        </w:tc>
      </w:tr>
      <w:tr>
        <w:trPr>
          <w:cantSplit/>
        </w:trPr>
        <w:tc>
          <w:tcPr>
            <w:tcW w:type="dxa" w:w="1949"/>
            <w:vAlign w:val="center"/>
            <w:tcMar>
              <w:top w:w="80" w:type="dxa"/>
              <w:bottom w:w="80" w:type="dxa"/>
              <w:left w:w="100" w:type="dxa"/>
              <w:right w:w="100" w:type="dxa"/>
            </w:tcMar>
            <w:shd w:fill="FFFFFF"/>
          </w:tcPr>
          <w:p>
            <w:pPr>
              <w:keepNext w:val="0"/>
              <w:spacing w:after="0" w:before="0" w:line="252" w:lineRule="auto"/>
            </w:pPr>
            <w:r>
              <w:rPr>
                <w:b w:val="0"/>
                <w:i w:val="0"/>
                <w:sz w:val="20"/>
              </w:rPr>
              <w:t>India / IIBX</w:t>
            </w:r>
          </w:p>
        </w:tc>
        <w:tc>
          <w:tcPr>
            <w:tcW w:type="dxa" w:w="3703"/>
            <w:vAlign w:val="center"/>
            <w:tcMar>
              <w:top w:w="80" w:type="dxa"/>
              <w:bottom w:w="80" w:type="dxa"/>
              <w:left w:w="100" w:type="dxa"/>
              <w:right w:w="100" w:type="dxa"/>
            </w:tcMar>
            <w:shd w:fill="FFFFFF"/>
          </w:tcPr>
          <w:p>
            <w:pPr>
              <w:keepNext w:val="0"/>
              <w:spacing w:after="0" w:before="0" w:line="252" w:lineRule="auto"/>
            </w:pPr>
            <w:r>
              <w:rPr>
                <w:b w:val="0"/>
                <w:i w:val="0"/>
                <w:sz w:val="20"/>
              </w:rPr>
              <w:t>Study eligible bank-owned gold/silver supply into approved bonded vaults; expand fund custody only through explicit product approval.</w:t>
            </w:r>
          </w:p>
        </w:tc>
        <w:tc>
          <w:tcPr>
            <w:tcW w:type="dxa" w:w="4093"/>
            <w:vAlign w:val="center"/>
            <w:tcMar>
              <w:top w:w="80" w:type="dxa"/>
              <w:bottom w:w="80" w:type="dxa"/>
              <w:left w:w="100" w:type="dxa"/>
              <w:right w:w="100" w:type="dxa"/>
            </w:tcMar>
            <w:shd w:fill="FFFFFF"/>
          </w:tcPr>
          <w:p>
            <w:pPr>
              <w:keepNext w:val="0"/>
              <w:spacing w:after="0" w:before="0" w:line="252" w:lineRule="auto"/>
            </w:pPr>
            <w:r>
              <w:rPr>
                <w:b w:val="0"/>
                <w:i w:val="0"/>
                <w:sz w:val="20"/>
              </w:rPr>
              <w:t>An IFSC/SEZ route is not unrestricted duty-free domestic delivery. Importer eligibility, customs status, supplier approval, BDR rights and exit rules differ.</w:t>
            </w:r>
          </w:p>
        </w:tc>
      </w:tr>
      <w:tr>
        <w:trPr>
          <w:cantSplit/>
        </w:trPr>
        <w:tc>
          <w:tcPr>
            <w:tcW w:type="dxa" w:w="1949"/>
            <w:vAlign w:val="center"/>
            <w:tcMar>
              <w:top w:w="80" w:type="dxa"/>
              <w:bottom w:w="80" w:type="dxa"/>
              <w:left w:w="100" w:type="dxa"/>
              <w:right w:w="100" w:type="dxa"/>
            </w:tcMar>
            <w:shd w:fill="F4F7F8"/>
          </w:tcPr>
          <w:p>
            <w:pPr>
              <w:keepNext w:val="0"/>
              <w:spacing w:after="0" w:before="0" w:line="252" w:lineRule="auto"/>
            </w:pPr>
            <w:r>
              <w:rPr>
                <w:b w:val="0"/>
                <w:i w:val="0"/>
                <w:sz w:val="20"/>
              </w:rPr>
              <w:t>China / Shanghai international gold</w:t>
            </w:r>
          </w:p>
        </w:tc>
        <w:tc>
          <w:tcPr>
            <w:tcW w:type="dxa" w:w="3703"/>
            <w:vAlign w:val="center"/>
            <w:tcMar>
              <w:top w:w="80" w:type="dxa"/>
              <w:bottom w:w="80" w:type="dxa"/>
              <w:left w:w="100" w:type="dxa"/>
              <w:right w:w="100" w:type="dxa"/>
            </w:tcMar>
            <w:shd w:fill="F4F7F8"/>
          </w:tcPr>
          <w:p>
            <w:pPr>
              <w:keepNext w:val="0"/>
              <w:spacing w:after="0" w:before="0" w:line="252" w:lineRule="auto"/>
            </w:pPr>
            <w:r>
              <w:rPr>
                <w:b w:val="0"/>
                <w:i w:val="0"/>
                <w:sz w:val="20"/>
              </w:rPr>
              <w:t>Study approved international gold vaults and local demand; compare after FX, customs, funding and repatriation costs.</w:t>
            </w:r>
          </w:p>
        </w:tc>
        <w:tc>
          <w:tcPr>
            <w:tcW w:type="dxa" w:w="4093"/>
            <w:vAlign w:val="center"/>
            <w:tcMar>
              <w:top w:w="80" w:type="dxa"/>
              <w:bottom w:w="80" w:type="dxa"/>
              <w:left w:w="100" w:type="dxa"/>
              <w:right w:w="100" w:type="dxa"/>
            </w:tcMar>
            <w:shd w:fill="F4F7F8"/>
          </w:tcPr>
          <w:p>
            <w:pPr>
              <w:keepNext w:val="0"/>
              <w:spacing w:after="0" w:before="0" w:line="252" w:lineRule="auto"/>
            </w:pPr>
            <w:r>
              <w:rPr>
                <w:b w:val="0"/>
                <w:i w:val="0"/>
                <w:sz w:val="20"/>
              </w:rPr>
              <w:t>Domestic and International Boards are distinct. Do not presume ordinary international physical silver/platinum access; reviewed rules restrict it, with a specific price-asking exception.</w:t>
            </w:r>
          </w:p>
        </w:tc>
      </w:tr>
      <w:tr>
        <w:trPr>
          <w:cantSplit/>
        </w:trPr>
        <w:tc>
          <w:tcPr>
            <w:tcW w:type="dxa" w:w="1949"/>
            <w:vAlign w:val="center"/>
            <w:tcMar>
              <w:top w:w="80" w:type="dxa"/>
              <w:bottom w:w="80" w:type="dxa"/>
              <w:left w:w="100" w:type="dxa"/>
              <w:right w:w="100" w:type="dxa"/>
            </w:tcMar>
            <w:shd w:fill="FFFFFF"/>
          </w:tcPr>
          <w:p>
            <w:pPr>
              <w:keepNext w:val="0"/>
              <w:spacing w:after="0" w:before="0" w:line="252" w:lineRule="auto"/>
            </w:pPr>
            <w:r>
              <w:rPr>
                <w:b w:val="0"/>
                <w:i w:val="0"/>
                <w:sz w:val="20"/>
              </w:rPr>
              <w:t>New platinum / palladium vehicles</w:t>
            </w:r>
          </w:p>
        </w:tc>
        <w:tc>
          <w:tcPr>
            <w:tcW w:type="dxa" w:w="3703"/>
            <w:vAlign w:val="center"/>
            <w:tcMar>
              <w:top w:w="80" w:type="dxa"/>
              <w:bottom w:w="80" w:type="dxa"/>
              <w:left w:w="100" w:type="dxa"/>
              <w:right w:w="100" w:type="dxa"/>
            </w:tcMar>
            <w:shd w:fill="FFFFFF"/>
          </w:tcPr>
          <w:p>
            <w:pPr>
              <w:keepNext w:val="0"/>
              <w:spacing w:after="0" w:before="0" w:line="252" w:lineRule="auto"/>
            </w:pPr>
            <w:r>
              <w:rPr>
                <w:b w:val="0"/>
                <w:i w:val="0"/>
                <w:sz w:val="20"/>
              </w:rPr>
              <w:t>Design multi-location custody and contractual location revenue sharing from inception.</w:t>
            </w:r>
          </w:p>
        </w:tc>
        <w:tc>
          <w:tcPr>
            <w:tcW w:type="dxa" w:w="4093"/>
            <w:vAlign w:val="center"/>
            <w:tcMar>
              <w:top w:w="80" w:type="dxa"/>
              <w:bottom w:w="80" w:type="dxa"/>
              <w:left w:w="100" w:type="dxa"/>
              <w:right w:w="100" w:type="dxa"/>
            </w:tcMar>
            <w:shd w:fill="FFFFFF"/>
          </w:tcPr>
          <w:p>
            <w:pPr>
              <w:keepNext w:val="0"/>
              <w:spacing w:after="0" w:before="0" w:line="252" w:lineRule="auto"/>
            </w:pPr>
            <w:r>
              <w:rPr>
                <w:b w:val="0"/>
                <w:i w:val="0"/>
                <w:sz w:val="20"/>
              </w:rPr>
              <w:t>Current Irish iShares platinum/palladium documentation supports London and limited Zurich arrangements; US permission is not established. New terms and metal-specific economics are required.</w:t>
            </w:r>
          </w:p>
        </w:tc>
      </w:tr>
      <w:tr>
        <w:trPr>
          <w:cantSplit/>
        </w:trPr>
        <w:tc>
          <w:tcPr>
            <w:tcW w:type="dxa" w:w="1949"/>
            <w:vAlign w:val="center"/>
            <w:tcMar>
              <w:top w:w="80" w:type="dxa"/>
              <w:bottom w:w="80" w:type="dxa"/>
              <w:left w:w="100" w:type="dxa"/>
              <w:right w:w="100" w:type="dxa"/>
            </w:tcMar>
            <w:shd w:fill="F4F7F8"/>
          </w:tcPr>
          <w:p>
            <w:pPr>
              <w:keepNext w:val="0"/>
              <w:spacing w:after="0" w:before="0" w:line="252" w:lineRule="auto"/>
            </w:pPr>
            <w:r>
              <w:rPr>
                <w:b w:val="0"/>
                <w:i w:val="0"/>
                <w:sz w:val="20"/>
              </w:rPr>
              <w:t>Gold formats</w:t>
            </w:r>
          </w:p>
        </w:tc>
        <w:tc>
          <w:tcPr>
            <w:tcW w:type="dxa" w:w="3703"/>
            <w:vAlign w:val="center"/>
            <w:tcMar>
              <w:top w:w="80" w:type="dxa"/>
              <w:bottom w:w="80" w:type="dxa"/>
              <w:left w:w="100" w:type="dxa"/>
              <w:right w:w="100" w:type="dxa"/>
            </w:tcMar>
            <w:shd w:fill="F4F7F8"/>
          </w:tcPr>
          <w:p>
            <w:pPr>
              <w:keepNext w:val="0"/>
              <w:spacing w:after="0" w:before="0" w:line="252" w:lineRule="auto"/>
            </w:pPr>
            <w:r>
              <w:rPr>
                <w:b w:val="0"/>
                <w:i w:val="0"/>
                <w:sz w:val="20"/>
              </w:rPr>
              <w:t>Evaluate 1kg and large-bar formats at the finenesses accepted by target venues.</w:t>
            </w:r>
          </w:p>
        </w:tc>
        <w:tc>
          <w:tcPr>
            <w:tcW w:type="dxa" w:w="4093"/>
            <w:vAlign w:val="center"/>
            <w:tcMar>
              <w:top w:w="80" w:type="dxa"/>
              <w:bottom w:w="80" w:type="dxa"/>
              <w:left w:w="100" w:type="dxa"/>
              <w:right w:w="100" w:type="dxa"/>
            </w:tcMar>
            <w:shd w:fill="F4F7F8"/>
          </w:tcPr>
          <w:p>
            <w:pPr>
              <w:keepNext w:val="0"/>
              <w:spacing w:after="0" w:before="0" w:line="252" w:lineRule="auto"/>
            </w:pPr>
            <w:r>
              <w:rPr>
                <w:b w:val="0"/>
                <w:i w:val="0"/>
                <w:sz w:val="20"/>
              </w:rPr>
              <w:t>IIBX Gold 995 specifies 1kg / 995; SGE international examples include 1kg / 99.99% and 12.5kg / 99.5%. Brand, shape, serial, quality and custody chain also matter.</w:t>
            </w:r>
          </w:p>
        </w:tc>
      </w:tr>
      <w:tr>
        <w:trPr>
          <w:cantSplit/>
        </w:trPr>
        <w:tc>
          <w:tcPr>
            <w:tcW w:type="dxa" w:w="1949"/>
            <w:vAlign w:val="center"/>
            <w:tcMar>
              <w:top w:w="80" w:type="dxa"/>
              <w:bottom w:w="80" w:type="dxa"/>
              <w:left w:w="100" w:type="dxa"/>
              <w:right w:w="100" w:type="dxa"/>
            </w:tcMar>
            <w:shd w:fill="FFFFFF"/>
          </w:tcPr>
          <w:p>
            <w:pPr>
              <w:keepNext w:val="0"/>
              <w:spacing w:after="0" w:before="0" w:line="252" w:lineRule="auto"/>
            </w:pPr>
            <w:r>
              <w:rPr>
                <w:b w:val="0"/>
                <w:i w:val="0"/>
                <w:sz w:val="20"/>
              </w:rPr>
              <w:t>Silver formats</w:t>
            </w:r>
          </w:p>
        </w:tc>
        <w:tc>
          <w:tcPr>
            <w:tcW w:type="dxa" w:w="3703"/>
            <w:vAlign w:val="center"/>
            <w:tcMar>
              <w:top w:w="80" w:type="dxa"/>
              <w:bottom w:w="80" w:type="dxa"/>
              <w:left w:w="100" w:type="dxa"/>
              <w:right w:w="100" w:type="dxa"/>
            </w:tcMar>
            <w:shd w:fill="FFFFFF"/>
          </w:tcPr>
          <w:p>
            <w:pPr>
              <w:keepNext w:val="0"/>
              <w:spacing w:after="0" w:before="0" w:line="252" w:lineRule="auto"/>
            </w:pPr>
            <w:r>
              <w:rPr>
                <w:b w:val="0"/>
                <w:i w:val="0"/>
                <w:sz w:val="20"/>
              </w:rPr>
              <w:t>Screen existing bars for direct venue eligibility before paying to recast.</w:t>
            </w:r>
          </w:p>
        </w:tc>
        <w:tc>
          <w:tcPr>
            <w:tcW w:type="dxa" w:w="4093"/>
            <w:vAlign w:val="center"/>
            <w:tcMar>
              <w:top w:w="80" w:type="dxa"/>
              <w:bottom w:w="80" w:type="dxa"/>
              <w:left w:w="100" w:type="dxa"/>
              <w:right w:w="100" w:type="dxa"/>
            </w:tcMar>
            <w:shd w:fill="FFFFFF"/>
          </w:tcPr>
          <w:p>
            <w:pPr>
              <w:keepNext w:val="0"/>
              <w:spacing w:after="0" w:before="0" w:line="252" w:lineRule="auto"/>
            </w:pPr>
            <w:r>
              <w:rPr>
                <w:b w:val="0"/>
                <w:i w:val="0"/>
                <w:sz w:val="20"/>
              </w:rPr>
              <w:t>IIBX nominal 30kg bars require minimum 999 and an actual 900–1,050 troy oz range. Broader LBMA eligibility alone is insufficient; domestic SGE 15kg / 99.99% is a different specification and access route.</w:t>
            </w:r>
          </w:p>
        </w:tc>
      </w:tr>
      <w:tr>
        <w:trPr>
          <w:cantSplit/>
        </w:trPr>
        <w:tc>
          <w:tcPr>
            <w:tcW w:type="dxa" w:w="1949"/>
            <w:vAlign w:val="center"/>
            <w:tcMar>
              <w:top w:w="80" w:type="dxa"/>
              <w:bottom w:w="80" w:type="dxa"/>
              <w:left w:w="100" w:type="dxa"/>
              <w:right w:w="100" w:type="dxa"/>
            </w:tcMar>
            <w:shd w:fill="F4F7F8"/>
          </w:tcPr>
          <w:p>
            <w:pPr>
              <w:keepNext w:val="0"/>
              <w:spacing w:after="0" w:before="0" w:line="252" w:lineRule="auto"/>
            </w:pPr>
            <w:r>
              <w:rPr>
                <w:b w:val="0"/>
                <w:i w:val="0"/>
                <w:sz w:val="20"/>
              </w:rPr>
              <w:t>Valuation and controls</w:t>
            </w:r>
          </w:p>
        </w:tc>
        <w:tc>
          <w:tcPr>
            <w:tcW w:type="dxa" w:w="3703"/>
            <w:vAlign w:val="center"/>
            <w:tcMar>
              <w:top w:w="80" w:type="dxa"/>
              <w:bottom w:w="80" w:type="dxa"/>
              <w:left w:w="100" w:type="dxa"/>
              <w:right w:w="100" w:type="dxa"/>
            </w:tcMar>
            <w:shd w:fill="F4F7F8"/>
          </w:tcPr>
          <w:p>
            <w:pPr>
              <w:keepNext w:val="0"/>
              <w:spacing w:after="0" w:before="0" w:line="252" w:lineRule="auto"/>
            </w:pPr>
            <w:r>
              <w:rPr>
                <w:b w:val="0"/>
                <w:i w:val="0"/>
                <w:sz w:val="20"/>
              </w:rPr>
              <w:t>Measure incremental margin after conversion, transport, assay, funding, insurance and losses.</w:t>
            </w:r>
          </w:p>
        </w:tc>
        <w:tc>
          <w:tcPr>
            <w:tcW w:type="dxa" w:w="4093"/>
            <w:vAlign w:val="center"/>
            <w:tcMar>
              <w:top w:w="80" w:type="dxa"/>
              <w:bottom w:w="80" w:type="dxa"/>
              <w:left w:w="100" w:type="dxa"/>
              <w:right w:w="100" w:type="dxa"/>
            </w:tcMar>
            <w:shd w:fill="F4F7F8"/>
          </w:tcPr>
          <w:p>
            <w:pPr>
              <w:keepNext w:val="0"/>
              <w:spacing w:after="0" w:before="0" w:line="252" w:lineRule="auto"/>
            </w:pPr>
            <w:r>
              <w:rPr>
                <w:b w:val="0"/>
                <w:i w:val="0"/>
                <w:sz w:val="20"/>
              </w:rPr>
              <w:t>Preserve fine-metal entitlement; record gross weight and purity separately. Grains or plates require separate eligibility, packaging and controls. Do not lower purity thresholds silently.</w:t>
            </w:r>
          </w:p>
        </w:tc>
      </w:tr>
    </w:tbl>
    <w:p>
      <w:pPr>
        <w:spacing w:after="60" w:before="0" w:line="40" w:lineRule="exact"/>
      </w:pPr>
      <w:r>
        <w:rPr>
          <w:sz w:val="4"/>
        </w:rPr>
      </w:r>
    </w:p>
    <w:p>
      <w:pPr>
        <w:spacing w:after="100"/>
      </w:pPr>
      <w:r>
        <w:rPr>
          <w:b w:val="0"/>
          <w:i w:val="0"/>
          <w:sz w:val="18"/>
        </w:rPr>
        <w:t>Common market formats are candidates for approval, not automatic additions to existing trusts. The “free trade zone” label alone does not establish actual liquidity, customs treatment, legal title or ETF eligibility.</w:t>
      </w:r>
    </w:p>
    <w:p>
      <w:pPr>
        <w:pStyle w:val="Heading3"/>
        <w:pageBreakBefore w:val="0"/>
      </w:pPr>
      <w:r>
        <w:t>Full growth proposal and conditions</w:t>
      </w:r>
    </w:p>
    <w:p>
      <w:r>
        <w:rPr>
          <w:b w:val="0"/>
          <w:i w:val="0"/>
        </w:rPr>
        <w:t>Reinvest part of the shared economics to create a more distinctive bullion range and a wider set of revenue opportunities.</w:t>
      </w:r>
    </w:p>
    <w:p>
      <w:pPr>
        <w:pStyle w:val="Heading2"/>
        <w:pageBreakBefore w:val="0"/>
      </w:pPr>
      <w:r>
        <w:t>A distribution funded by location revenue</w:t>
      </w:r>
    </w:p>
    <w:p>
      <w:r>
        <w:rPr>
          <w:b w:val="0"/>
          <w:i w:val="0"/>
        </w:rPr>
        <w:t>Reinvest part of BlackRock’s 50% share to develop a physical bullion ETF that pays investors a distribution, subject to an approved fund structure and tax treatment.</w:t>
      </w:r>
    </w:p>
    <w:p>
      <w:pPr>
        <w:pStyle w:val="Heading2"/>
        <w:pageBreakBefore w:val="0"/>
      </w:pPr>
      <w:r>
        <w:t>More approved jurisdictions</w:t>
      </w:r>
    </w:p>
    <w:p>
      <w:r>
        <w:rPr>
          <w:b w:val="0"/>
          <w:i w:val="0"/>
        </w:rPr>
        <w:t>Evaluate bonded and free-trade-zone vault routes in India and China to access additional location premia. Start with IIBX gold/silver and Shanghai’s international gold market, subject to access and exit rules.</w:t>
      </w:r>
    </w:p>
    <w:p>
      <w:pPr>
        <w:pStyle w:val="Heading2"/>
        <w:pageBreakBefore w:val="0"/>
      </w:pPr>
      <w:r>
        <w:t>New platinum and palladium funds</w:t>
      </w:r>
    </w:p>
    <w:p>
      <w:r>
        <w:rPr>
          <w:b w:val="0"/>
          <w:i w:val="0"/>
        </w:rPr>
        <w:t>Design products with multiple approved vault locations from launch, applying the same location-revenue premise. Price each metal’s liquidity, funding and delivery economics independently.</w:t>
      </w:r>
    </w:p>
    <w:p>
      <w:pPr>
        <w:pStyle w:val="Heading2"/>
        <w:pageBreakBefore w:val="0"/>
      </w:pPr>
      <w:r>
        <w:t>More bar formats and purities</w:t>
      </w:r>
    </w:p>
    <w:p>
      <w:r>
        <w:rPr>
          <w:b w:val="0"/>
          <w:i w:val="0"/>
        </w:rPr>
        <w:t>Broaden approved specifications to commonly traded bar shapes, sizes and purities. More eligible stock could reduce conversion costs and widen creation, redemption and resale routes.</w:t>
      </w:r>
    </w:p>
    <w:p>
      <w:pPr>
        <w:spacing w:after="100"/>
      </w:pPr>
      <w:r>
        <w:rPr>
          <w:b w:val="0"/>
          <w:i w:val="0"/>
          <w:sz w:val="18"/>
        </w:rPr>
        <w:t>These are product-development proposals. Existing mandates and bar eligibility would need review; none of the four revenue streams is assumed in the headline cases.</w:t>
      </w:r>
    </w:p>
    <w:p>
      <w:pPr>
        <w:pStyle w:val="Heading3"/>
        <w:pageBreakBefore w:val="0"/>
      </w:pPr>
      <w:r>
        <w:t>Evidence and assumptions</w:t>
      </w:r>
    </w:p>
    <w:p>
      <w:hyperlink r:id="rId178">
        <w:r>
          <w:rPr>
            <w:color w:val="235779"/>
            <w:u w:val="single"/>
          </w:rPr>
          <w:t>IIBX Gold 995 specifications</w:t>
        </w:r>
      </w:hyperlink>
    </w:p>
    <w:p>
      <w:hyperlink r:id="rId179">
        <w:r>
          <w:rPr>
            <w:color w:val="235779"/>
            <w:u w:val="single"/>
          </w:rPr>
          <w:t>IIBX silver specifications</w:t>
        </w:r>
      </w:hyperlink>
    </w:p>
    <w:p>
      <w:hyperlink r:id="rId161">
        <w:r>
          <w:rPr>
            <w:color w:val="235779"/>
            <w:u w:val="single"/>
          </w:rPr>
          <w:t>SGE delivery rules, including Article 24</w:t>
        </w:r>
      </w:hyperlink>
    </w:p>
    <w:p>
      <w:hyperlink r:id="rId120">
        <w:r>
          <w:rPr>
            <w:color w:val="235779"/>
            <w:u w:val="single"/>
          </w:rPr>
          <w:t>China evidence</w:t>
        </w:r>
      </w:hyperlink>
    </w:p>
    <w:p>
      <w:hyperlink r:id="rId180">
        <w:r>
          <w:rPr>
            <w:color w:val="235779"/>
            <w:u w:val="single"/>
          </w:rPr>
          <w:t>2026 iShares physical-metals prospectus</w:t>
        </w:r>
      </w:hyperlink>
    </w:p>
    <w:p>
      <w:hyperlink r:id="rId93">
        <w:r>
          <w:rPr>
            <w:color w:val="235779"/>
            <w:u w:val="single"/>
          </w:rPr>
          <w:t>Current India scope and bar audit</w:t>
        </w:r>
      </w:hyperlink>
    </w:p>
    <w:p>
      <w:bookmarkStart w:id="57" w:name="research_34"/>
      <w:pPr>
        <w:pStyle w:val="Heading1"/>
        <w:pageBreakBefore/>
      </w:pPr>
      <w:r>
        <w:t>34  Operational and regulatory risk: full tariff chronology</w:t>
      </w:r>
      <w:bookmarkEnd w:id="57"/>
    </w:p>
    <w:p>
      <w:r>
        <w:rPr>
          <w:b w:val="0"/>
          <w:i w:val="0"/>
        </w:rPr>
        <w:t>39 dated events from 20 January 2025 to the 24 September 2026 research cutoff. The linked silver EFP view keeps dates and source conventions visible.</w:t>
      </w:r>
    </w:p>
    <w:p>
      <w:hyperlink r:id="rId181">
        <w:r>
          <w:rPr>
            <w:color w:val="235779"/>
            <w:u w:val="single"/>
          </w:rPr>
          <w:t>Open the interactive silver EFP chart and source-linked timeline</w:t>
        </w:r>
      </w:hyperlink>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16"/>
        <w:gridCol w:w="6530"/>
      </w:tblGrid>
      <w:tr>
        <w:trPr>
          <w:tblHeader/>
          <w:cantSplit/>
        </w:trPr>
        <w:tc>
          <w:tcPr>
            <w:tcW w:type="dxa" w:w="3216"/>
            <w:vAlign w:val="center"/>
            <w:tcMar>
              <w:top w:w="80" w:type="dxa"/>
              <w:bottom w:w="80" w:type="dxa"/>
              <w:left w:w="100" w:type="dxa"/>
              <w:right w:w="100" w:type="dxa"/>
            </w:tcMar>
            <w:shd w:fill="DCE6EB"/>
          </w:tcPr>
          <w:p>
            <w:pPr>
              <w:keepNext/>
              <w:spacing w:after="0" w:before="0" w:line="252" w:lineRule="auto"/>
            </w:pPr>
            <w:r>
              <w:rPr>
                <w:b/>
                <w:i w:val="0"/>
                <w:sz w:val="20"/>
              </w:rPr>
              <w:t>Date / event</w:t>
            </w:r>
          </w:p>
        </w:tc>
        <w:tc>
          <w:tcPr>
            <w:tcW w:type="dxa" w:w="6530"/>
            <w:vAlign w:val="center"/>
            <w:tcMar>
              <w:top w:w="80" w:type="dxa"/>
              <w:bottom w:w="80" w:type="dxa"/>
              <w:left w:w="100" w:type="dxa"/>
              <w:right w:w="100" w:type="dxa"/>
            </w:tcMar>
            <w:shd w:fill="DCE6EB"/>
          </w:tcPr>
          <w:p>
            <w:pPr>
              <w:keepNext/>
              <w:spacing w:after="0" w:before="0" w:line="252" w:lineRule="auto"/>
            </w:pPr>
            <w:r>
              <w:rPr>
                <w:b/>
                <w:i w:val="0"/>
                <w:sz w:val="20"/>
              </w:rPr>
              <w:t>What changed / source</w:t>
            </w:r>
          </w:p>
        </w:tc>
      </w:tr>
      <w:tr>
        <w:trPr>
          <w:cantSplit/>
        </w:trPr>
        <w:tc>
          <w:tcPr>
            <w:tcW w:type="dxa" w:w="3216"/>
            <w:vAlign w:val="center"/>
            <w:tcMar>
              <w:top w:w="80" w:type="dxa"/>
              <w:bottom w:w="80" w:type="dxa"/>
              <w:left w:w="100" w:type="dxa"/>
              <w:right w:w="100" w:type="dxa"/>
            </w:tcMar>
            <w:shd w:fill="FFFFFF"/>
          </w:tcPr>
          <w:p>
            <w:pPr>
              <w:keepNext w:val="0"/>
              <w:spacing w:after="0" w:before="0" w:line="252" w:lineRule="auto"/>
            </w:pPr>
            <w:r>
              <w:rPr>
                <w:b w:val="0"/>
                <w:i w:val="0"/>
                <w:sz w:val="20"/>
              </w:rPr>
              <w:t>2025-01-20 · Trade policy review begins</w:t>
            </w:r>
          </w:p>
        </w:tc>
        <w:tc>
          <w:tcPr>
            <w:tcW w:type="dxa" w:w="6530"/>
            <w:vAlign w:val="center"/>
            <w:tcMar>
              <w:top w:w="80" w:type="dxa"/>
              <w:bottom w:w="80" w:type="dxa"/>
              <w:left w:w="100" w:type="dxa"/>
              <w:right w:w="100" w:type="dxa"/>
            </w:tcMar>
            <w:shd w:fill="FFFFFF"/>
          </w:tcPr>
          <w:p>
            <w:pPr>
              <w:keepNext w:val="0"/>
              <w:spacing w:after="0" w:before="0" w:line="252" w:lineRule="auto"/>
            </w:pPr>
            <w:r>
              <w:rPr>
                <w:b w:val="0"/>
                <w:i w:val="0"/>
                <w:sz w:val="20"/>
              </w:rPr>
              <w:t xml:space="preserve">The America First Trade Policy memorandum directs reviews and recommendations, principally due 1 April. It sets no bullion tariff rate. Effective: 2025-01-20. Policy direction, not an enacted gold or silver import duty. </w:t>
            </w:r>
            <w:hyperlink r:id="rId182">
              <w:r>
                <w:rPr>
                  <w:color w:val="235779"/>
                  <w:u w:val="single"/>
                </w:rPr>
                <w:t>Source 1</w:t>
              </w:r>
            </w:hyperlink>
            <w:r>
              <w:rPr>
                <w:b w:val="0"/>
                <w:i w:val="0"/>
                <w:sz w:val="20"/>
              </w:rPr>
              <w:t xml:space="preserve"> · </w:t>
            </w:r>
            <w:hyperlink r:id="rId138">
              <w:r>
                <w:rPr>
                  <w:color w:val="235779"/>
                  <w:u w:val="single"/>
                </w:rPr>
                <w:t>Source 2</w:t>
              </w:r>
            </w:hyperlink>
          </w:p>
        </w:tc>
      </w:tr>
      <w:tr>
        <w:trPr>
          <w:cantSplit/>
        </w:trPr>
        <w:tc>
          <w:tcPr>
            <w:tcW w:type="dxa" w:w="3216"/>
            <w:vAlign w:val="center"/>
            <w:tcMar>
              <w:top w:w="80" w:type="dxa"/>
              <w:bottom w:w="80" w:type="dxa"/>
              <w:left w:w="100" w:type="dxa"/>
              <w:right w:w="100" w:type="dxa"/>
            </w:tcMar>
            <w:shd w:fill="F4F7F8"/>
          </w:tcPr>
          <w:p>
            <w:pPr>
              <w:keepNext w:val="0"/>
              <w:spacing w:after="0" w:before="0" w:line="252" w:lineRule="auto"/>
            </w:pPr>
            <w:r>
              <w:rPr>
                <w:b w:val="0"/>
                <w:i w:val="0"/>
                <w:sz w:val="20"/>
              </w:rPr>
              <w:t>2025-02-01 · Canada/Mexico/China duties announced</w:t>
            </w:r>
          </w:p>
        </w:tc>
        <w:tc>
          <w:tcPr>
            <w:tcW w:type="dxa" w:w="6530"/>
            <w:vAlign w:val="center"/>
            <w:tcMar>
              <w:top w:w="80" w:type="dxa"/>
              <w:bottom w:w="80" w:type="dxa"/>
              <w:left w:w="100" w:type="dxa"/>
              <w:right w:w="100" w:type="dxa"/>
            </w:tcMar>
            <w:shd w:fill="F4F7F8"/>
          </w:tcPr>
          <w:p>
            <w:pPr>
              <w:keepNext w:val="0"/>
              <w:spacing w:after="0" w:before="0" w:line="252" w:lineRule="auto"/>
            </w:pPr>
            <w:r>
              <w:rPr>
                <w:b w:val="0"/>
                <w:i w:val="0"/>
                <w:sz w:val="20"/>
              </w:rPr>
              <w:t xml:space="preserve">Orders announce 25% additional Canada/Mexico duties (Canadian energy 10%) and 10% China duties, initially scheduled 4 February. Country-origin rules and exceptions govern. Effective: 2025-02-04 originally scheduled; Canada/Mexico subsequently postponed to 2025-03-04. No general precious-metals exception in these country orders. Do not use the later reciprocal exemptions to erase separate historical country duties. </w:t>
            </w:r>
            <w:hyperlink r:id="rId183">
              <w:r>
                <w:rPr>
                  <w:color w:val="235779"/>
                  <w:u w:val="single"/>
                </w:rPr>
                <w:t>Source 1</w:t>
              </w:r>
            </w:hyperlink>
            <w:r>
              <w:rPr>
                <w:b w:val="0"/>
                <w:i w:val="0"/>
                <w:sz w:val="20"/>
              </w:rPr>
              <w:t xml:space="preserve"> · </w:t>
            </w:r>
            <w:hyperlink r:id="rId184">
              <w:r>
                <w:rPr>
                  <w:color w:val="235779"/>
                  <w:u w:val="single"/>
                </w:rPr>
                <w:t>Source 2</w:t>
              </w:r>
            </w:hyperlink>
            <w:r>
              <w:rPr>
                <w:b w:val="0"/>
                <w:i w:val="0"/>
                <w:sz w:val="20"/>
              </w:rPr>
              <w:t xml:space="preserve"> · </w:t>
            </w:r>
            <w:hyperlink r:id="rId185">
              <w:r>
                <w:rPr>
                  <w:color w:val="235779"/>
                  <w:u w:val="single"/>
                </w:rPr>
                <w:t>Source 3</w:t>
              </w:r>
            </w:hyperlink>
            <w:r>
              <w:rPr>
                <w:b w:val="0"/>
                <w:i w:val="0"/>
                <w:sz w:val="20"/>
              </w:rPr>
              <w:t xml:space="preserve"> · </w:t>
            </w:r>
            <w:hyperlink r:id="rId186">
              <w:r>
                <w:rPr>
                  <w:color w:val="235779"/>
                  <w:u w:val="single"/>
                </w:rPr>
                <w:t>Source 4</w:t>
              </w:r>
            </w:hyperlink>
          </w:p>
        </w:tc>
      </w:tr>
      <w:tr>
        <w:trPr>
          <w:cantSplit/>
        </w:trPr>
        <w:tc>
          <w:tcPr>
            <w:tcW w:type="dxa" w:w="3216"/>
            <w:vAlign w:val="center"/>
            <w:tcMar>
              <w:top w:w="80" w:type="dxa"/>
              <w:bottom w:w="80" w:type="dxa"/>
              <w:left w:w="100" w:type="dxa"/>
              <w:right w:w="100" w:type="dxa"/>
            </w:tcMar>
            <w:shd w:fill="FFFFFF"/>
          </w:tcPr>
          <w:p>
            <w:pPr>
              <w:keepNext w:val="0"/>
              <w:spacing w:after="0" w:before="0" w:line="252" w:lineRule="auto"/>
            </w:pPr>
            <w:r>
              <w:rPr>
                <w:b w:val="0"/>
                <w:i w:val="0"/>
                <w:sz w:val="20"/>
              </w:rPr>
              <w:t>2025-02-03 · Canada/Mexico start postponed</w:t>
            </w:r>
          </w:p>
        </w:tc>
        <w:tc>
          <w:tcPr>
            <w:tcW w:type="dxa" w:w="6530"/>
            <w:vAlign w:val="center"/>
            <w:tcMar>
              <w:top w:w="80" w:type="dxa"/>
              <w:bottom w:w="80" w:type="dxa"/>
              <w:left w:w="100" w:type="dxa"/>
              <w:right w:w="100" w:type="dxa"/>
            </w:tcMar>
            <w:shd w:fill="FFFFFF"/>
          </w:tcPr>
          <w:p>
            <w:pPr>
              <w:keepNext w:val="0"/>
              <w:spacing w:after="0" w:before="0" w:line="252" w:lineRule="auto"/>
            </w:pPr>
            <w:r>
              <w:rPr>
                <w:b w:val="0"/>
                <w:i w:val="0"/>
                <w:sz w:val="20"/>
              </w:rPr>
              <w:t xml:space="preserve">Canada/Mexico orders defer the planned 4 February start to 4 March; the China 10% duty proceeds 4 February. Effective: 2025-03-04T00:01:00-05:00. The pause is country-specific; all three measures did not start together. </w:t>
            </w:r>
            <w:hyperlink r:id="rId187">
              <w:r>
                <w:rPr>
                  <w:color w:val="235779"/>
                  <w:u w:val="single"/>
                </w:rPr>
                <w:t>Source 1</w:t>
              </w:r>
            </w:hyperlink>
            <w:r>
              <w:rPr>
                <w:b w:val="0"/>
                <w:i w:val="0"/>
                <w:sz w:val="20"/>
              </w:rPr>
              <w:t xml:space="preserve"> · </w:t>
            </w:r>
            <w:hyperlink r:id="rId188">
              <w:r>
                <w:rPr>
                  <w:color w:val="235779"/>
                  <w:u w:val="single"/>
                </w:rPr>
                <w:t>Source 2</w:t>
              </w:r>
            </w:hyperlink>
            <w:r>
              <w:rPr>
                <w:b w:val="0"/>
                <w:i w:val="0"/>
                <w:sz w:val="20"/>
              </w:rPr>
              <w:t xml:space="preserve"> · </w:t>
            </w:r>
            <w:hyperlink r:id="rId185">
              <w:r>
                <w:rPr>
                  <w:color w:val="235779"/>
                  <w:u w:val="single"/>
                </w:rPr>
                <w:t>Source 3</w:t>
              </w:r>
            </w:hyperlink>
          </w:p>
        </w:tc>
      </w:tr>
      <w:tr>
        <w:trPr>
          <w:cantSplit/>
        </w:trPr>
        <w:tc>
          <w:tcPr>
            <w:tcW w:type="dxa" w:w="3216"/>
            <w:vAlign w:val="center"/>
            <w:tcMar>
              <w:top w:w="80" w:type="dxa"/>
              <w:bottom w:w="80" w:type="dxa"/>
              <w:left w:w="100" w:type="dxa"/>
              <w:right w:w="100" w:type="dxa"/>
            </w:tcMar>
            <w:shd w:fill="F4F7F8"/>
          </w:tcPr>
          <w:p>
            <w:pPr>
              <w:keepNext w:val="0"/>
              <w:spacing w:after="0" w:before="0" w:line="252" w:lineRule="auto"/>
            </w:pPr>
            <w:r>
              <w:rPr>
                <w:b w:val="0"/>
                <w:i w:val="0"/>
                <w:sz w:val="20"/>
              </w:rPr>
              <w:t>2025-02-04 · China 10% country duty takes effect</w:t>
            </w:r>
          </w:p>
        </w:tc>
        <w:tc>
          <w:tcPr>
            <w:tcW w:type="dxa" w:w="6530"/>
            <w:vAlign w:val="center"/>
            <w:tcMar>
              <w:top w:w="80" w:type="dxa"/>
              <w:bottom w:w="80" w:type="dxa"/>
              <w:left w:w="100" w:type="dxa"/>
              <w:right w:w="100" w:type="dxa"/>
            </w:tcMar>
            <w:shd w:fill="F4F7F8"/>
          </w:tcPr>
          <w:p>
            <w:pPr>
              <w:keepNext w:val="0"/>
              <w:spacing w:after="0" w:before="0" w:line="252" w:lineRule="auto"/>
            </w:pPr>
            <w:r>
              <w:rPr>
                <w:b w:val="0"/>
                <w:i w:val="0"/>
                <w:sz w:val="20"/>
              </w:rPr>
              <w:t xml:space="preserve">The additional China/Hong Kong country duty begins; existing duties remain separate. Effective: 2025-02-04. </w:t>
            </w:r>
            <w:hyperlink r:id="rId185">
              <w:r>
                <w:rPr>
                  <w:color w:val="235779"/>
                  <w:u w:val="single"/>
                </w:rPr>
                <w:t>Source 1</w:t>
              </w:r>
            </w:hyperlink>
            <w:r>
              <w:rPr>
                <w:b w:val="0"/>
                <w:i w:val="0"/>
                <w:sz w:val="20"/>
              </w:rPr>
              <w:t xml:space="preserve"> · </w:t>
            </w:r>
            <w:hyperlink r:id="rId186">
              <w:r>
                <w:rPr>
                  <w:color w:val="235779"/>
                  <w:u w:val="single"/>
                </w:rPr>
                <w:t>Source 2</w:t>
              </w:r>
            </w:hyperlink>
          </w:p>
        </w:tc>
      </w:tr>
      <w:tr>
        <w:trPr>
          <w:cantSplit/>
        </w:trPr>
        <w:tc>
          <w:tcPr>
            <w:tcW w:type="dxa" w:w="3216"/>
            <w:vAlign w:val="center"/>
            <w:tcMar>
              <w:top w:w="80" w:type="dxa"/>
              <w:bottom w:w="80" w:type="dxa"/>
              <w:left w:w="100" w:type="dxa"/>
              <w:right w:w="100" w:type="dxa"/>
            </w:tcMar>
            <w:shd w:fill="FFFFFF"/>
          </w:tcPr>
          <w:p>
            <w:pPr>
              <w:keepNext w:val="0"/>
              <w:spacing w:after="0" w:before="0" w:line="252" w:lineRule="auto"/>
            </w:pPr>
            <w:r>
              <w:rPr>
                <w:b w:val="0"/>
                <w:i w:val="0"/>
                <w:sz w:val="20"/>
              </w:rPr>
              <w:t>2025-02-27 · WGC documents tariff-related gold relocation</w:t>
            </w:r>
          </w:p>
        </w:tc>
        <w:tc>
          <w:tcPr>
            <w:tcW w:type="dxa" w:w="6530"/>
            <w:vAlign w:val="center"/>
            <w:tcMar>
              <w:top w:w="80" w:type="dxa"/>
              <w:bottom w:w="80" w:type="dxa"/>
              <w:left w:w="100" w:type="dxa"/>
              <w:right w:w="100" w:type="dxa"/>
            </w:tcMar>
            <w:shd w:fill="FFFFFF"/>
          </w:tcPr>
          <w:p>
            <w:pPr>
              <w:keepNext w:val="0"/>
              <w:spacing w:after="0" w:before="0" w:line="252" w:lineRule="auto"/>
            </w:pPr>
            <w:r>
              <w:rPr>
                <w:b w:val="0"/>
                <w:i w:val="0"/>
                <w:sz w:val="20"/>
              </w:rPr>
              <w:t xml:space="preserve">No new tariff rule; WGC report. Gold rolling active-futures-minus-spot spread reached US$40–50/oz versus US$13/oz prior-two-year average; COMEX registered stocks up nearly 300 t and eligible stocks up more than 500 t since late 2024. Effective: n/a. WGC attributes disruption to uncertainty/risk management; gross proxy, no causal regression. </w:t>
            </w:r>
            <w:hyperlink r:id="rId189">
              <w:r>
                <w:rPr>
                  <w:color w:val="235779"/>
                  <w:u w:val="single"/>
                </w:rPr>
                <w:t>Source 1</w:t>
              </w:r>
            </w:hyperlink>
            <w:r>
              <w:rPr>
                <w:b w:val="0"/>
                <w:i w:val="0"/>
                <w:sz w:val="20"/>
              </w:rPr>
              <w:t xml:space="preserve"> · </w:t>
            </w:r>
            <w:hyperlink r:id="rId138">
              <w:r>
                <w:rPr>
                  <w:color w:val="235779"/>
                  <w:u w:val="single"/>
                </w:rPr>
                <w:t>Source 2</w:t>
              </w:r>
            </w:hyperlink>
          </w:p>
        </w:tc>
      </w:tr>
      <w:tr>
        <w:trPr>
          <w:cantSplit/>
        </w:trPr>
        <w:tc>
          <w:tcPr>
            <w:tcW w:type="dxa" w:w="3216"/>
            <w:vAlign w:val="center"/>
            <w:tcMar>
              <w:top w:w="80" w:type="dxa"/>
              <w:bottom w:w="80" w:type="dxa"/>
              <w:left w:w="100" w:type="dxa"/>
              <w:right w:w="100" w:type="dxa"/>
            </w:tcMar>
            <w:shd w:fill="F4F7F8"/>
          </w:tcPr>
          <w:p>
            <w:pPr>
              <w:keepNext w:val="0"/>
              <w:spacing w:after="0" w:before="0" w:line="252" w:lineRule="auto"/>
            </w:pPr>
            <w:r>
              <w:rPr>
                <w:b w:val="0"/>
                <w:i w:val="0"/>
                <w:sz w:val="20"/>
              </w:rPr>
              <w:t>2025-03-03 · China duty rises; Canada and Mexico duties start</w:t>
            </w:r>
          </w:p>
        </w:tc>
        <w:tc>
          <w:tcPr>
            <w:tcW w:type="dxa" w:w="6530"/>
            <w:vAlign w:val="center"/>
            <w:tcMar>
              <w:top w:w="80" w:type="dxa"/>
              <w:bottom w:w="80" w:type="dxa"/>
              <w:left w:w="100" w:type="dxa"/>
              <w:right w:w="100" w:type="dxa"/>
            </w:tcMar>
            <w:shd w:fill="F4F7F8"/>
          </w:tcPr>
          <w:p>
            <w:pPr>
              <w:keepNext w:val="0"/>
              <w:spacing w:after="0" w:before="0" w:line="252" w:lineRule="auto"/>
            </w:pPr>
            <w:r>
              <w:rPr>
                <w:b w:val="0"/>
                <w:i w:val="0"/>
                <w:sz w:val="20"/>
              </w:rPr>
              <w:t xml:space="preserve">Canada/Mexico 25% begins 4 March; China/HK fentanyl additional duty increases 10% to 20%. No reliable isolated daily EFP observation collected. Effective: 2025-03-04. Legal implementation only. </w:t>
            </w:r>
            <w:hyperlink r:id="rId187">
              <w:r>
                <w:rPr>
                  <w:color w:val="235779"/>
                  <w:u w:val="single"/>
                </w:rPr>
                <w:t>Source 1</w:t>
              </w:r>
            </w:hyperlink>
            <w:r>
              <w:rPr>
                <w:b w:val="0"/>
                <w:i w:val="0"/>
                <w:sz w:val="20"/>
              </w:rPr>
              <w:t xml:space="preserve"> · </w:t>
            </w:r>
            <w:hyperlink r:id="rId188">
              <w:r>
                <w:rPr>
                  <w:color w:val="235779"/>
                  <w:u w:val="single"/>
                </w:rPr>
                <w:t>Source 2</w:t>
              </w:r>
            </w:hyperlink>
            <w:r>
              <w:rPr>
                <w:b w:val="0"/>
                <w:i w:val="0"/>
                <w:sz w:val="20"/>
              </w:rPr>
              <w:t xml:space="preserve"> · </w:t>
            </w:r>
            <w:hyperlink r:id="rId190">
              <w:r>
                <w:rPr>
                  <w:color w:val="235779"/>
                  <w:u w:val="single"/>
                </w:rPr>
                <w:t>Source 3</w:t>
              </w:r>
            </w:hyperlink>
            <w:r>
              <w:rPr>
                <w:b w:val="0"/>
                <w:i w:val="0"/>
                <w:sz w:val="20"/>
              </w:rPr>
              <w:t xml:space="preserve"> · </w:t>
            </w:r>
            <w:hyperlink r:id="rId191">
              <w:r>
                <w:rPr>
                  <w:color w:val="235779"/>
                  <w:u w:val="single"/>
                </w:rPr>
                <w:t>Source 4</w:t>
              </w:r>
            </w:hyperlink>
          </w:p>
        </w:tc>
      </w:tr>
      <w:tr>
        <w:trPr>
          <w:cantSplit/>
        </w:trPr>
        <w:tc>
          <w:tcPr>
            <w:tcW w:type="dxa" w:w="3216"/>
            <w:vAlign w:val="center"/>
            <w:tcMar>
              <w:top w:w="80" w:type="dxa"/>
              <w:bottom w:w="80" w:type="dxa"/>
              <w:left w:w="100" w:type="dxa"/>
              <w:right w:w="100" w:type="dxa"/>
            </w:tcMar>
            <w:shd w:fill="FFFFFF"/>
          </w:tcPr>
          <w:p>
            <w:pPr>
              <w:keepNext w:val="0"/>
              <w:spacing w:after="0" w:before="0" w:line="252" w:lineRule="auto"/>
            </w:pPr>
            <w:r>
              <w:rPr>
                <w:b w:val="0"/>
                <w:i w:val="0"/>
                <w:sz w:val="20"/>
              </w:rPr>
              <w:t>2025-03-06 · USMCA-qualified goods relieved</w:t>
            </w:r>
          </w:p>
        </w:tc>
        <w:tc>
          <w:tcPr>
            <w:tcW w:type="dxa" w:w="6530"/>
            <w:vAlign w:val="center"/>
            <w:tcMar>
              <w:top w:w="80" w:type="dxa"/>
              <w:bottom w:w="80" w:type="dxa"/>
              <w:left w:w="100" w:type="dxa"/>
              <w:right w:w="100" w:type="dxa"/>
            </w:tcMar>
            <w:shd w:fill="FFFFFF"/>
          </w:tcPr>
          <w:p>
            <w:pPr>
              <w:keepNext w:val="0"/>
              <w:spacing w:after="0" w:before="0" w:line="252" w:lineRule="auto"/>
            </w:pPr>
            <w:r>
              <w:rPr>
                <w:b w:val="0"/>
                <w:i w:val="0"/>
                <w:sz w:val="20"/>
              </w:rPr>
              <w:t xml:space="preserve">Canada/Mexico goods entered free under USMCA receive relief from the additional country duties from 7 March. Effective: 2025-03-07T00:01:00-05:00. Qualification and claim required; shipping origin alone is insufficient. Not retroactive to 4 March. </w:t>
            </w:r>
            <w:hyperlink r:id="rId192">
              <w:r>
                <w:rPr>
                  <w:color w:val="235779"/>
                  <w:u w:val="single"/>
                </w:rPr>
                <w:t>Source 1</w:t>
              </w:r>
            </w:hyperlink>
            <w:r>
              <w:rPr>
                <w:b w:val="0"/>
                <w:i w:val="0"/>
                <w:sz w:val="20"/>
              </w:rPr>
              <w:t xml:space="preserve"> · </w:t>
            </w:r>
            <w:hyperlink r:id="rId193">
              <w:r>
                <w:rPr>
                  <w:color w:val="235779"/>
                  <w:u w:val="single"/>
                </w:rPr>
                <w:t>Source 2</w:t>
              </w:r>
            </w:hyperlink>
            <w:r>
              <w:rPr>
                <w:b w:val="0"/>
                <w:i w:val="0"/>
                <w:sz w:val="20"/>
              </w:rPr>
              <w:t xml:space="preserve"> · </w:t>
            </w:r>
            <w:hyperlink r:id="rId191">
              <w:r>
                <w:rPr>
                  <w:color w:val="235779"/>
                  <w:u w:val="single"/>
                </w:rPr>
                <w:t>Source 3</w:t>
              </w:r>
            </w:hyperlink>
          </w:p>
        </w:tc>
      </w:tr>
      <w:tr>
        <w:trPr>
          <w:cantSplit/>
        </w:trPr>
        <w:tc>
          <w:tcPr>
            <w:tcW w:type="dxa" w:w="3216"/>
            <w:vAlign w:val="center"/>
            <w:tcMar>
              <w:top w:w="80" w:type="dxa"/>
              <w:bottom w:w="80" w:type="dxa"/>
              <w:left w:w="100" w:type="dxa"/>
              <w:right w:w="100" w:type="dxa"/>
            </w:tcMar>
            <w:shd w:fill="F4F7F8"/>
          </w:tcPr>
          <w:p>
            <w:pPr>
              <w:keepNext w:val="0"/>
              <w:spacing w:after="0" w:before="0" w:line="252" w:lineRule="auto"/>
            </w:pPr>
            <w:r>
              <w:rPr>
                <w:b w:val="0"/>
                <w:i w:val="0"/>
                <w:sz w:val="20"/>
              </w:rPr>
              <w:t>2025-03-28 · WPIC reports platinum EFP and lease-cost pressure</w:t>
            </w:r>
          </w:p>
        </w:tc>
        <w:tc>
          <w:tcPr>
            <w:tcW w:type="dxa" w:w="6530"/>
            <w:vAlign w:val="center"/>
            <w:tcMar>
              <w:top w:w="80" w:type="dxa"/>
              <w:bottom w:w="80" w:type="dxa"/>
              <w:left w:w="100" w:type="dxa"/>
              <w:right w:w="100" w:type="dxa"/>
            </w:tcMar>
            <w:shd w:fill="F4F7F8"/>
          </w:tcPr>
          <w:p>
            <w:pPr>
              <w:keepNext w:val="0"/>
              <w:spacing w:after="0" w:before="0" w:line="252" w:lineRule="auto"/>
            </w:pPr>
            <w:r>
              <w:rPr>
                <w:b w:val="0"/>
                <w:i w:val="0"/>
                <w:sz w:val="20"/>
              </w:rPr>
              <w:t xml:space="preserve">No new rule; WPIC research reports tariff-risk effects. Stocks +460 koz since mid-December 2024; January implied three-month EFP peak US$75/oz against three-month platinum lease cost US$60/oz before credit spread. Effective: n/a. WPIC attribution, Bloomberg inputs; illustrative gross-cost comparison, not simultaneous executable quotes. </w:t>
            </w:r>
            <w:hyperlink r:id="rId160">
              <w:r>
                <w:rPr>
                  <w:color w:val="235779"/>
                  <w:u w:val="single"/>
                </w:rPr>
                <w:t>Source 1</w:t>
              </w:r>
            </w:hyperlink>
          </w:p>
        </w:tc>
      </w:tr>
      <w:tr>
        <w:trPr>
          <w:cantSplit/>
        </w:trPr>
        <w:tc>
          <w:tcPr>
            <w:tcW w:type="dxa" w:w="3216"/>
            <w:vAlign w:val="center"/>
            <w:tcMar>
              <w:top w:w="80" w:type="dxa"/>
              <w:bottom w:w="80" w:type="dxa"/>
              <w:left w:w="100" w:type="dxa"/>
              <w:right w:w="100" w:type="dxa"/>
            </w:tcMar>
            <w:shd w:fill="FFFFFF"/>
          </w:tcPr>
          <w:p>
            <w:pPr>
              <w:keepNext w:val="0"/>
              <w:spacing w:after="0" w:before="0" w:line="252" w:lineRule="auto"/>
            </w:pPr>
            <w:r>
              <w:rPr>
                <w:b w:val="0"/>
                <w:i w:val="0"/>
                <w:sz w:val="20"/>
              </w:rPr>
              <w:t>2025-04-02 · Reciprocal duties; bullion carve-outs</w:t>
            </w:r>
          </w:p>
        </w:tc>
        <w:tc>
          <w:tcPr>
            <w:tcW w:type="dxa" w:w="6530"/>
            <w:vAlign w:val="center"/>
            <w:tcMar>
              <w:top w:w="80" w:type="dxa"/>
              <w:bottom w:w="80" w:type="dxa"/>
              <w:left w:w="100" w:type="dxa"/>
              <w:right w:w="100" w:type="dxa"/>
            </w:tcMar>
            <w:shd w:fill="FFFFFF"/>
          </w:tcPr>
          <w:p>
            <w:pPr>
              <w:keepNext w:val="0"/>
              <w:spacing w:after="0" w:before="0" w:line="252" w:lineRule="auto"/>
            </w:pPr>
            <w:r>
              <w:rPr>
                <w:b w:val="0"/>
                <w:i w:val="0"/>
                <w:sz w:val="20"/>
              </w:rPr>
              <w:t xml:space="preserve">EO 14257 announces 10% baseline reciprocal duty from 5 April and country rates from 9 April. Annex II excludes specified silver bullion, gold bullion and PGM codes from this measure. Effective: 2025-04-05T00:01:00-04:00 baseline; 2025-04-09T00:01:00-04:00 scheduled country rates. Exemptions are classification-specific, not all gold/silver articles and not every separate tariff programme. </w:t>
            </w:r>
            <w:hyperlink r:id="rId194">
              <w:r>
                <w:rPr>
                  <w:color w:val="235779"/>
                  <w:u w:val="single"/>
                </w:rPr>
                <w:t>Source 1</w:t>
              </w:r>
            </w:hyperlink>
            <w:r>
              <w:rPr>
                <w:b w:val="0"/>
                <w:i w:val="0"/>
                <w:sz w:val="20"/>
              </w:rPr>
              <w:t xml:space="preserve"> · </w:t>
            </w:r>
            <w:hyperlink r:id="rId195">
              <w:r>
                <w:rPr>
                  <w:color w:val="235779"/>
                  <w:u w:val="single"/>
                </w:rPr>
                <w:t>Source 2</w:t>
              </w:r>
            </w:hyperlink>
            <w:r>
              <w:rPr>
                <w:b w:val="0"/>
                <w:i w:val="0"/>
                <w:sz w:val="20"/>
              </w:rPr>
              <w:t xml:space="preserve"> · </w:t>
            </w:r>
            <w:hyperlink r:id="rId196">
              <w:r>
                <w:rPr>
                  <w:color w:val="235779"/>
                  <w:u w:val="single"/>
                </w:rPr>
                <w:t>Source 3</w:t>
              </w:r>
            </w:hyperlink>
            <w:r>
              <w:rPr>
                <w:b w:val="0"/>
                <w:i w:val="0"/>
                <w:sz w:val="20"/>
              </w:rPr>
              <w:t xml:space="preserve"> · </w:t>
            </w:r>
            <w:hyperlink r:id="rId140">
              <w:r>
                <w:rPr>
                  <w:color w:val="235779"/>
                  <w:u w:val="single"/>
                </w:rPr>
                <w:t>Source 4</w:t>
              </w:r>
            </w:hyperlink>
          </w:p>
        </w:tc>
      </w:tr>
      <w:tr>
        <w:trPr>
          <w:cantSplit/>
        </w:trPr>
        <w:tc>
          <w:tcPr>
            <w:tcW w:type="dxa" w:w="3216"/>
            <w:vAlign w:val="center"/>
            <w:tcMar>
              <w:top w:w="80" w:type="dxa"/>
              <w:bottom w:w="80" w:type="dxa"/>
              <w:left w:w="100" w:type="dxa"/>
              <w:right w:w="100" w:type="dxa"/>
            </w:tcMar>
            <w:shd w:fill="F4F7F8"/>
          </w:tcPr>
          <w:p>
            <w:pPr>
              <w:keepNext w:val="0"/>
              <w:spacing w:after="0" w:before="0" w:line="252" w:lineRule="auto"/>
            </w:pPr>
            <w:r>
              <w:rPr>
                <w:b w:val="0"/>
                <w:i w:val="0"/>
                <w:sz w:val="20"/>
              </w:rPr>
              <w:t>2025-04-09 · Reciprocal country rates paused; China escalated</w:t>
            </w:r>
          </w:p>
        </w:tc>
        <w:tc>
          <w:tcPr>
            <w:tcW w:type="dxa" w:w="6530"/>
            <w:vAlign w:val="center"/>
            <w:tcMar>
              <w:top w:w="80" w:type="dxa"/>
              <w:bottom w:w="80" w:type="dxa"/>
              <w:left w:w="100" w:type="dxa"/>
              <w:right w:w="100" w:type="dxa"/>
            </w:tcMar>
            <w:shd w:fill="F4F7F8"/>
          </w:tcPr>
          <w:p>
            <w:pPr>
              <w:keepNext w:val="0"/>
              <w:spacing w:after="0" w:before="0" w:line="252" w:lineRule="auto"/>
            </w:pPr>
            <w:r>
              <w:rPr>
                <w:b w:val="0"/>
                <w:i w:val="0"/>
                <w:sz w:val="20"/>
              </w:rPr>
              <w:t xml:space="preserve">Higher country reciprocal rates paused 90 days at 10% except China reciprocal 125%; bullion-code exclusions survive. No isolated bullion EFP figure verified for this announcement. Effective: 2025-04-10 00:01 EDT. Legal distinction; no asserted market move. </w:t>
            </w:r>
            <w:hyperlink r:id="rId197">
              <w:r>
                <w:rPr>
                  <w:color w:val="235779"/>
                  <w:u w:val="single"/>
                </w:rPr>
                <w:t>Source 1</w:t>
              </w:r>
            </w:hyperlink>
            <w:r>
              <w:rPr>
                <w:b w:val="0"/>
                <w:i w:val="0"/>
                <w:sz w:val="20"/>
              </w:rPr>
              <w:t xml:space="preserve"> · </w:t>
            </w:r>
            <w:hyperlink r:id="rId194">
              <w:r>
                <w:rPr>
                  <w:color w:val="235779"/>
                  <w:u w:val="single"/>
                </w:rPr>
                <w:t>Source 2</w:t>
              </w:r>
            </w:hyperlink>
          </w:p>
        </w:tc>
      </w:tr>
      <w:tr>
        <w:trPr>
          <w:cantSplit/>
        </w:trPr>
        <w:tc>
          <w:tcPr>
            <w:tcW w:type="dxa" w:w="3216"/>
            <w:vAlign w:val="center"/>
            <w:tcMar>
              <w:top w:w="80" w:type="dxa"/>
              <w:bottom w:w="80" w:type="dxa"/>
              <w:left w:w="100" w:type="dxa"/>
              <w:right w:w="100" w:type="dxa"/>
            </w:tcMar>
            <w:shd w:fill="FFFFFF"/>
          </w:tcPr>
          <w:p>
            <w:pPr>
              <w:keepNext w:val="0"/>
              <w:spacing w:after="0" w:before="0" w:line="252" w:lineRule="auto"/>
            </w:pPr>
            <w:r>
              <w:rPr>
                <w:b w:val="0"/>
                <w:i w:val="0"/>
                <w:sz w:val="20"/>
              </w:rPr>
              <w:t>2025-04-15 · Critical-minerals investigation ordered</w:t>
            </w:r>
          </w:p>
        </w:tc>
        <w:tc>
          <w:tcPr>
            <w:tcW w:type="dxa" w:w="6530"/>
            <w:vAlign w:val="center"/>
            <w:tcMar>
              <w:top w:w="80" w:type="dxa"/>
              <w:bottom w:w="80" w:type="dxa"/>
              <w:left w:w="100" w:type="dxa"/>
              <w:right w:w="100" w:type="dxa"/>
            </w:tcMar>
            <w:shd w:fill="FFFFFF"/>
          </w:tcPr>
          <w:p>
            <w:pPr>
              <w:keepNext w:val="0"/>
              <w:spacing w:after="0" w:before="0" w:line="252" w:lineRule="auto"/>
            </w:pPr>
            <w:r>
              <w:rPr>
                <w:b w:val="0"/>
                <w:i w:val="0"/>
                <w:sz w:val="20"/>
              </w:rPr>
              <w:t xml:space="preserve">Section 232 investigation into processed critical minerals and derivative products is directed. It is a prospective policy-risk channel. Effective: 2025-04-15. Investigation is not a new blanket 20% bullion tariff. Defined mineral and product coverage matters. </w:t>
            </w:r>
            <w:hyperlink r:id="rId198">
              <w:r>
                <w:rPr>
                  <w:color w:val="235779"/>
                  <w:u w:val="single"/>
                </w:rPr>
                <w:t>Source 1</w:t>
              </w:r>
            </w:hyperlink>
          </w:p>
        </w:tc>
      </w:tr>
      <w:tr>
        <w:trPr>
          <w:cantSplit/>
        </w:trPr>
        <w:tc>
          <w:tcPr>
            <w:tcW w:type="dxa" w:w="3216"/>
            <w:vAlign w:val="center"/>
            <w:tcMar>
              <w:top w:w="80" w:type="dxa"/>
              <w:bottom w:w="80" w:type="dxa"/>
              <w:left w:w="100" w:type="dxa"/>
              <w:right w:w="100" w:type="dxa"/>
            </w:tcMar>
            <w:shd w:fill="F4F7F8"/>
          </w:tcPr>
          <w:p>
            <w:pPr>
              <w:keepNext w:val="0"/>
              <w:spacing w:after="0" w:before="0" w:line="252" w:lineRule="auto"/>
            </w:pPr>
            <w:r>
              <w:rPr>
                <w:b w:val="0"/>
                <w:i w:val="0"/>
                <w:sz w:val="20"/>
              </w:rPr>
              <w:t>2025-05-12 · US-China temporary tariff de-escalation</w:t>
            </w:r>
          </w:p>
        </w:tc>
        <w:tc>
          <w:tcPr>
            <w:tcW w:type="dxa" w:w="6530"/>
            <w:vAlign w:val="center"/>
            <w:tcMar>
              <w:top w:w="80" w:type="dxa"/>
              <w:bottom w:w="80" w:type="dxa"/>
              <w:left w:w="100" w:type="dxa"/>
              <w:right w:w="100" w:type="dxa"/>
            </w:tcMar>
            <w:shd w:fill="F4F7F8"/>
          </w:tcPr>
          <w:p>
            <w:pPr>
              <w:keepNext w:val="0"/>
              <w:spacing w:after="0" w:before="0" w:line="252" w:lineRule="auto"/>
            </w:pPr>
            <w:r>
              <w:rPr>
                <w:b w:val="0"/>
                <w:i w:val="0"/>
                <w:sz w:val="20"/>
              </w:rPr>
              <w:t xml:space="preserve">China reciprocal surcharge reduced to 10% during a 90-day suspension of 24 points of the original 34%, with retaliatory increases removed. No isolated bullion EFP observation verified. Effective: 2025-05-14 00:01 EDT. Legal timeline, not an all-in China rate. </w:t>
            </w:r>
            <w:hyperlink r:id="rId199">
              <w:r>
                <w:rPr>
                  <w:color w:val="235779"/>
                  <w:u w:val="single"/>
                </w:rPr>
                <w:t>Source 1</w:t>
              </w:r>
            </w:hyperlink>
            <w:r>
              <w:rPr>
                <w:b w:val="0"/>
                <w:i w:val="0"/>
                <w:sz w:val="20"/>
              </w:rPr>
              <w:t xml:space="preserve"> · </w:t>
            </w:r>
            <w:hyperlink r:id="rId190">
              <w:r>
                <w:rPr>
                  <w:color w:val="235779"/>
                  <w:u w:val="single"/>
                </w:rPr>
                <w:t>Source 2</w:t>
              </w:r>
            </w:hyperlink>
            <w:r>
              <w:rPr>
                <w:b w:val="0"/>
                <w:i w:val="0"/>
                <w:sz w:val="20"/>
              </w:rPr>
              <w:t xml:space="preserve"> · </w:t>
            </w:r>
            <w:hyperlink r:id="rId194">
              <w:r>
                <w:rPr>
                  <w:color w:val="235779"/>
                  <w:u w:val="single"/>
                </w:rPr>
                <w:t>Source 3</w:t>
              </w:r>
            </w:hyperlink>
          </w:p>
        </w:tc>
      </w:tr>
      <w:tr>
        <w:trPr>
          <w:cantSplit/>
        </w:trPr>
        <w:tc>
          <w:tcPr>
            <w:tcW w:type="dxa" w:w="3216"/>
            <w:vAlign w:val="center"/>
            <w:tcMar>
              <w:top w:w="80" w:type="dxa"/>
              <w:bottom w:w="80" w:type="dxa"/>
              <w:left w:w="100" w:type="dxa"/>
              <w:right w:w="100" w:type="dxa"/>
            </w:tcMar>
            <w:shd w:fill="FFFFFF"/>
          </w:tcPr>
          <w:p>
            <w:pPr>
              <w:keepNext w:val="0"/>
              <w:spacing w:after="0" w:before="0" w:line="252" w:lineRule="auto"/>
            </w:pPr>
            <w:r>
              <w:rPr>
                <w:b w:val="0"/>
                <w:i w:val="0"/>
                <w:sz w:val="20"/>
              </w:rPr>
              <w:t>2025-05-28 · Trade court rejects challenged IEEPA tariffs</w:t>
            </w:r>
          </w:p>
        </w:tc>
        <w:tc>
          <w:tcPr>
            <w:tcW w:type="dxa" w:w="6530"/>
            <w:vAlign w:val="center"/>
            <w:tcMar>
              <w:top w:w="80" w:type="dxa"/>
              <w:bottom w:w="80" w:type="dxa"/>
              <w:left w:w="100" w:type="dxa"/>
              <w:right w:w="100" w:type="dxa"/>
            </w:tcMar>
            <w:shd w:fill="FFFFFF"/>
          </w:tcPr>
          <w:p>
            <w:pPr>
              <w:keepNext w:val="0"/>
              <w:spacing w:after="0" w:before="0" w:line="252" w:lineRule="auto"/>
            </w:pPr>
            <w:r>
              <w:rPr>
                <w:b w:val="0"/>
                <w:i w:val="0"/>
                <w:sz w:val="20"/>
              </w:rPr>
              <w:t xml:space="preserve">The Court of International Trade rules against the challenged IEEPA tariffs and orders relief. Subsequent appellate stays and rulings are separate events below. The following stay kept the challenged duties operating; this was not the final Supreme Court outcome. </w:t>
            </w:r>
            <w:hyperlink r:id="rId200">
              <w:r>
                <w:rPr>
                  <w:color w:val="235779"/>
                  <w:u w:val="single"/>
                </w:rPr>
                <w:t>Source 1</w:t>
              </w:r>
            </w:hyperlink>
          </w:p>
        </w:tc>
      </w:tr>
      <w:tr>
        <w:trPr>
          <w:cantSplit/>
        </w:trPr>
        <w:tc>
          <w:tcPr>
            <w:tcW w:type="dxa" w:w="3216"/>
            <w:vAlign w:val="center"/>
            <w:tcMar>
              <w:top w:w="80" w:type="dxa"/>
              <w:bottom w:w="80" w:type="dxa"/>
              <w:left w:w="100" w:type="dxa"/>
              <w:right w:w="100" w:type="dxa"/>
            </w:tcMar>
            <w:shd w:fill="F4F7F8"/>
          </w:tcPr>
          <w:p>
            <w:pPr>
              <w:keepNext w:val="0"/>
              <w:spacing w:after="0" w:before="0" w:line="252" w:lineRule="auto"/>
            </w:pPr>
            <w:r>
              <w:rPr>
                <w:b w:val="0"/>
                <w:i w:val="0"/>
                <w:sz w:val="20"/>
              </w:rPr>
              <w:t>2025-05-29 · Appeal stay preserves duties during litigation</w:t>
            </w:r>
          </w:p>
        </w:tc>
        <w:tc>
          <w:tcPr>
            <w:tcW w:type="dxa" w:w="6530"/>
            <w:vAlign w:val="center"/>
            <w:tcMar>
              <w:top w:w="80" w:type="dxa"/>
              <w:bottom w:w="80" w:type="dxa"/>
              <w:left w:w="100" w:type="dxa"/>
              <w:right w:w="100" w:type="dxa"/>
            </w:tcMar>
            <w:shd w:fill="F4F7F8"/>
          </w:tcPr>
          <w:p>
            <w:pPr>
              <w:keepNext w:val="0"/>
              <w:spacing w:after="0" w:before="0" w:line="252" w:lineRule="auto"/>
            </w:pPr>
            <w:r>
              <w:rPr>
                <w:b w:val="0"/>
                <w:i w:val="0"/>
                <w:sz w:val="20"/>
              </w:rPr>
              <w:t xml:space="preserve">The Federal Circuit stayed the trade-court injunction pending appeal. </w:t>
            </w:r>
            <w:hyperlink r:id="rId200">
              <w:r>
                <w:rPr>
                  <w:color w:val="235779"/>
                  <w:u w:val="single"/>
                </w:rPr>
                <w:t>Source 1</w:t>
              </w:r>
            </w:hyperlink>
          </w:p>
        </w:tc>
      </w:tr>
      <w:tr>
        <w:trPr>
          <w:cantSplit/>
        </w:trPr>
        <w:tc>
          <w:tcPr>
            <w:tcW w:type="dxa" w:w="3216"/>
            <w:vAlign w:val="center"/>
            <w:tcMar>
              <w:top w:w="80" w:type="dxa"/>
              <w:bottom w:w="80" w:type="dxa"/>
              <w:left w:w="100" w:type="dxa"/>
              <w:right w:w="100" w:type="dxa"/>
            </w:tcMar>
            <w:shd w:fill="FFFFFF"/>
          </w:tcPr>
          <w:p>
            <w:pPr>
              <w:keepNext w:val="0"/>
              <w:spacing w:after="0" w:before="0" w:line="252" w:lineRule="auto"/>
            </w:pPr>
            <w:r>
              <w:rPr>
                <w:b w:val="0"/>
                <w:i w:val="0"/>
                <w:sz w:val="20"/>
              </w:rPr>
              <w:t>2025-07-31 · Canada non-USMCA rate rises to 35%</w:t>
            </w:r>
          </w:p>
        </w:tc>
        <w:tc>
          <w:tcPr>
            <w:tcW w:type="dxa" w:w="6530"/>
            <w:vAlign w:val="center"/>
            <w:tcMar>
              <w:top w:w="80" w:type="dxa"/>
              <w:bottom w:w="80" w:type="dxa"/>
              <w:left w:w="100" w:type="dxa"/>
              <w:right w:w="100" w:type="dxa"/>
            </w:tcMar>
            <w:shd w:fill="FFFFFF"/>
          </w:tcPr>
          <w:p>
            <w:pPr>
              <w:keepNext w:val="0"/>
              <w:spacing w:after="0" w:before="0" w:line="252" w:lineRule="auto"/>
            </w:pPr>
            <w:r>
              <w:rPr>
                <w:b w:val="0"/>
                <w:i w:val="0"/>
                <w:sz w:val="20"/>
              </w:rPr>
              <w:t xml:space="preserve">Canada non-USMCA country duty rises 25% to 35%; USMCA relief unchanged. No isolated EFP measure verified. Effective: 2025-08-01 00:01 EDT. Legal event. </w:t>
            </w:r>
            <w:hyperlink r:id="rId201">
              <w:r>
                <w:rPr>
                  <w:color w:val="235779"/>
                  <w:u w:val="single"/>
                </w:rPr>
                <w:t>Source 1</w:t>
              </w:r>
            </w:hyperlink>
          </w:p>
        </w:tc>
      </w:tr>
      <w:tr>
        <w:trPr>
          <w:cantSplit/>
        </w:trPr>
        <w:tc>
          <w:tcPr>
            <w:tcW w:type="dxa" w:w="3216"/>
            <w:vAlign w:val="center"/>
            <w:tcMar>
              <w:top w:w="80" w:type="dxa"/>
              <w:bottom w:w="80" w:type="dxa"/>
              <w:left w:w="100" w:type="dxa"/>
              <w:right w:w="100" w:type="dxa"/>
            </w:tcMar>
            <w:shd w:fill="F4F7F8"/>
          </w:tcPr>
          <w:p>
            <w:pPr>
              <w:keepNext w:val="0"/>
              <w:spacing w:after="0" w:before="0" w:line="252" w:lineRule="auto"/>
            </w:pPr>
            <w:r>
              <w:rPr>
                <w:b w:val="0"/>
                <w:i w:val="0"/>
                <w:sz w:val="20"/>
              </w:rPr>
              <w:t>2025-07-31 · CBP classifies specified gold bars</w:t>
            </w:r>
          </w:p>
        </w:tc>
        <w:tc>
          <w:tcPr>
            <w:tcW w:type="dxa" w:w="6530"/>
            <w:vAlign w:val="center"/>
            <w:tcMar>
              <w:top w:w="80" w:type="dxa"/>
              <w:bottom w:w="80" w:type="dxa"/>
              <w:left w:w="100" w:type="dxa"/>
              <w:right w:w="100" w:type="dxa"/>
            </w:tcMar>
            <w:shd w:fill="F4F7F8"/>
          </w:tcPr>
          <w:p>
            <w:pPr>
              <w:keepNext w:val="0"/>
              <w:spacing w:after="0" w:before="0" w:line="252" w:lineRule="auto"/>
            </w:pPr>
            <w:r>
              <w:rPr>
                <w:b w:val="0"/>
                <w:i w:val="0"/>
                <w:sz w:val="20"/>
              </w:rPr>
              <w:t xml:space="preserve">Ruling N351466 assigns described Swiss cast and marked kilo/100 oz bars to 7108.13.5500, outside the then reciprocal exclusion. The ruling states the prevailing 10% extra duty at issuance. Effective: 2025-07-31 ruling issued. Fact-specific ruling; not all gold. The ruling date is distinct from August market headlines and the later Swiss 39% rate. </w:t>
            </w:r>
            <w:hyperlink r:id="rId154">
              <w:r>
                <w:rPr>
                  <w:color w:val="235779"/>
                  <w:u w:val="single"/>
                </w:rPr>
                <w:t>Source 1</w:t>
              </w:r>
            </w:hyperlink>
          </w:p>
        </w:tc>
      </w:tr>
      <w:tr>
        <w:trPr>
          <w:cantSplit/>
        </w:trPr>
        <w:tc>
          <w:tcPr>
            <w:tcW w:type="dxa" w:w="3216"/>
            <w:vAlign w:val="center"/>
            <w:tcMar>
              <w:top w:w="80" w:type="dxa"/>
              <w:bottom w:w="80" w:type="dxa"/>
              <w:left w:w="100" w:type="dxa"/>
              <w:right w:w="100" w:type="dxa"/>
            </w:tcMar>
            <w:shd w:fill="FFFFFF"/>
          </w:tcPr>
          <w:p>
            <w:pPr>
              <w:keepNext w:val="0"/>
              <w:spacing w:after="0" w:before="0" w:line="252" w:lineRule="auto"/>
            </w:pPr>
            <w:r>
              <w:rPr>
                <w:b w:val="0"/>
                <w:i w:val="0"/>
                <w:sz w:val="20"/>
              </w:rPr>
              <w:t>2025-07-31 · Swiss 39% rate announced</w:t>
            </w:r>
          </w:p>
        </w:tc>
        <w:tc>
          <w:tcPr>
            <w:tcW w:type="dxa" w:w="6530"/>
            <w:vAlign w:val="center"/>
            <w:tcMar>
              <w:top w:w="80" w:type="dxa"/>
              <w:bottom w:w="80" w:type="dxa"/>
              <w:left w:w="100" w:type="dxa"/>
              <w:right w:w="100" w:type="dxa"/>
            </w:tcMar>
            <w:shd w:fill="FFFFFF"/>
          </w:tcPr>
          <w:p>
            <w:pPr>
              <w:keepNext w:val="0"/>
              <w:spacing w:after="0" w:before="0" w:line="252" w:lineRule="auto"/>
            </w:pPr>
            <w:r>
              <w:rPr>
                <w:b w:val="0"/>
                <w:i w:val="0"/>
                <w:sz w:val="20"/>
              </w:rPr>
              <w:t xml:space="preserve">The country-rate order schedules 39% reciprocal duty for non-exempt Swiss goods from 7 August, with transition rules. Specified gold-bar classifications were then outside Annex II. Effective: 2025-08-07T00:01:00-04:00. Not a 39% tax on all gold or all origins; form, origin, entry date and exclusions govern. </w:t>
            </w:r>
            <w:hyperlink r:id="rId202">
              <w:r>
                <w:rPr>
                  <w:color w:val="235779"/>
                  <w:u w:val="single"/>
                </w:rPr>
                <w:t>Source 1</w:t>
              </w:r>
            </w:hyperlink>
            <w:r>
              <w:rPr>
                <w:b w:val="0"/>
                <w:i w:val="0"/>
                <w:sz w:val="20"/>
              </w:rPr>
              <w:t xml:space="preserve"> · </w:t>
            </w:r>
            <w:hyperlink r:id="rId203">
              <w:r>
                <w:rPr>
                  <w:color w:val="235779"/>
                  <w:u w:val="single"/>
                </w:rPr>
                <w:t>Source 2</w:t>
              </w:r>
            </w:hyperlink>
            <w:r>
              <w:rPr>
                <w:b w:val="0"/>
                <w:i w:val="0"/>
                <w:sz w:val="20"/>
              </w:rPr>
              <w:t xml:space="preserve"> · </w:t>
            </w:r>
            <w:hyperlink r:id="rId204">
              <w:r>
                <w:rPr>
                  <w:color w:val="235779"/>
                  <w:u w:val="single"/>
                </w:rPr>
                <w:t>Source 3</w:t>
              </w:r>
            </w:hyperlink>
            <w:r>
              <w:rPr>
                <w:b w:val="0"/>
                <w:i w:val="0"/>
                <w:sz w:val="20"/>
              </w:rPr>
              <w:t xml:space="preserve"> · </w:t>
            </w:r>
            <w:hyperlink r:id="rId205">
              <w:r>
                <w:rPr>
                  <w:color w:val="235779"/>
                  <w:u w:val="single"/>
                </w:rPr>
                <w:t>Source 4</w:t>
              </w:r>
            </w:hyperlink>
          </w:p>
        </w:tc>
      </w:tr>
      <w:tr>
        <w:trPr>
          <w:cantSplit/>
        </w:trPr>
        <w:tc>
          <w:tcPr>
            <w:tcW w:type="dxa" w:w="3216"/>
            <w:vAlign w:val="center"/>
            <w:tcMar>
              <w:top w:w="80" w:type="dxa"/>
              <w:bottom w:w="80" w:type="dxa"/>
              <w:left w:w="100" w:type="dxa"/>
              <w:right w:w="100" w:type="dxa"/>
            </w:tcMar>
            <w:shd w:fill="F4F7F8"/>
          </w:tcPr>
          <w:p>
            <w:pPr>
              <w:keepNext w:val="0"/>
              <w:spacing w:after="0" w:before="0" w:line="252" w:lineRule="auto"/>
            </w:pPr>
            <w:r>
              <w:rPr>
                <w:b w:val="0"/>
                <w:i w:val="0"/>
                <w:sz w:val="20"/>
              </w:rPr>
              <w:t>2025-08-08 · Gold-bar tariff disruption reported</w:t>
            </w:r>
          </w:p>
        </w:tc>
        <w:tc>
          <w:tcPr>
            <w:tcW w:type="dxa" w:w="6530"/>
            <w:vAlign w:val="center"/>
            <w:tcMar>
              <w:top w:w="80" w:type="dxa"/>
              <w:bottom w:w="80" w:type="dxa"/>
              <w:left w:w="100" w:type="dxa"/>
              <w:right w:w="100" w:type="dxa"/>
            </w:tcMar>
            <w:shd w:fill="F4F7F8"/>
          </w:tcPr>
          <w:p>
            <w:pPr>
              <w:keepNext w:val="0"/>
              <w:spacing w:after="0" w:before="0" w:line="252" w:lineRule="auto"/>
            </w:pPr>
            <w:r>
              <w:rPr>
                <w:b w:val="0"/>
                <w:i w:val="0"/>
                <w:sz w:val="20"/>
              </w:rPr>
              <w:t xml:space="preserve">The Swiss precious-metals association publicly raises concerns over the kilo/100 oz classification and higher Swiss rate. Saxo contemporaneously reports December futures minus London spot over $100/oz. 8 August is a verified industry/market publication date, not proof of first public awareness. Classification ruling 31 July; higher Swiss rate 7 August. Over $100 is a lower bound, not a close. </w:t>
            </w:r>
            <w:hyperlink r:id="rId204">
              <w:r>
                <w:rPr>
                  <w:color w:val="235779"/>
                  <w:u w:val="single"/>
                </w:rPr>
                <w:t>Source 1</w:t>
              </w:r>
            </w:hyperlink>
            <w:r>
              <w:rPr>
                <w:b w:val="0"/>
                <w:i w:val="0"/>
                <w:sz w:val="20"/>
              </w:rPr>
              <w:t xml:space="preserve"> · </w:t>
            </w:r>
            <w:hyperlink r:id="rId205">
              <w:r>
                <w:rPr>
                  <w:color w:val="235779"/>
                  <w:u w:val="single"/>
                </w:rPr>
                <w:t>Source 2</w:t>
              </w:r>
            </w:hyperlink>
          </w:p>
        </w:tc>
      </w:tr>
      <w:tr>
        <w:trPr>
          <w:cantSplit/>
        </w:trPr>
        <w:tc>
          <w:tcPr>
            <w:tcW w:type="dxa" w:w="3216"/>
            <w:vAlign w:val="center"/>
            <w:tcMar>
              <w:top w:w="80" w:type="dxa"/>
              <w:bottom w:w="80" w:type="dxa"/>
              <w:left w:w="100" w:type="dxa"/>
              <w:right w:w="100" w:type="dxa"/>
            </w:tcMar>
            <w:shd w:fill="FFFFFF"/>
          </w:tcPr>
          <w:p>
            <w:pPr>
              <w:keepNext w:val="0"/>
              <w:spacing w:after="0" w:before="0" w:line="252" w:lineRule="auto"/>
            </w:pPr>
            <w:r>
              <w:rPr>
                <w:b w:val="0"/>
                <w:i w:val="0"/>
                <w:sz w:val="20"/>
              </w:rPr>
              <w:t>2025-08-11 · Trump says gold will not face tariffs</w:t>
            </w:r>
          </w:p>
        </w:tc>
        <w:tc>
          <w:tcPr>
            <w:tcW w:type="dxa" w:w="6530"/>
            <w:vAlign w:val="center"/>
            <w:tcMar>
              <w:top w:w="80" w:type="dxa"/>
              <w:bottom w:w="80" w:type="dxa"/>
              <w:left w:w="100" w:type="dxa"/>
              <w:right w:w="100" w:type="dxa"/>
            </w:tcMar>
            <w:shd w:fill="FFFFFF"/>
          </w:tcPr>
          <w:p>
            <w:pPr>
              <w:keepNext w:val="0"/>
              <w:spacing w:after="0" w:before="0" w:line="252" w:lineRule="auto"/>
            </w:pPr>
            <w:r>
              <w:rPr>
                <w:b w:val="0"/>
                <w:i w:val="0"/>
                <w:sz w:val="20"/>
              </w:rPr>
              <w:t xml:space="preserve">Reuters reports the President ruled out gold tariffs, easing the gold-bar uncertainty. This political statement preceded September formal code relief. Event Monday 11 August; Reuters article was updated 12 August. Not itself a customs exemption amendment. </w:t>
            </w:r>
            <w:hyperlink r:id="rId206">
              <w:r>
                <w:rPr>
                  <w:color w:val="235779"/>
                  <w:u w:val="single"/>
                </w:rPr>
                <w:t>Source 1</w:t>
              </w:r>
            </w:hyperlink>
          </w:p>
        </w:tc>
      </w:tr>
      <w:tr>
        <w:trPr>
          <w:cantSplit/>
        </w:trPr>
        <w:tc>
          <w:tcPr>
            <w:tcW w:type="dxa" w:w="3216"/>
            <w:vAlign w:val="center"/>
            <w:tcMar>
              <w:top w:w="80" w:type="dxa"/>
              <w:bottom w:w="80" w:type="dxa"/>
              <w:left w:w="100" w:type="dxa"/>
              <w:right w:w="100" w:type="dxa"/>
            </w:tcMar>
            <w:shd w:fill="F4F7F8"/>
          </w:tcPr>
          <w:p>
            <w:pPr>
              <w:keepNext w:val="0"/>
              <w:spacing w:after="0" w:before="0" w:line="252" w:lineRule="auto"/>
            </w:pPr>
            <w:r>
              <w:rPr>
                <w:b w:val="0"/>
                <w:i w:val="0"/>
                <w:sz w:val="20"/>
              </w:rPr>
              <w:t>2025-08-19 · Russian unwrought palladium investigation begins</w:t>
            </w:r>
          </w:p>
        </w:tc>
        <w:tc>
          <w:tcPr>
            <w:tcW w:type="dxa" w:w="6530"/>
            <w:vAlign w:val="center"/>
            <w:tcMar>
              <w:top w:w="80" w:type="dxa"/>
              <w:bottom w:w="80" w:type="dxa"/>
              <w:left w:w="100" w:type="dxa"/>
              <w:right w:w="100" w:type="dxa"/>
            </w:tcMar>
            <w:shd w:fill="F4F7F8"/>
          </w:tcPr>
          <w:p>
            <w:pPr>
              <w:keepNext w:val="0"/>
              <w:spacing w:after="0" w:before="0" w:line="252" w:lineRule="auto"/>
            </w:pPr>
            <w:r>
              <w:rPr>
                <w:b w:val="0"/>
                <w:i w:val="0"/>
                <w:sz w:val="20"/>
              </w:rPr>
              <w:t xml:space="preserve">Commerce initiates the antidumping investigation, applicable 19 August and published 22 August; the parallel subsidy case follows its own procedure. Effective: 2025-08-19. Initiation is not a final duty order. The case ended without AD/CVD orders after the May 2026 negative injury decision. </w:t>
            </w:r>
            <w:hyperlink r:id="rId207">
              <w:r>
                <w:rPr>
                  <w:color w:val="235779"/>
                  <w:u w:val="single"/>
                </w:rPr>
                <w:t>Source 1</w:t>
              </w:r>
            </w:hyperlink>
          </w:p>
        </w:tc>
      </w:tr>
      <w:tr>
        <w:trPr>
          <w:cantSplit/>
        </w:trPr>
        <w:tc>
          <w:tcPr>
            <w:tcW w:type="dxa" w:w="3216"/>
            <w:vAlign w:val="center"/>
            <w:tcMar>
              <w:top w:w="80" w:type="dxa"/>
              <w:bottom w:w="80" w:type="dxa"/>
              <w:left w:w="100" w:type="dxa"/>
              <w:right w:w="100" w:type="dxa"/>
            </w:tcMar>
            <w:shd w:fill="FFFFFF"/>
          </w:tcPr>
          <w:p>
            <w:pPr>
              <w:keepNext w:val="0"/>
              <w:spacing w:after="0" w:before="0" w:line="252" w:lineRule="auto"/>
            </w:pPr>
            <w:r>
              <w:rPr>
                <w:b w:val="0"/>
                <w:i w:val="0"/>
                <w:sz w:val="20"/>
              </w:rPr>
              <w:t>2025-08-26 · Draft critical-minerals list proposes adding silver</w:t>
            </w:r>
          </w:p>
        </w:tc>
        <w:tc>
          <w:tcPr>
            <w:tcW w:type="dxa" w:w="6530"/>
            <w:vAlign w:val="center"/>
            <w:tcMar>
              <w:top w:w="80" w:type="dxa"/>
              <w:bottom w:w="80" w:type="dxa"/>
              <w:left w:w="100" w:type="dxa"/>
              <w:right w:w="100" w:type="dxa"/>
            </w:tcMar>
            <w:shd w:fill="FFFFFF"/>
          </w:tcPr>
          <w:p>
            <w:pPr>
              <w:keepNext w:val="0"/>
              <w:spacing w:after="0" w:before="0" w:line="252" w:lineRule="auto"/>
            </w:pPr>
            <w:r>
              <w:rPr>
                <w:b w:val="0"/>
                <w:i w:val="0"/>
                <w:sz w:val="20"/>
              </w:rPr>
              <w:t xml:space="preserve">USGS publishes the draft-list announcement recommending silver among additions. This widened the policy discussion but did not impose a tariff. The DOI announcement was dated 25 August; the linked USGS publication and Federal Register consultation are dated 26 August. </w:t>
            </w:r>
            <w:hyperlink r:id="rId208">
              <w:r>
                <w:rPr>
                  <w:color w:val="235779"/>
                  <w:u w:val="single"/>
                </w:rPr>
                <w:t>Source 1</w:t>
              </w:r>
            </w:hyperlink>
          </w:p>
        </w:tc>
      </w:tr>
      <w:tr>
        <w:trPr>
          <w:cantSplit/>
        </w:trPr>
        <w:tc>
          <w:tcPr>
            <w:tcW w:type="dxa" w:w="3216"/>
            <w:vAlign w:val="center"/>
            <w:tcMar>
              <w:top w:w="80" w:type="dxa"/>
              <w:bottom w:w="80" w:type="dxa"/>
              <w:left w:w="100" w:type="dxa"/>
              <w:right w:w="100" w:type="dxa"/>
            </w:tcMar>
            <w:shd w:fill="F4F7F8"/>
          </w:tcPr>
          <w:p>
            <w:pPr>
              <w:keepNext w:val="0"/>
              <w:spacing w:after="0" w:before="0" w:line="252" w:lineRule="auto"/>
            </w:pPr>
            <w:r>
              <w:rPr>
                <w:b w:val="0"/>
                <w:i w:val="0"/>
                <w:sz w:val="20"/>
              </w:rPr>
              <w:t>2025-08-27 · Citi: silver and palladium premiums underprice tariff risk</w:t>
            </w:r>
          </w:p>
        </w:tc>
        <w:tc>
          <w:tcPr>
            <w:tcW w:type="dxa" w:w="6530"/>
            <w:vAlign w:val="center"/>
            <w:tcMar>
              <w:top w:w="80" w:type="dxa"/>
              <w:bottom w:w="80" w:type="dxa"/>
              <w:left w:w="100" w:type="dxa"/>
              <w:right w:w="100" w:type="dxa"/>
            </w:tcMar>
            <w:shd w:fill="F4F7F8"/>
          </w:tcPr>
          <w:p>
            <w:pPr>
              <w:keepNext w:val="0"/>
              <w:spacing w:after="0" w:before="0" w:line="252" w:lineRule="auto"/>
            </w:pPr>
            <w:r>
              <w:rPr>
                <w:b w:val="0"/>
                <w:i w:val="0"/>
                <w:sz w:val="20"/>
              </w:rPr>
              <w:t xml:space="preserve">Original reporting by Jack Ryan, republished by MINING.COM, attributes to Citi a view that US silver and palladium premiums of 2-3% underpriced possible tariffs. This is a dated analyst opinion. Not an enacted rate, current Citi view or a same-time matched forward EFP quotation. </w:t>
            </w:r>
            <w:hyperlink r:id="rId209">
              <w:r>
                <w:rPr>
                  <w:color w:val="235779"/>
                  <w:u w:val="single"/>
                </w:rPr>
                <w:t>Source 1</w:t>
              </w:r>
            </w:hyperlink>
          </w:p>
        </w:tc>
      </w:tr>
      <w:tr>
        <w:trPr>
          <w:cantSplit/>
        </w:trPr>
        <w:tc>
          <w:tcPr>
            <w:tcW w:type="dxa" w:w="3216"/>
            <w:vAlign w:val="center"/>
            <w:tcMar>
              <w:top w:w="80" w:type="dxa"/>
              <w:bottom w:w="80" w:type="dxa"/>
              <w:left w:w="100" w:type="dxa"/>
              <w:right w:w="100" w:type="dxa"/>
            </w:tcMar>
            <w:shd w:fill="FFFFFF"/>
          </w:tcPr>
          <w:p>
            <w:pPr>
              <w:keepNext w:val="0"/>
              <w:spacing w:after="0" w:before="0" w:line="252" w:lineRule="auto"/>
            </w:pPr>
            <w:r>
              <w:rPr>
                <w:b w:val="0"/>
                <w:i w:val="0"/>
                <w:sz w:val="20"/>
              </w:rPr>
              <w:t>2025-08-29 · Appeals court upholds challenge to tariff authority</w:t>
            </w:r>
          </w:p>
        </w:tc>
        <w:tc>
          <w:tcPr>
            <w:tcW w:type="dxa" w:w="6530"/>
            <w:vAlign w:val="center"/>
            <w:tcMar>
              <w:top w:w="80" w:type="dxa"/>
              <w:bottom w:w="80" w:type="dxa"/>
              <w:left w:w="100" w:type="dxa"/>
              <w:right w:w="100" w:type="dxa"/>
            </w:tcMar>
            <w:shd w:fill="FFFFFF"/>
          </w:tcPr>
          <w:p>
            <w:pPr>
              <w:keepNext w:val="0"/>
              <w:spacing w:after="0" w:before="0" w:line="252" w:lineRule="auto"/>
            </w:pPr>
            <w:r>
              <w:rPr>
                <w:b w:val="0"/>
                <w:i w:val="0"/>
                <w:sz w:val="20"/>
              </w:rPr>
              <w:t xml:space="preserve">The Federal Circuit majority upheld the conclusion that the challenged tariff scope exceeded IEEPA authority. Duties were not immediately extinguished. </w:t>
            </w:r>
            <w:hyperlink r:id="rId200">
              <w:r>
                <w:rPr>
                  <w:color w:val="235779"/>
                  <w:u w:val="single"/>
                </w:rPr>
                <w:t>Source 1</w:t>
              </w:r>
            </w:hyperlink>
          </w:p>
        </w:tc>
      </w:tr>
      <w:tr>
        <w:trPr>
          <w:cantSplit/>
        </w:trPr>
        <w:tc>
          <w:tcPr>
            <w:tcW w:type="dxa" w:w="3216"/>
            <w:vAlign w:val="center"/>
            <w:tcMar>
              <w:top w:w="80" w:type="dxa"/>
              <w:bottom w:w="80" w:type="dxa"/>
              <w:left w:w="100" w:type="dxa"/>
              <w:right w:w="100" w:type="dxa"/>
            </w:tcMar>
            <w:shd w:fill="F4F7F8"/>
          </w:tcPr>
          <w:p>
            <w:pPr>
              <w:keepNext w:val="0"/>
              <w:spacing w:after="0" w:before="0" w:line="252" w:lineRule="auto"/>
            </w:pPr>
            <w:r>
              <w:rPr>
                <w:b w:val="0"/>
                <w:i w:val="0"/>
                <w:sz w:val="20"/>
              </w:rPr>
              <w:t>2025-09-05 · Formal gold-code relief signed</w:t>
            </w:r>
          </w:p>
        </w:tc>
        <w:tc>
          <w:tcPr>
            <w:tcW w:type="dxa" w:w="6530"/>
            <w:vAlign w:val="center"/>
            <w:tcMar>
              <w:top w:w="80" w:type="dxa"/>
              <w:bottom w:w="80" w:type="dxa"/>
              <w:left w:w="100" w:type="dxa"/>
              <w:right w:w="100" w:type="dxa"/>
            </w:tcMar>
            <w:shd w:fill="F4F7F8"/>
          </w:tcPr>
          <w:p>
            <w:pPr>
              <w:keepNext w:val="0"/>
              <w:spacing w:after="0" w:before="0" w:line="252" w:lineRule="auto"/>
            </w:pPr>
            <w:r>
              <w:rPr>
                <w:b w:val="0"/>
                <w:i w:val="0"/>
                <w:sz w:val="20"/>
              </w:rPr>
              <w:t xml:space="preserve">EO 14346 expands reciprocal exclusions to further gold codes, including 7108.13.55, effective 8 September. This is the formal relief following August uncertainty. Effective: 2025-09-08T00:01:00-04:00. Does not prove the classification ruling was revoked or establish retroactive refunds. August reassurance is not substituted for this formal effective date. </w:t>
            </w:r>
            <w:hyperlink r:id="rId210">
              <w:r>
                <w:rPr>
                  <w:color w:val="235779"/>
                  <w:u w:val="single"/>
                </w:rPr>
                <w:t>Source 1</w:t>
              </w:r>
            </w:hyperlink>
            <w:r>
              <w:rPr>
                <w:b w:val="0"/>
                <w:i w:val="0"/>
                <w:sz w:val="20"/>
              </w:rPr>
              <w:t xml:space="preserve"> · </w:t>
            </w:r>
            <w:hyperlink r:id="rId211">
              <w:r>
                <w:rPr>
                  <w:color w:val="235779"/>
                  <w:u w:val="single"/>
                </w:rPr>
                <w:t>Source 2</w:t>
              </w:r>
            </w:hyperlink>
            <w:r>
              <w:rPr>
                <w:b w:val="0"/>
                <w:i w:val="0"/>
                <w:sz w:val="20"/>
              </w:rPr>
              <w:t xml:space="preserve"> · </w:t>
            </w:r>
            <w:hyperlink r:id="rId212">
              <w:r>
                <w:rPr>
                  <w:color w:val="235779"/>
                  <w:u w:val="single"/>
                </w:rPr>
                <w:t>Source 3</w:t>
              </w:r>
            </w:hyperlink>
          </w:p>
        </w:tc>
      </w:tr>
      <w:tr>
        <w:trPr>
          <w:cantSplit/>
        </w:trPr>
        <w:tc>
          <w:tcPr>
            <w:tcW w:type="dxa" w:w="3216"/>
            <w:vAlign w:val="center"/>
            <w:tcMar>
              <w:top w:w="80" w:type="dxa"/>
              <w:bottom w:w="80" w:type="dxa"/>
              <w:left w:w="100" w:type="dxa"/>
              <w:right w:w="100" w:type="dxa"/>
            </w:tcMar>
            <w:shd w:fill="FFFFFF"/>
          </w:tcPr>
          <w:p>
            <w:pPr>
              <w:keepNext w:val="0"/>
              <w:spacing w:after="0" w:before="0" w:line="252" w:lineRule="auto"/>
            </w:pPr>
            <w:r>
              <w:rPr>
                <w:b w:val="0"/>
                <w:i w:val="0"/>
                <w:sz w:val="20"/>
              </w:rPr>
              <w:t>2025-10-06 · London silver borrowing tightens</w:t>
            </w:r>
          </w:p>
        </w:tc>
        <w:tc>
          <w:tcPr>
            <w:tcW w:type="dxa" w:w="6530"/>
            <w:vAlign w:val="center"/>
            <w:tcMar>
              <w:top w:w="80" w:type="dxa"/>
              <w:bottom w:w="80" w:type="dxa"/>
              <w:left w:w="100" w:type="dxa"/>
              <w:right w:w="100" w:type="dxa"/>
            </w:tcMar>
            <w:shd w:fill="FFFFFF"/>
          </w:tcPr>
          <w:p>
            <w:pPr>
              <w:keepNext w:val="0"/>
              <w:spacing w:after="0" w:before="0" w:line="252" w:lineRule="auto"/>
            </w:pPr>
            <w:r>
              <w:rPr>
                <w:b w:val="0"/>
                <w:i w:val="0"/>
                <w:sz w:val="20"/>
              </w:rPr>
              <w:t xml:space="preserve">Robert Gottlieb reports London silver borrowing pressure, three-month lease rates over 6%, and negative December-futures-minus-spot EFP. India and other demand are discussed alongside possible future tariff risk. Not a new tariff enactment and not wholly independent of earlier tariff positioning. Source-price dates are distinct from the 2026 retrospective report publication; no causal isolation claimed. </w:t>
            </w:r>
            <w:hyperlink r:id="rId147">
              <w:r>
                <w:rPr>
                  <w:color w:val="235779"/>
                  <w:u w:val="single"/>
                </w:rPr>
                <w:t>Source 1</w:t>
              </w:r>
            </w:hyperlink>
            <w:r>
              <w:rPr>
                <w:b w:val="0"/>
                <w:i w:val="0"/>
                <w:sz w:val="20"/>
              </w:rPr>
              <w:t xml:space="preserve"> · </w:t>
            </w:r>
            <w:hyperlink r:id="rId213">
              <w:r>
                <w:rPr>
                  <w:color w:val="235779"/>
                  <w:u w:val="single"/>
                </w:rPr>
                <w:t>Source 2</w:t>
              </w:r>
            </w:hyperlink>
          </w:p>
        </w:tc>
      </w:tr>
      <w:tr>
        <w:trPr>
          <w:cantSplit/>
        </w:trPr>
        <w:tc>
          <w:tcPr>
            <w:tcW w:type="dxa" w:w="3216"/>
            <w:vAlign w:val="center"/>
            <w:tcMar>
              <w:top w:w="80" w:type="dxa"/>
              <w:bottom w:w="80" w:type="dxa"/>
              <w:left w:w="100" w:type="dxa"/>
              <w:right w:w="100" w:type="dxa"/>
            </w:tcMar>
            <w:shd w:fill="F4F7F8"/>
          </w:tcPr>
          <w:p>
            <w:pPr>
              <w:keepNext w:val="0"/>
              <w:spacing w:after="0" w:before="0" w:line="252" w:lineRule="auto"/>
            </w:pPr>
            <w:r>
              <w:rPr>
                <w:b w:val="0"/>
                <w:i w:val="0"/>
                <w:sz w:val="20"/>
              </w:rPr>
              <w:t>2025-11-04 · China fentanyl duty reduced</w:t>
            </w:r>
          </w:p>
        </w:tc>
        <w:tc>
          <w:tcPr>
            <w:tcW w:type="dxa" w:w="6530"/>
            <w:vAlign w:val="center"/>
            <w:tcMar>
              <w:top w:w="80" w:type="dxa"/>
              <w:bottom w:w="80" w:type="dxa"/>
              <w:left w:w="100" w:type="dxa"/>
              <w:right w:w="100" w:type="dxa"/>
            </w:tcMar>
            <w:shd w:fill="F4F7F8"/>
          </w:tcPr>
          <w:p>
            <w:pPr>
              <w:keepNext w:val="0"/>
              <w:spacing w:after="0" w:before="0" w:line="252" w:lineRule="auto"/>
            </w:pPr>
            <w:r>
              <w:rPr>
                <w:b w:val="0"/>
                <w:i w:val="0"/>
                <w:sz w:val="20"/>
              </w:rPr>
              <w:t xml:space="preserve">The additional China fentanyl duty is cut from 20% to 10%, effective 10 November. Effective: 2025-11-10T00:01:00-05:00. Separate measure from reciprocal bullion exclusions and legacy Section 301; not an all-in China duty quote. </w:t>
            </w:r>
            <w:hyperlink r:id="rId214">
              <w:r>
                <w:rPr>
                  <w:color w:val="235779"/>
                  <w:u w:val="single"/>
                </w:rPr>
                <w:t>Source 1</w:t>
              </w:r>
            </w:hyperlink>
          </w:p>
        </w:tc>
      </w:tr>
      <w:tr>
        <w:trPr>
          <w:cantSplit/>
        </w:trPr>
        <w:tc>
          <w:tcPr>
            <w:tcW w:type="dxa" w:w="3216"/>
            <w:vAlign w:val="center"/>
            <w:tcMar>
              <w:top w:w="80" w:type="dxa"/>
              <w:bottom w:w="80" w:type="dxa"/>
              <w:left w:w="100" w:type="dxa"/>
              <w:right w:w="100" w:type="dxa"/>
            </w:tcMar>
            <w:shd w:fill="FFFFFF"/>
          </w:tcPr>
          <w:p>
            <w:pPr>
              <w:keepNext w:val="0"/>
              <w:spacing w:after="0" w:before="0" w:line="252" w:lineRule="auto"/>
            </w:pPr>
            <w:r>
              <w:rPr>
                <w:b w:val="0"/>
                <w:i w:val="0"/>
                <w:sz w:val="20"/>
              </w:rPr>
              <w:t>2025-11-06 · Silver joins critical-minerals list</w:t>
            </w:r>
          </w:p>
        </w:tc>
        <w:tc>
          <w:tcPr>
            <w:tcW w:type="dxa" w:w="6530"/>
            <w:vAlign w:val="center"/>
            <w:tcMar>
              <w:top w:w="80" w:type="dxa"/>
              <w:bottom w:w="80" w:type="dxa"/>
              <w:left w:w="100" w:type="dxa"/>
              <w:right w:w="100" w:type="dxa"/>
            </w:tcMar>
            <w:shd w:fill="FFFFFF"/>
          </w:tcPr>
          <w:p>
            <w:pPr>
              <w:keepNext w:val="0"/>
              <w:spacing w:after="0" w:before="0" w:line="252" w:lineRule="auto"/>
            </w:pPr>
            <w:r>
              <w:rPr>
                <w:b w:val="0"/>
                <w:i w:val="0"/>
                <w:sz w:val="20"/>
              </w:rPr>
              <w:t xml:space="preserve">USGS announces the final 2025 critical-minerals list including silver on 6 November; the Federal Register notice is published 7 November. Critical-mineral designation is not itself an import tariff. Date distinction prevents treating November 7 formal publication as a different policy shock. </w:t>
            </w:r>
            <w:hyperlink r:id="rId215">
              <w:r>
                <w:rPr>
                  <w:color w:val="235779"/>
                  <w:u w:val="single"/>
                </w:rPr>
                <w:t>Source 1</w:t>
              </w:r>
            </w:hyperlink>
            <w:r>
              <w:rPr>
                <w:b w:val="0"/>
                <w:i w:val="0"/>
                <w:sz w:val="20"/>
              </w:rPr>
              <w:t xml:space="preserve"> · </w:t>
            </w:r>
            <w:hyperlink r:id="rId216">
              <w:r>
                <w:rPr>
                  <w:color w:val="235779"/>
                  <w:u w:val="single"/>
                </w:rPr>
                <w:t>Source 2</w:t>
              </w:r>
            </w:hyperlink>
          </w:p>
        </w:tc>
      </w:tr>
      <w:tr>
        <w:trPr>
          <w:cantSplit/>
        </w:trPr>
        <w:tc>
          <w:tcPr>
            <w:tcW w:type="dxa" w:w="3216"/>
            <w:vAlign w:val="center"/>
            <w:tcMar>
              <w:top w:w="80" w:type="dxa"/>
              <w:bottom w:w="80" w:type="dxa"/>
              <w:left w:w="100" w:type="dxa"/>
              <w:right w:w="100" w:type="dxa"/>
            </w:tcMar>
            <w:shd w:fill="F4F7F8"/>
          </w:tcPr>
          <w:p>
            <w:pPr>
              <w:keepNext w:val="0"/>
              <w:spacing w:after="0" w:before="0" w:line="252" w:lineRule="auto"/>
            </w:pPr>
            <w:r>
              <w:rPr>
                <w:b w:val="0"/>
                <w:i w:val="0"/>
                <w:sz w:val="20"/>
              </w:rPr>
              <w:t>2026-01-14 · Minerals negotiations directed</w:t>
            </w:r>
          </w:p>
        </w:tc>
        <w:tc>
          <w:tcPr>
            <w:tcW w:type="dxa" w:w="6530"/>
            <w:vAlign w:val="center"/>
            <w:tcMar>
              <w:top w:w="80" w:type="dxa"/>
              <w:bottom w:w="80" w:type="dxa"/>
              <w:left w:w="100" w:type="dxa"/>
              <w:right w:w="100" w:type="dxa"/>
            </w:tcMar>
            <w:shd w:fill="F4F7F8"/>
          </w:tcPr>
          <w:p>
            <w:pPr>
              <w:keepNext w:val="0"/>
              <w:spacing w:after="0" w:before="0" w:line="252" w:lineRule="auto"/>
            </w:pPr>
            <w:r>
              <w:rPr>
                <w:b w:val="0"/>
                <w:i w:val="0"/>
                <w:sz w:val="20"/>
              </w:rPr>
              <w:t xml:space="preserve">The processed critical-minerals proclamation directs negotiations and considers minimum import prices and possible future remedies. Effective: 2026-01-14. No blanket 20% tariff on gold, silver, platinum or palladium is imposed by this action. </w:t>
            </w:r>
            <w:hyperlink r:id="rId217">
              <w:r>
                <w:rPr>
                  <w:color w:val="235779"/>
                  <w:u w:val="single"/>
                </w:rPr>
                <w:t>Source 1</w:t>
              </w:r>
            </w:hyperlink>
          </w:p>
        </w:tc>
      </w:tr>
      <w:tr>
        <w:trPr>
          <w:cantSplit/>
        </w:trPr>
        <w:tc>
          <w:tcPr>
            <w:tcW w:type="dxa" w:w="3216"/>
            <w:vAlign w:val="center"/>
            <w:tcMar>
              <w:top w:w="80" w:type="dxa"/>
              <w:bottom w:w="80" w:type="dxa"/>
              <w:left w:w="100" w:type="dxa"/>
              <w:right w:w="100" w:type="dxa"/>
            </w:tcMar>
            <w:shd w:fill="FFFFFF"/>
          </w:tcPr>
          <w:p>
            <w:pPr>
              <w:keepNext w:val="0"/>
              <w:spacing w:after="0" w:before="0" w:line="252" w:lineRule="auto"/>
            </w:pPr>
            <w:r>
              <w:rPr>
                <w:b w:val="0"/>
                <w:i w:val="0"/>
                <w:sz w:val="20"/>
              </w:rPr>
              <w:t>2026-02-19 · Preliminary Russian palladium dumping determination</w:t>
            </w:r>
          </w:p>
        </w:tc>
        <w:tc>
          <w:tcPr>
            <w:tcW w:type="dxa" w:w="6530"/>
            <w:vAlign w:val="center"/>
            <w:tcMar>
              <w:top w:w="80" w:type="dxa"/>
              <w:bottom w:w="80" w:type="dxa"/>
              <w:left w:w="100" w:type="dxa"/>
              <w:right w:w="100" w:type="dxa"/>
            </w:tcMar>
            <w:shd w:fill="FFFFFF"/>
          </w:tcPr>
          <w:p>
            <w:pPr>
              <w:keepNext w:val="0"/>
              <w:spacing w:after="0" w:before="0" w:line="252" w:lineRule="auto"/>
            </w:pPr>
            <w:r>
              <w:rPr>
                <w:b w:val="0"/>
                <w:i w:val="0"/>
                <w:sz w:val="20"/>
              </w:rPr>
              <w:t xml:space="preserve">Commerce publishes its preliminary affirmative antidumping determination on Russian unwrought palladium, with case-specific suspension and cash-deposit provisions. Effective: 2026-02-19. Historical provisional measure; do not carry it forward as a final duty following the May negative injury outcome. </w:t>
            </w:r>
            <w:hyperlink r:id="rId218">
              <w:r>
                <w:rPr>
                  <w:color w:val="235779"/>
                  <w:u w:val="single"/>
                </w:rPr>
                <w:t>Source 1</w:t>
              </w:r>
            </w:hyperlink>
          </w:p>
        </w:tc>
      </w:tr>
      <w:tr>
        <w:trPr>
          <w:cantSplit/>
        </w:trPr>
        <w:tc>
          <w:tcPr>
            <w:tcW w:type="dxa" w:w="3216"/>
            <w:vAlign w:val="center"/>
            <w:tcMar>
              <w:top w:w="80" w:type="dxa"/>
              <w:bottom w:w="80" w:type="dxa"/>
              <w:left w:w="100" w:type="dxa"/>
              <w:right w:w="100" w:type="dxa"/>
            </w:tcMar>
            <w:shd w:fill="F4F7F8"/>
          </w:tcPr>
          <w:p>
            <w:pPr>
              <w:keepNext w:val="0"/>
              <w:spacing w:after="0" w:before="0" w:line="252" w:lineRule="auto"/>
            </w:pPr>
            <w:r>
              <w:rPr>
                <w:b w:val="0"/>
                <w:i w:val="0"/>
                <w:sz w:val="20"/>
              </w:rPr>
              <w:t>2026-02-20 · IEEPA tariffs terminated</w:t>
            </w:r>
          </w:p>
        </w:tc>
        <w:tc>
          <w:tcPr>
            <w:tcW w:type="dxa" w:w="6530"/>
            <w:vAlign w:val="center"/>
            <w:tcMar>
              <w:top w:w="80" w:type="dxa"/>
              <w:bottom w:w="80" w:type="dxa"/>
              <w:left w:w="100" w:type="dxa"/>
              <w:right w:w="100" w:type="dxa"/>
            </w:tcMar>
            <w:shd w:fill="F4F7F8"/>
          </w:tcPr>
          <w:p>
            <w:pPr>
              <w:keepNext w:val="0"/>
              <w:spacing w:after="0" w:before="0" w:line="252" w:lineRule="auto"/>
            </w:pPr>
            <w:r>
              <w:rPr>
                <w:b w:val="0"/>
                <w:i w:val="0"/>
                <w:sz w:val="20"/>
              </w:rPr>
              <w:t xml:space="preserve">The Supreme Court rejects IEEPA tariff authority and the executive order ends listed IEEPA duties. CBP sets cessation of collection at 00:00 ET 24 February. Effective: 2026-02-24T00:00:00-05:00. Not the end of all US tariffs; Section 232 and 301 measures are separate. </w:t>
            </w:r>
            <w:hyperlink r:id="rId158">
              <w:r>
                <w:rPr>
                  <w:color w:val="235779"/>
                  <w:u w:val="single"/>
                </w:rPr>
                <w:t>Source 1</w:t>
              </w:r>
            </w:hyperlink>
            <w:r>
              <w:rPr>
                <w:b w:val="0"/>
                <w:i w:val="0"/>
                <w:sz w:val="20"/>
              </w:rPr>
              <w:t xml:space="preserve"> · </w:t>
            </w:r>
            <w:hyperlink r:id="rId219">
              <w:r>
                <w:rPr>
                  <w:color w:val="235779"/>
                  <w:u w:val="single"/>
                </w:rPr>
                <w:t>Source 2</w:t>
              </w:r>
            </w:hyperlink>
            <w:r>
              <w:rPr>
                <w:b w:val="0"/>
                <w:i w:val="0"/>
                <w:sz w:val="20"/>
              </w:rPr>
              <w:t xml:space="preserve"> · </w:t>
            </w:r>
            <w:hyperlink r:id="rId159">
              <w:r>
                <w:rPr>
                  <w:color w:val="235779"/>
                  <w:u w:val="single"/>
                </w:rPr>
                <w:t>Source 3</w:t>
              </w:r>
            </w:hyperlink>
          </w:p>
        </w:tc>
      </w:tr>
      <w:tr>
        <w:trPr>
          <w:cantSplit/>
        </w:trPr>
        <w:tc>
          <w:tcPr>
            <w:tcW w:type="dxa" w:w="3216"/>
            <w:vAlign w:val="center"/>
            <w:tcMar>
              <w:top w:w="80" w:type="dxa"/>
              <w:bottom w:w="80" w:type="dxa"/>
              <w:left w:w="100" w:type="dxa"/>
              <w:right w:w="100" w:type="dxa"/>
            </w:tcMar>
            <w:shd w:fill="FFFFFF"/>
          </w:tcPr>
          <w:p>
            <w:pPr>
              <w:keepNext w:val="0"/>
              <w:spacing w:after="0" w:before="0" w:line="252" w:lineRule="auto"/>
            </w:pPr>
            <w:r>
              <w:rPr>
                <w:b w:val="0"/>
                <w:i w:val="0"/>
                <w:sz w:val="20"/>
              </w:rPr>
              <w:t>2026-02-20 · Temporary Section 122 duty announced</w:t>
            </w:r>
          </w:p>
        </w:tc>
        <w:tc>
          <w:tcPr>
            <w:tcW w:type="dxa" w:w="6530"/>
            <w:vAlign w:val="center"/>
            <w:tcMar>
              <w:top w:w="80" w:type="dxa"/>
              <w:bottom w:w="80" w:type="dxa"/>
              <w:left w:w="100" w:type="dxa"/>
              <w:right w:w="100" w:type="dxa"/>
            </w:tcMar>
            <w:shd w:fill="FFFFFF"/>
          </w:tcPr>
          <w:p>
            <w:pPr>
              <w:keepNext w:val="0"/>
              <w:spacing w:after="0" w:before="0" w:line="252" w:lineRule="auto"/>
            </w:pPr>
            <w:r>
              <w:rPr>
                <w:b w:val="0"/>
                <w:i w:val="0"/>
                <w:sz w:val="20"/>
              </w:rPr>
              <w:t xml:space="preserve">A separate 10% temporary import surcharge is proclaimed with listed bullion/critical-mineral exceptions; stated period 24 February–24 July 2026. Effective: 2026-02-24T00:01:00-05:00 to 2026-07-24T00:01:00-04:00. Exclusions are specific to this measure and classification. This expired-period authority is not September tariff authority. </w:t>
            </w:r>
            <w:hyperlink r:id="rId220">
              <w:r>
                <w:rPr>
                  <w:color w:val="235779"/>
                  <w:u w:val="single"/>
                </w:rPr>
                <w:t>Source 1</w:t>
              </w:r>
            </w:hyperlink>
          </w:p>
        </w:tc>
      </w:tr>
      <w:tr>
        <w:trPr>
          <w:cantSplit/>
        </w:trPr>
        <w:tc>
          <w:tcPr>
            <w:tcW w:type="dxa" w:w="3216"/>
            <w:vAlign w:val="center"/>
            <w:tcMar>
              <w:top w:w="80" w:type="dxa"/>
              <w:bottom w:w="80" w:type="dxa"/>
              <w:left w:w="100" w:type="dxa"/>
              <w:right w:w="100" w:type="dxa"/>
            </w:tcMar>
            <w:shd w:fill="F4F7F8"/>
          </w:tcPr>
          <w:p>
            <w:pPr>
              <w:keepNext w:val="0"/>
              <w:spacing w:after="0" w:before="0" w:line="252" w:lineRule="auto"/>
            </w:pPr>
            <w:r>
              <w:rPr>
                <w:b w:val="0"/>
                <w:i w:val="0"/>
                <w:sz w:val="20"/>
              </w:rPr>
              <w:t>2026-03-06 · Preliminary palladium subsidy rate announced</w:t>
            </w:r>
          </w:p>
        </w:tc>
        <w:tc>
          <w:tcPr>
            <w:tcW w:type="dxa" w:w="6530"/>
            <w:vAlign w:val="center"/>
            <w:tcMar>
              <w:top w:w="80" w:type="dxa"/>
              <w:bottom w:w="80" w:type="dxa"/>
              <w:left w:w="100" w:type="dxa"/>
              <w:right w:w="100" w:type="dxa"/>
            </w:tcMar>
            <w:shd w:fill="F4F7F8"/>
          </w:tcPr>
          <w:p>
            <w:pPr>
              <w:keepNext w:val="0"/>
              <w:spacing w:after="0" w:before="0" w:line="252" w:lineRule="auto"/>
            </w:pPr>
            <w:r>
              <w:rPr>
                <w:b w:val="0"/>
                <w:i w:val="0"/>
                <w:sz w:val="20"/>
              </w:rPr>
              <w:t xml:space="preserve">Commerce announces its preliminary countervailing-duty determination, reporting 109.10% for the listed Russian producers and all others. Announcement date; publication and cash-deposit timing are distinct. A preliminary finding is not a final order. </w:t>
            </w:r>
            <w:hyperlink r:id="rId221">
              <w:r>
                <w:rPr>
                  <w:color w:val="235779"/>
                  <w:u w:val="single"/>
                </w:rPr>
                <w:t>Source 1</w:t>
              </w:r>
            </w:hyperlink>
          </w:p>
        </w:tc>
      </w:tr>
      <w:tr>
        <w:trPr>
          <w:cantSplit/>
        </w:trPr>
        <w:tc>
          <w:tcPr>
            <w:tcW w:type="dxa" w:w="3216"/>
            <w:vAlign w:val="center"/>
            <w:tcMar>
              <w:top w:w="80" w:type="dxa"/>
              <w:bottom w:w="80" w:type="dxa"/>
              <w:left w:w="100" w:type="dxa"/>
              <w:right w:w="100" w:type="dxa"/>
            </w:tcMar>
            <w:shd w:fill="FFFFFF"/>
          </w:tcPr>
          <w:p>
            <w:pPr>
              <w:keepNext w:val="0"/>
              <w:spacing w:after="0" w:before="0" w:line="252" w:lineRule="auto"/>
            </w:pPr>
            <w:r>
              <w:rPr>
                <w:b w:val="0"/>
                <w:i w:val="0"/>
                <w:sz w:val="20"/>
              </w:rPr>
              <w:t>2026-05-01 · Final Russian palladium dumping finding published</w:t>
            </w:r>
          </w:p>
        </w:tc>
        <w:tc>
          <w:tcPr>
            <w:tcW w:type="dxa" w:w="6530"/>
            <w:vAlign w:val="center"/>
            <w:tcMar>
              <w:top w:w="80" w:type="dxa"/>
              <w:bottom w:w="80" w:type="dxa"/>
              <w:left w:w="100" w:type="dxa"/>
              <w:right w:w="100" w:type="dxa"/>
            </w:tcMar>
            <w:shd w:fill="FFFFFF"/>
          </w:tcPr>
          <w:p>
            <w:pPr>
              <w:keepNext w:val="0"/>
              <w:spacing w:after="0" w:before="0" w:line="252" w:lineRule="auto"/>
            </w:pPr>
            <w:r>
              <w:rPr>
                <w:b w:val="0"/>
                <w:i w:val="0"/>
                <w:sz w:val="20"/>
              </w:rPr>
              <w:t xml:space="preserve">Commerce publishes a final 132.83% Russia-wide dumping margin and continues the stated cash-deposit requirements pending the injury decision. Effective: 2026-05-01. Final Commerce finding was followed by a negative USITC injury decision; no final AD/CVD orders resulted. </w:t>
            </w:r>
            <w:hyperlink r:id="rId222">
              <w:r>
                <w:rPr>
                  <w:color w:val="235779"/>
                  <w:u w:val="single"/>
                </w:rPr>
                <w:t>Source 1</w:t>
              </w:r>
            </w:hyperlink>
          </w:p>
        </w:tc>
      </w:tr>
      <w:tr>
        <w:trPr>
          <w:cantSplit/>
        </w:trPr>
        <w:tc>
          <w:tcPr>
            <w:tcW w:type="dxa" w:w="3216"/>
            <w:vAlign w:val="center"/>
            <w:tcMar>
              <w:top w:w="80" w:type="dxa"/>
              <w:bottom w:w="80" w:type="dxa"/>
              <w:left w:w="100" w:type="dxa"/>
              <w:right w:w="100" w:type="dxa"/>
            </w:tcMar>
            <w:shd w:fill="F4F7F8"/>
          </w:tcPr>
          <w:p>
            <w:pPr>
              <w:keepNext w:val="0"/>
              <w:spacing w:after="0" w:before="0" w:line="252" w:lineRule="auto"/>
            </w:pPr>
            <w:r>
              <w:rPr>
                <w:b w:val="0"/>
                <w:i w:val="0"/>
                <w:sz w:val="20"/>
              </w:rPr>
              <w:t>2026-05-20 · Final palladium subsidy finding announced</w:t>
            </w:r>
          </w:p>
        </w:tc>
        <w:tc>
          <w:tcPr>
            <w:tcW w:type="dxa" w:w="6530"/>
            <w:vAlign w:val="center"/>
            <w:tcMar>
              <w:top w:w="80" w:type="dxa"/>
              <w:bottom w:w="80" w:type="dxa"/>
              <w:left w:w="100" w:type="dxa"/>
              <w:right w:w="100" w:type="dxa"/>
            </w:tcMar>
            <w:shd w:fill="F4F7F8"/>
          </w:tcPr>
          <w:p>
            <w:pPr>
              <w:keepNext w:val="0"/>
              <w:spacing w:after="0" w:before="0" w:line="252" w:lineRule="auto"/>
            </w:pPr>
            <w:r>
              <w:rPr>
                <w:b w:val="0"/>
                <w:i w:val="0"/>
                <w:sz w:val="20"/>
              </w:rPr>
              <w:t xml:space="preserve">Commerce announces the final affirmative countervailing determination with a 109.10% rate, pending the separate injury determination. No order followed the 29 May negative injury result. </w:t>
            </w:r>
            <w:hyperlink r:id="rId223">
              <w:r>
                <w:rPr>
                  <w:color w:val="235779"/>
                  <w:u w:val="single"/>
                </w:rPr>
                <w:t>Source 1</w:t>
              </w:r>
            </w:hyperlink>
          </w:p>
        </w:tc>
      </w:tr>
      <w:tr>
        <w:trPr>
          <w:cantSplit/>
        </w:trPr>
        <w:tc>
          <w:tcPr>
            <w:tcW w:type="dxa" w:w="3216"/>
            <w:vAlign w:val="center"/>
            <w:tcMar>
              <w:top w:w="80" w:type="dxa"/>
              <w:bottom w:w="80" w:type="dxa"/>
              <w:left w:w="100" w:type="dxa"/>
              <w:right w:w="100" w:type="dxa"/>
            </w:tcMar>
            <w:shd w:fill="FFFFFF"/>
          </w:tcPr>
          <w:p>
            <w:pPr>
              <w:keepNext w:val="0"/>
              <w:spacing w:after="0" w:before="0" w:line="252" w:lineRule="auto"/>
            </w:pPr>
            <w:r>
              <w:rPr>
                <w:b w:val="0"/>
                <w:i w:val="0"/>
                <w:sz w:val="20"/>
              </w:rPr>
              <w:t>2026-05-29 · USITC rejects injury case on Russian palladium</w:t>
            </w:r>
          </w:p>
        </w:tc>
        <w:tc>
          <w:tcPr>
            <w:tcW w:type="dxa" w:w="6530"/>
            <w:vAlign w:val="center"/>
            <w:tcMar>
              <w:top w:w="80" w:type="dxa"/>
              <w:bottom w:w="80" w:type="dxa"/>
              <w:left w:w="100" w:type="dxa"/>
              <w:right w:w="100" w:type="dxa"/>
            </w:tcMar>
            <w:shd w:fill="FFFFFF"/>
          </w:tcPr>
          <w:p>
            <w:pPr>
              <w:keepNext w:val="0"/>
              <w:spacing w:after="0" w:before="0" w:line="252" w:lineRule="auto"/>
            </w:pPr>
            <w:r>
              <w:rPr>
                <w:b w:val="0"/>
                <w:i w:val="0"/>
                <w:sz w:val="20"/>
              </w:rPr>
              <w:t xml:space="preserve">USITC negative injury determination in Russian unwrought palladium AD/CVD investigations; no orders from these cases. No isolated PGM EFP quote verified. Effective: 2026-05-29 determination. Verified case outcome only. </w:t>
            </w:r>
            <w:hyperlink r:id="rId224">
              <w:r>
                <w:rPr>
                  <w:color w:val="235779"/>
                  <w:u w:val="single"/>
                </w:rPr>
                <w:t>Source 1</w:t>
              </w:r>
            </w:hyperlink>
          </w:p>
        </w:tc>
      </w:tr>
      <w:tr>
        <w:trPr>
          <w:cantSplit/>
        </w:trPr>
        <w:tc>
          <w:tcPr>
            <w:tcW w:type="dxa" w:w="3216"/>
            <w:vAlign w:val="center"/>
            <w:tcMar>
              <w:top w:w="80" w:type="dxa"/>
              <w:bottom w:w="80" w:type="dxa"/>
              <w:left w:w="100" w:type="dxa"/>
              <w:right w:w="100" w:type="dxa"/>
            </w:tcMar>
            <w:shd w:fill="F4F7F8"/>
          </w:tcPr>
          <w:p>
            <w:pPr>
              <w:keepNext w:val="0"/>
              <w:spacing w:after="0" w:before="0" w:line="252" w:lineRule="auto"/>
            </w:pPr>
            <w:r>
              <w:rPr>
                <w:b w:val="0"/>
                <w:i w:val="0"/>
                <w:sz w:val="20"/>
              </w:rPr>
              <w:t>2026-07-15 · Brazil Section 301 action announced</w:t>
            </w:r>
          </w:p>
        </w:tc>
        <w:tc>
          <w:tcPr>
            <w:tcW w:type="dxa" w:w="6530"/>
            <w:vAlign w:val="center"/>
            <w:tcMar>
              <w:top w:w="80" w:type="dxa"/>
              <w:bottom w:w="80" w:type="dxa"/>
              <w:left w:w="100" w:type="dxa"/>
              <w:right w:w="100" w:type="dxa"/>
            </w:tcMar>
            <w:shd w:fill="F4F7F8"/>
          </w:tcPr>
          <w:p>
            <w:pPr>
              <w:keepNext w:val="0"/>
              <w:spacing w:after="0" w:before="0" w:line="252" w:lineRule="auto"/>
            </w:pPr>
            <w:r>
              <w:rPr>
                <w:b w:val="0"/>
                <w:i w:val="0"/>
                <w:sz w:val="20"/>
              </w:rPr>
              <w:t xml:space="preserve">A separate 25% Brazil Section 301 action is announced for 22 July. Its exception tables include specified common bullion codes. Effective: 2026-07-22. Programme-specific bullion exclusions are not an all-origin, all-measures zero-duty conclusion. </w:t>
            </w:r>
            <w:hyperlink r:id="rId225">
              <w:r>
                <w:rPr>
                  <w:color w:val="235779"/>
                  <w:u w:val="single"/>
                </w:rPr>
                <w:t>Source 1</w:t>
              </w:r>
            </w:hyperlink>
          </w:p>
        </w:tc>
      </w:tr>
      <w:tr>
        <w:trPr>
          <w:cantSplit/>
        </w:trPr>
        <w:tc>
          <w:tcPr>
            <w:tcW w:type="dxa" w:w="3216"/>
            <w:vAlign w:val="center"/>
            <w:tcMar>
              <w:top w:w="80" w:type="dxa"/>
              <w:bottom w:w="80" w:type="dxa"/>
              <w:left w:w="100" w:type="dxa"/>
              <w:right w:w="100" w:type="dxa"/>
            </w:tcMar>
            <w:shd w:fill="FFFFFF"/>
          </w:tcPr>
          <w:p>
            <w:pPr>
              <w:keepNext w:val="0"/>
              <w:spacing w:after="0" w:before="0" w:line="252" w:lineRule="auto"/>
            </w:pPr>
            <w:r>
              <w:rPr>
                <w:b w:val="0"/>
                <w:i w:val="0"/>
                <w:sz w:val="20"/>
              </w:rPr>
              <w:t>2026-07-23 · Section 301 action; bullion exceptions</w:t>
            </w:r>
          </w:p>
        </w:tc>
        <w:tc>
          <w:tcPr>
            <w:tcW w:type="dxa" w:w="6530"/>
            <w:vAlign w:val="center"/>
            <w:tcMar>
              <w:top w:w="80" w:type="dxa"/>
              <w:bottom w:w="80" w:type="dxa"/>
              <w:left w:w="100" w:type="dxa"/>
              <w:right w:w="100" w:type="dxa"/>
            </w:tcMar>
            <w:shd w:fill="FFFFFF"/>
          </w:tcPr>
          <w:p>
            <w:pPr>
              <w:keepNext w:val="0"/>
              <w:spacing w:after="0" w:before="0" w:line="252" w:lineRule="auto"/>
            </w:pPr>
            <w:r>
              <w:rPr>
                <w:b w:val="0"/>
                <w:i w:val="0"/>
                <w:sz w:val="20"/>
              </w:rPr>
              <w:t xml:space="preserve">A sixty-economy Section 301 forced-labor action announces 10% or 12.5% duties from 24 July, subject to netting and exceptions. Listed silver/gold/PGM codes receive a programme-specific exception. Effective: 2026-07-24T00:01:00 Eastern time. Separate from expired Section 122. No verified EFP change is attributed to this event; exact origin/form and full duty stack remain relevant. </w:t>
            </w:r>
            <w:hyperlink r:id="rId226">
              <w:r>
                <w:rPr>
                  <w:color w:val="235779"/>
                  <w:u w:val="single"/>
                </w:rPr>
                <w:t>Source 1</w:t>
              </w:r>
            </w:hyperlink>
            <w:r>
              <w:rPr>
                <w:b w:val="0"/>
                <w:i w:val="0"/>
                <w:sz w:val="20"/>
              </w:rPr>
              <w:t xml:space="preserve"> · </w:t>
            </w:r>
            <w:hyperlink r:id="rId227">
              <w:r>
                <w:rPr>
                  <w:color w:val="235779"/>
                  <w:u w:val="single"/>
                </w:rPr>
                <w:t>Source 2</w:t>
              </w:r>
            </w:hyperlink>
            <w:r>
              <w:rPr>
                <w:b w:val="0"/>
                <w:i w:val="0"/>
                <w:sz w:val="20"/>
              </w:rPr>
              <w:t xml:space="preserve"> · </w:t>
            </w:r>
            <w:hyperlink r:id="rId228">
              <w:r>
                <w:rPr>
                  <w:color w:val="235779"/>
                  <w:u w:val="single"/>
                </w:rPr>
                <w:t>Source 3</w:t>
              </w:r>
            </w:hyperlink>
          </w:p>
        </w:tc>
      </w:tr>
      <w:tr>
        <w:trPr>
          <w:cantSplit/>
        </w:trPr>
        <w:tc>
          <w:tcPr>
            <w:tcW w:type="dxa" w:w="3216"/>
            <w:vAlign w:val="center"/>
            <w:tcMar>
              <w:top w:w="80" w:type="dxa"/>
              <w:bottom w:w="80" w:type="dxa"/>
              <w:left w:w="100" w:type="dxa"/>
              <w:right w:w="100" w:type="dxa"/>
            </w:tcMar>
            <w:shd w:fill="F4F7F8"/>
          </w:tcPr>
          <w:p>
            <w:pPr>
              <w:keepNext w:val="0"/>
              <w:spacing w:after="0" w:before="0" w:line="252" w:lineRule="auto"/>
            </w:pPr>
            <w:r>
              <w:rPr>
                <w:b w:val="0"/>
                <w:i w:val="0"/>
                <w:sz w:val="20"/>
              </w:rPr>
              <w:t>2026-07-24 · Section 122 stated period ends</w:t>
            </w:r>
          </w:p>
        </w:tc>
        <w:tc>
          <w:tcPr>
            <w:tcW w:type="dxa" w:w="6530"/>
            <w:vAlign w:val="center"/>
            <w:tcMar>
              <w:top w:w="80" w:type="dxa"/>
              <w:bottom w:w="80" w:type="dxa"/>
              <w:left w:w="100" w:type="dxa"/>
              <w:right w:w="100" w:type="dxa"/>
            </w:tcMar>
            <w:shd w:fill="F4F7F8"/>
          </w:tcPr>
          <w:p>
            <w:pPr>
              <w:keepNext w:val="0"/>
              <w:spacing w:after="0" w:before="0" w:line="252" w:lineRule="auto"/>
            </w:pPr>
            <w:r>
              <w:rPr>
                <w:b w:val="0"/>
                <w:i w:val="0"/>
                <w:sz w:val="20"/>
              </w:rPr>
              <w:t xml:space="preserve">The temporary Section 122 proclamation's stated 150-day surcharge period ends at 00:01 EDT. The separate July Section 301 action has its own rules and exceptions. Effective: 2026-07-24T00:01:00-04:00. A scheduled operative milestone, not a new 24 July headline or proof that every other duty ended. </w:t>
            </w:r>
            <w:hyperlink r:id="rId220">
              <w:r>
                <w:rPr>
                  <w:color w:val="235779"/>
                  <w:u w:val="single"/>
                </w:rPr>
                <w:t>Source 1</w:t>
              </w:r>
            </w:hyperlink>
          </w:p>
        </w:tc>
      </w:tr>
      <w:tr>
        <w:trPr>
          <w:cantSplit/>
        </w:trPr>
        <w:tc>
          <w:tcPr>
            <w:tcW w:type="dxa" w:w="3216"/>
            <w:vAlign w:val="center"/>
            <w:tcMar>
              <w:top w:w="80" w:type="dxa"/>
              <w:bottom w:w="80" w:type="dxa"/>
              <w:left w:w="100" w:type="dxa"/>
              <w:right w:w="100" w:type="dxa"/>
            </w:tcMar>
            <w:shd w:fill="FFFFFF"/>
          </w:tcPr>
          <w:p>
            <w:pPr>
              <w:keepNext w:val="0"/>
              <w:spacing w:after="0" w:before="0" w:line="252" w:lineRule="auto"/>
            </w:pPr>
            <w:r>
              <w:rPr>
                <w:b w:val="0"/>
                <w:i w:val="0"/>
                <w:sz w:val="20"/>
              </w:rPr>
              <w:t>2026-09-02 · September tariff schedule confirms code-specific treatment</w:t>
            </w:r>
          </w:p>
        </w:tc>
        <w:tc>
          <w:tcPr>
            <w:tcW w:type="dxa" w:w="6530"/>
            <w:vAlign w:val="center"/>
            <w:tcMar>
              <w:top w:w="80" w:type="dxa"/>
              <w:bottom w:w="80" w:type="dxa"/>
              <w:left w:w="100" w:type="dxa"/>
              <w:right w:w="100" w:type="dxa"/>
            </w:tcMar>
            <w:shd w:fill="FFFFFF"/>
          </w:tcPr>
          <w:p>
            <w:pPr>
              <w:keepNext w:val="0"/>
              <w:spacing w:after="0" w:before="0" w:line="252" w:lineRule="auto"/>
            </w:pPr>
            <w:r>
              <w:rPr>
                <w:b w:val="0"/>
                <w:i w:val="0"/>
                <w:sz w:val="20"/>
              </w:rPr>
              <w:t xml:space="preserve">Revision 18 general duties are Free for target silver 7106.91.10, platinum 7110.11.00 and palladium 7110.21.00. Russian silver/platinum have a footnote to 9903.90.08 at 35%. Current physical inventory data exist, but no current executable EFP series was obtained. Effective: 2026 HTS Revision 18 at 23 September cutoff. Snapshot; inherited duties distinguished from new-term events. </w:t>
            </w:r>
            <w:hyperlink r:id="rId229">
              <w:r>
                <w:rPr>
                  <w:color w:val="235779"/>
                  <w:u w:val="single"/>
                </w:rPr>
                <w:t>Source 1</w:t>
              </w:r>
            </w:hyperlink>
          </w:p>
        </w:tc>
      </w:tr>
    </w:tbl>
    <w:p>
      <w:pPr>
        <w:spacing w:after="60" w:before="0" w:line="40" w:lineRule="exact"/>
      </w:pPr>
      <w:r>
        <w:rPr>
          <w:sz w:val="4"/>
        </w:rPr>
      </w:r>
    </w:p>
    <w:p>
      <w:pPr>
        <w:spacing w:after="100"/>
      </w:pPr>
      <w:r>
        <w:rPr>
          <w:b w:val="0"/>
          <w:i w:val="0"/>
          <w:sz w:val="18"/>
        </w:rPr>
        <w:t>Material gold, silver, platinum and palladium US tariff-policy events and directly relevant market headlines, 20 January 2025 through 24 September 2026. Event-level chronology, not every repeated news story. No exhaustive claim is made for every repeated media story. Original month-level inventory context, prior chronology and price qualifications remain in the source library.</w:t>
      </w:r>
    </w:p>
    <w:p>
      <w:pPr>
        <w:pStyle w:val="Heading2"/>
        <w:pageBreakBefore w:val="0"/>
      </w:pPr>
      <w:r>
        <w:t>COMEX silver warehouse stocks</w:t>
      </w:r>
    </w:p>
    <w:p>
      <w:pPr>
        <w:spacing w:after="100"/>
      </w:pPr>
      <w:r>
        <w:rPr>
          <w:b w:val="0"/>
          <w:i w:val="0"/>
          <w:sz w:val="18"/>
        </w:rPr>
        <w:t>Total registered plus eligible stocks, not ETF holdings, exchange-owned metal or guaranteed saleable supply. Values are published period-end observations rounded to million troy ounces. January–June 2025 is absent from the source table and is left as a gap. This historical series ends February 2026; it is not current inventory.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16"/>
        <w:gridCol w:w="6530"/>
      </w:tblGrid>
      <w:tr>
        <w:trPr>
          <w:tblHeader/>
          <w:cantSplit/>
        </w:trPr>
        <w:tc>
          <w:tcPr>
            <w:tcW w:type="dxa" w:w="3216"/>
            <w:vAlign w:val="center"/>
            <w:tcMar>
              <w:top w:w="80" w:type="dxa"/>
              <w:bottom w:w="80" w:type="dxa"/>
              <w:left w:w="100" w:type="dxa"/>
              <w:right w:w="100" w:type="dxa"/>
            </w:tcMar>
            <w:shd w:fill="DCE6EB"/>
          </w:tcPr>
          <w:p>
            <w:pPr>
              <w:keepNext/>
              <w:spacing w:after="0" w:before="0" w:line="252" w:lineRule="auto"/>
            </w:pPr>
            <w:r>
              <w:rPr>
                <w:b/>
                <w:i w:val="0"/>
                <w:sz w:val="20"/>
              </w:rPr>
              <w:t>Period end</w:t>
            </w:r>
          </w:p>
        </w:tc>
        <w:tc>
          <w:tcPr>
            <w:tcW w:type="dxa" w:w="6530"/>
            <w:vAlign w:val="center"/>
            <w:tcMar>
              <w:top w:w="80" w:type="dxa"/>
              <w:bottom w:w="80" w:type="dxa"/>
              <w:left w:w="100" w:type="dxa"/>
              <w:right w:w="100" w:type="dxa"/>
            </w:tcMar>
            <w:shd w:fill="DCE6EB"/>
          </w:tcPr>
          <w:p>
            <w:pPr>
              <w:keepNext/>
              <w:spacing w:after="0" w:before="0" w:line="252" w:lineRule="auto"/>
            </w:pPr>
            <w:r>
              <w:rPr>
                <w:b/>
                <w:i w:val="0"/>
                <w:sz w:val="20"/>
              </w:rPr>
              <w:t>Million troy ounces</w:t>
            </w:r>
          </w:p>
        </w:tc>
      </w:tr>
      <w:tr>
        <w:trPr>
          <w:cantSplit/>
        </w:trPr>
        <w:tc>
          <w:tcPr>
            <w:tcW w:type="dxa" w:w="3216"/>
            <w:vAlign w:val="center"/>
            <w:tcMar>
              <w:top w:w="80" w:type="dxa"/>
              <w:bottom w:w="80" w:type="dxa"/>
              <w:left w:w="100" w:type="dxa"/>
              <w:right w:w="100" w:type="dxa"/>
            </w:tcMar>
            <w:shd w:fill="FFFFFF"/>
          </w:tcPr>
          <w:p>
            <w:pPr>
              <w:keepNext w:val="0"/>
              <w:spacing w:after="0" w:before="0" w:line="252" w:lineRule="auto"/>
            </w:pPr>
            <w:r>
              <w:rPr>
                <w:b w:val="0"/>
                <w:i w:val="0"/>
                <w:sz w:val="20"/>
              </w:rPr>
              <w:t>2024-12-31</w:t>
            </w:r>
          </w:p>
        </w:tc>
        <w:tc>
          <w:tcPr>
            <w:tcW w:type="dxa" w:w="6530"/>
            <w:vAlign w:val="center"/>
            <w:tcMar>
              <w:top w:w="80" w:type="dxa"/>
              <w:bottom w:w="80" w:type="dxa"/>
              <w:left w:w="100" w:type="dxa"/>
              <w:right w:w="100" w:type="dxa"/>
            </w:tcMar>
            <w:shd w:fill="FFFFFF"/>
          </w:tcPr>
          <w:p>
            <w:pPr>
              <w:keepNext w:val="0"/>
              <w:spacing w:after="0" w:before="0" w:line="252" w:lineRule="auto"/>
            </w:pPr>
            <w:r>
              <w:rPr>
                <w:b w:val="0"/>
                <w:i w:val="0"/>
                <w:sz w:val="20"/>
              </w:rPr>
              <w:t>319</w:t>
            </w:r>
          </w:p>
        </w:tc>
      </w:tr>
      <w:tr>
        <w:trPr>
          <w:cantSplit/>
        </w:trPr>
        <w:tc>
          <w:tcPr>
            <w:tcW w:type="dxa" w:w="3216"/>
            <w:vAlign w:val="center"/>
            <w:tcMar>
              <w:top w:w="80" w:type="dxa"/>
              <w:bottom w:w="80" w:type="dxa"/>
              <w:left w:w="100" w:type="dxa"/>
              <w:right w:w="100" w:type="dxa"/>
            </w:tcMar>
            <w:shd w:fill="F4F7F8"/>
          </w:tcPr>
          <w:p>
            <w:pPr>
              <w:keepNext w:val="0"/>
              <w:spacing w:after="0" w:before="0" w:line="252" w:lineRule="auto"/>
            </w:pPr>
            <w:r>
              <w:rPr>
                <w:b w:val="0"/>
                <w:i w:val="0"/>
                <w:sz w:val="20"/>
              </w:rPr>
              <w:t>2025-07-31</w:t>
            </w:r>
          </w:p>
        </w:tc>
        <w:tc>
          <w:tcPr>
            <w:tcW w:type="dxa" w:w="6530"/>
            <w:vAlign w:val="center"/>
            <w:tcMar>
              <w:top w:w="80" w:type="dxa"/>
              <w:bottom w:w="80" w:type="dxa"/>
              <w:left w:w="100" w:type="dxa"/>
              <w:right w:w="100" w:type="dxa"/>
            </w:tcMar>
            <w:shd w:fill="F4F7F8"/>
          </w:tcPr>
          <w:p>
            <w:pPr>
              <w:keepNext w:val="0"/>
              <w:spacing w:after="0" w:before="0" w:line="252" w:lineRule="auto"/>
            </w:pPr>
            <w:r>
              <w:rPr>
                <w:b w:val="0"/>
                <w:i w:val="0"/>
                <w:sz w:val="20"/>
              </w:rPr>
              <w:t>505</w:t>
            </w:r>
          </w:p>
        </w:tc>
      </w:tr>
      <w:tr>
        <w:trPr>
          <w:cantSplit/>
        </w:trPr>
        <w:tc>
          <w:tcPr>
            <w:tcW w:type="dxa" w:w="3216"/>
            <w:vAlign w:val="center"/>
            <w:tcMar>
              <w:top w:w="80" w:type="dxa"/>
              <w:bottom w:w="80" w:type="dxa"/>
              <w:left w:w="100" w:type="dxa"/>
              <w:right w:w="100" w:type="dxa"/>
            </w:tcMar>
            <w:shd w:fill="FFFFFF"/>
          </w:tcPr>
          <w:p>
            <w:pPr>
              <w:keepNext w:val="0"/>
              <w:spacing w:after="0" w:before="0" w:line="252" w:lineRule="auto"/>
            </w:pPr>
            <w:r>
              <w:rPr>
                <w:b w:val="0"/>
                <w:i w:val="0"/>
                <w:sz w:val="20"/>
              </w:rPr>
              <w:t>2025-08-31</w:t>
            </w:r>
          </w:p>
        </w:tc>
        <w:tc>
          <w:tcPr>
            <w:tcW w:type="dxa" w:w="6530"/>
            <w:vAlign w:val="center"/>
            <w:tcMar>
              <w:top w:w="80" w:type="dxa"/>
              <w:bottom w:w="80" w:type="dxa"/>
              <w:left w:w="100" w:type="dxa"/>
              <w:right w:w="100" w:type="dxa"/>
            </w:tcMar>
            <w:shd w:fill="FFFFFF"/>
          </w:tcPr>
          <w:p>
            <w:pPr>
              <w:keepNext w:val="0"/>
              <w:spacing w:after="0" w:before="0" w:line="252" w:lineRule="auto"/>
            </w:pPr>
            <w:r>
              <w:rPr>
                <w:b w:val="0"/>
                <w:i w:val="0"/>
                <w:sz w:val="20"/>
              </w:rPr>
              <w:t>518</w:t>
            </w:r>
          </w:p>
        </w:tc>
      </w:tr>
      <w:tr>
        <w:trPr>
          <w:cantSplit/>
        </w:trPr>
        <w:tc>
          <w:tcPr>
            <w:tcW w:type="dxa" w:w="3216"/>
            <w:vAlign w:val="center"/>
            <w:tcMar>
              <w:top w:w="80" w:type="dxa"/>
              <w:bottom w:w="80" w:type="dxa"/>
              <w:left w:w="100" w:type="dxa"/>
              <w:right w:w="100" w:type="dxa"/>
            </w:tcMar>
            <w:shd w:fill="F4F7F8"/>
          </w:tcPr>
          <w:p>
            <w:pPr>
              <w:keepNext w:val="0"/>
              <w:spacing w:after="0" w:before="0" w:line="252" w:lineRule="auto"/>
            </w:pPr>
            <w:r>
              <w:rPr>
                <w:b w:val="0"/>
                <w:i w:val="0"/>
                <w:sz w:val="20"/>
              </w:rPr>
              <w:t>2025-09-30</w:t>
            </w:r>
          </w:p>
        </w:tc>
        <w:tc>
          <w:tcPr>
            <w:tcW w:type="dxa" w:w="6530"/>
            <w:vAlign w:val="center"/>
            <w:tcMar>
              <w:top w:w="80" w:type="dxa"/>
              <w:bottom w:w="80" w:type="dxa"/>
              <w:left w:w="100" w:type="dxa"/>
              <w:right w:w="100" w:type="dxa"/>
            </w:tcMar>
            <w:shd w:fill="F4F7F8"/>
          </w:tcPr>
          <w:p>
            <w:pPr>
              <w:keepNext w:val="0"/>
              <w:spacing w:after="0" w:before="0" w:line="252" w:lineRule="auto"/>
            </w:pPr>
            <w:r>
              <w:rPr>
                <w:b w:val="0"/>
                <w:i w:val="0"/>
                <w:sz w:val="20"/>
              </w:rPr>
              <w:t>530</w:t>
            </w:r>
          </w:p>
        </w:tc>
      </w:tr>
      <w:tr>
        <w:trPr>
          <w:cantSplit/>
        </w:trPr>
        <w:tc>
          <w:tcPr>
            <w:tcW w:type="dxa" w:w="3216"/>
            <w:vAlign w:val="center"/>
            <w:tcMar>
              <w:top w:w="80" w:type="dxa"/>
              <w:bottom w:w="80" w:type="dxa"/>
              <w:left w:w="100" w:type="dxa"/>
              <w:right w:w="100" w:type="dxa"/>
            </w:tcMar>
            <w:shd w:fill="FFFFFF"/>
          </w:tcPr>
          <w:p>
            <w:pPr>
              <w:keepNext w:val="0"/>
              <w:spacing w:after="0" w:before="0" w:line="252" w:lineRule="auto"/>
            </w:pPr>
            <w:r>
              <w:rPr>
                <w:b w:val="0"/>
                <w:i w:val="0"/>
                <w:sz w:val="20"/>
              </w:rPr>
              <w:t>2025-10-31</w:t>
            </w:r>
          </w:p>
        </w:tc>
        <w:tc>
          <w:tcPr>
            <w:tcW w:type="dxa" w:w="6530"/>
            <w:vAlign w:val="center"/>
            <w:tcMar>
              <w:top w:w="80" w:type="dxa"/>
              <w:bottom w:w="80" w:type="dxa"/>
              <w:left w:w="100" w:type="dxa"/>
              <w:right w:w="100" w:type="dxa"/>
            </w:tcMar>
            <w:shd w:fill="FFFFFF"/>
          </w:tcPr>
          <w:p>
            <w:pPr>
              <w:keepNext w:val="0"/>
              <w:spacing w:after="0" w:before="0" w:line="252" w:lineRule="auto"/>
            </w:pPr>
            <w:r>
              <w:rPr>
                <w:b w:val="0"/>
                <w:i w:val="0"/>
                <w:sz w:val="20"/>
              </w:rPr>
              <w:t>482</w:t>
            </w:r>
          </w:p>
        </w:tc>
      </w:tr>
      <w:tr>
        <w:trPr>
          <w:cantSplit/>
        </w:trPr>
        <w:tc>
          <w:tcPr>
            <w:tcW w:type="dxa" w:w="3216"/>
            <w:vAlign w:val="center"/>
            <w:tcMar>
              <w:top w:w="80" w:type="dxa"/>
              <w:bottom w:w="80" w:type="dxa"/>
              <w:left w:w="100" w:type="dxa"/>
              <w:right w:w="100" w:type="dxa"/>
            </w:tcMar>
            <w:shd w:fill="F4F7F8"/>
          </w:tcPr>
          <w:p>
            <w:pPr>
              <w:keepNext w:val="0"/>
              <w:spacing w:after="0" w:before="0" w:line="252" w:lineRule="auto"/>
            </w:pPr>
            <w:r>
              <w:rPr>
                <w:b w:val="0"/>
                <w:i w:val="0"/>
                <w:sz w:val="20"/>
              </w:rPr>
              <w:t>2025-11-30</w:t>
            </w:r>
          </w:p>
        </w:tc>
        <w:tc>
          <w:tcPr>
            <w:tcW w:type="dxa" w:w="6530"/>
            <w:vAlign w:val="center"/>
            <w:tcMar>
              <w:top w:w="80" w:type="dxa"/>
              <w:bottom w:w="80" w:type="dxa"/>
              <w:left w:w="100" w:type="dxa"/>
              <w:right w:w="100" w:type="dxa"/>
            </w:tcMar>
            <w:shd w:fill="F4F7F8"/>
          </w:tcPr>
          <w:p>
            <w:pPr>
              <w:keepNext w:val="0"/>
              <w:spacing w:after="0" w:before="0" w:line="252" w:lineRule="auto"/>
            </w:pPr>
            <w:r>
              <w:rPr>
                <w:b w:val="0"/>
                <w:i w:val="0"/>
                <w:sz w:val="20"/>
              </w:rPr>
              <w:t>457</w:t>
            </w:r>
          </w:p>
        </w:tc>
      </w:tr>
      <w:tr>
        <w:trPr>
          <w:cantSplit/>
        </w:trPr>
        <w:tc>
          <w:tcPr>
            <w:tcW w:type="dxa" w:w="3216"/>
            <w:vAlign w:val="center"/>
            <w:tcMar>
              <w:top w:w="80" w:type="dxa"/>
              <w:bottom w:w="80" w:type="dxa"/>
              <w:left w:w="100" w:type="dxa"/>
              <w:right w:w="100" w:type="dxa"/>
            </w:tcMar>
            <w:shd w:fill="FFFFFF"/>
          </w:tcPr>
          <w:p>
            <w:pPr>
              <w:keepNext w:val="0"/>
              <w:spacing w:after="0" w:before="0" w:line="252" w:lineRule="auto"/>
            </w:pPr>
            <w:r>
              <w:rPr>
                <w:b w:val="0"/>
                <w:i w:val="0"/>
                <w:sz w:val="20"/>
              </w:rPr>
              <w:t>2025-12-31</w:t>
            </w:r>
          </w:p>
        </w:tc>
        <w:tc>
          <w:tcPr>
            <w:tcW w:type="dxa" w:w="6530"/>
            <w:vAlign w:val="center"/>
            <w:tcMar>
              <w:top w:w="80" w:type="dxa"/>
              <w:bottom w:w="80" w:type="dxa"/>
              <w:left w:w="100" w:type="dxa"/>
              <w:right w:w="100" w:type="dxa"/>
            </w:tcMar>
            <w:shd w:fill="FFFFFF"/>
          </w:tcPr>
          <w:p>
            <w:pPr>
              <w:keepNext w:val="0"/>
              <w:spacing w:after="0" w:before="0" w:line="252" w:lineRule="auto"/>
            </w:pPr>
            <w:r>
              <w:rPr>
                <w:b w:val="0"/>
                <w:i w:val="0"/>
                <w:sz w:val="20"/>
              </w:rPr>
              <w:t>449</w:t>
            </w:r>
          </w:p>
        </w:tc>
      </w:tr>
      <w:tr>
        <w:trPr>
          <w:cantSplit/>
        </w:trPr>
        <w:tc>
          <w:tcPr>
            <w:tcW w:type="dxa" w:w="3216"/>
            <w:vAlign w:val="center"/>
            <w:tcMar>
              <w:top w:w="80" w:type="dxa"/>
              <w:bottom w:w="80" w:type="dxa"/>
              <w:left w:w="100" w:type="dxa"/>
              <w:right w:w="100" w:type="dxa"/>
            </w:tcMar>
            <w:shd w:fill="F4F7F8"/>
          </w:tcPr>
          <w:p>
            <w:pPr>
              <w:keepNext w:val="0"/>
              <w:spacing w:after="0" w:before="0" w:line="252" w:lineRule="auto"/>
            </w:pPr>
            <w:r>
              <w:rPr>
                <w:b w:val="0"/>
                <w:i w:val="0"/>
                <w:sz w:val="20"/>
              </w:rPr>
              <w:t>2026-01-31</w:t>
            </w:r>
          </w:p>
        </w:tc>
        <w:tc>
          <w:tcPr>
            <w:tcW w:type="dxa" w:w="6530"/>
            <w:vAlign w:val="center"/>
            <w:tcMar>
              <w:top w:w="80" w:type="dxa"/>
              <w:bottom w:w="80" w:type="dxa"/>
              <w:left w:w="100" w:type="dxa"/>
              <w:right w:w="100" w:type="dxa"/>
            </w:tcMar>
            <w:shd w:fill="F4F7F8"/>
          </w:tcPr>
          <w:p>
            <w:pPr>
              <w:keepNext w:val="0"/>
              <w:spacing w:after="0" w:before="0" w:line="252" w:lineRule="auto"/>
            </w:pPr>
            <w:r>
              <w:rPr>
                <w:b w:val="0"/>
                <w:i w:val="0"/>
                <w:sz w:val="20"/>
              </w:rPr>
              <w:t>406</w:t>
            </w:r>
          </w:p>
        </w:tc>
      </w:tr>
      <w:tr>
        <w:trPr>
          <w:cantSplit/>
        </w:trPr>
        <w:tc>
          <w:tcPr>
            <w:tcW w:type="dxa" w:w="3216"/>
            <w:vAlign w:val="center"/>
            <w:tcMar>
              <w:top w:w="80" w:type="dxa"/>
              <w:bottom w:w="80" w:type="dxa"/>
              <w:left w:w="100" w:type="dxa"/>
              <w:right w:w="100" w:type="dxa"/>
            </w:tcMar>
            <w:shd w:fill="FFFFFF"/>
          </w:tcPr>
          <w:p>
            <w:pPr>
              <w:keepNext w:val="0"/>
              <w:spacing w:after="0" w:before="0" w:line="252" w:lineRule="auto"/>
            </w:pPr>
            <w:r>
              <w:rPr>
                <w:b w:val="0"/>
                <w:i w:val="0"/>
                <w:sz w:val="20"/>
              </w:rPr>
              <w:t>2026-02-28</w:t>
            </w:r>
          </w:p>
        </w:tc>
        <w:tc>
          <w:tcPr>
            <w:tcW w:type="dxa" w:w="6530"/>
            <w:vAlign w:val="center"/>
            <w:tcMar>
              <w:top w:w="80" w:type="dxa"/>
              <w:bottom w:w="80" w:type="dxa"/>
              <w:left w:w="100" w:type="dxa"/>
              <w:right w:w="100" w:type="dxa"/>
            </w:tcMar>
            <w:shd w:fill="FFFFFF"/>
          </w:tcPr>
          <w:p>
            <w:pPr>
              <w:keepNext w:val="0"/>
              <w:spacing w:after="0" w:before="0" w:line="252" w:lineRule="auto"/>
            </w:pPr>
            <w:r>
              <w:rPr>
                <w:b w:val="0"/>
                <w:i w:val="0"/>
                <w:sz w:val="20"/>
              </w:rPr>
              <w:t>360</w:t>
            </w:r>
          </w:p>
        </w:tc>
      </w:tr>
    </w:tbl>
    <w:p>
      <w:pPr>
        <w:spacing w:after="60" w:before="0" w:line="40" w:lineRule="exact"/>
      </w:pPr>
      <w:r>
        <w:rPr>
          <w:sz w:val="4"/>
        </w:rPr>
      </w:r>
    </w:p>
    <w:p>
      <w:pPr>
        <w:spacing w:after="100"/>
      </w:pPr>
      <w:r>
        <w:rPr>
          <w:b w:val="0"/>
          <w:i w:val="0"/>
          <w:sz w:val="18"/>
        </w:rPr>
        <w:t>Registered metal is on warrant; eligible metal meets exchange specifications but is not on warrant. Neither category establishes willingness to sell. CME delivery transfers warrants and need not remove metal from the warehouse. A change of registered/eligible classification is not a physical stock flow.</w:t>
      </w:r>
    </w:p>
    <w:p>
      <w:pPr>
        <w:pStyle w:val="Heading3"/>
        <w:pageBreakBefore w:val="0"/>
      </w:pPr>
      <w:r>
        <w:t>Evidence and assumptions</w:t>
      </w:r>
    </w:p>
    <w:p>
      <w:hyperlink r:id="rId230">
        <w:r>
          <w:rPr>
            <w:color w:val="235779"/>
            <w:u w:val="single"/>
          </w:rPr>
          <w:t>Timeline CSV</w:t>
        </w:r>
      </w:hyperlink>
    </w:p>
    <w:p>
      <w:hyperlink r:id="rId231">
        <w:r>
          <w:rPr>
            <w:color w:val="235779"/>
            <w:u w:val="single"/>
          </w:rPr>
          <w:t>Complete structured chronology</w:t>
        </w:r>
      </w:hyperlink>
    </w:p>
    <w:p>
      <w:hyperlink r:id="rId156">
        <w:r>
          <w:rPr>
            <w:color w:val="235779"/>
            <w:u w:val="single"/>
          </w:rPr>
          <w:t>Published silver EFP chart, World Silver Survey p26</w:t>
        </w:r>
      </w:hyperlink>
    </w:p>
    <w:p>
      <w:hyperlink r:id="rId107">
        <w:r>
          <w:rPr>
            <w:color w:val="235779"/>
            <w:u w:val="single"/>
          </w:rPr>
          <w:t>Forward EFP definition and data gap</w:t>
        </w:r>
      </w:hyperlink>
    </w:p>
    <w:p>
      <w:pPr>
        <w:pStyle w:val="Heading3"/>
        <w:pageBreakBefore w:val="0"/>
      </w:pPr>
      <w:r>
        <w:t>Evidence and assumptions</w:t>
      </w:r>
    </w:p>
    <w:p>
      <w:hyperlink r:id="rId232">
        <w:r>
          <w:rPr>
            <w:color w:val="235779"/>
            <w:u w:val="single"/>
          </w:rPr>
          <w:t>Inventory data and original source page</w:t>
        </w:r>
      </w:hyperlink>
    </w:p>
    <w:p>
      <w:hyperlink r:id="rId233">
        <w:r>
          <w:rPr>
            <w:color w:val="235779"/>
            <w:u w:val="single"/>
          </w:rPr>
          <w:t>Download inventory observations</w:t>
        </w:r>
      </w:hyperlink>
    </w:p>
    <w:p>
      <w:bookmarkStart w:id="58" w:name="research_35"/>
      <w:pPr>
        <w:pStyle w:val="Heading1"/>
        <w:pageBreakBefore/>
      </w:pPr>
      <w:r>
        <w:t>35  Operational resilience built in by design</w:t>
      </w:r>
      <w:bookmarkEnd w:id="58"/>
    </w:p>
    <w:p>
      <w:r>
        <w:rPr>
          <w:b w:val="0"/>
          <w:i w:val="0"/>
        </w:rPr>
        <w:t>Build operational resilience into the proposed expanded Citigroup / BlackRock bullion operating network from the outset.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16"/>
        <w:gridCol w:w="6530"/>
      </w:tblGrid>
      <w:tr>
        <w:trPr>
          <w:tblHeader/>
          <w:cantSplit/>
        </w:trPr>
        <w:tc>
          <w:tcPr>
            <w:tcW w:type="dxa" w:w="3216"/>
            <w:vAlign w:val="center"/>
            <w:tcMar>
              <w:top w:w="80" w:type="dxa"/>
              <w:bottom w:w="80" w:type="dxa"/>
              <w:left w:w="100" w:type="dxa"/>
              <w:right w:w="100" w:type="dxa"/>
            </w:tcMar>
            <w:shd w:fill="DCE6EB"/>
          </w:tcPr>
          <w:p>
            <w:pPr>
              <w:keepNext/>
              <w:spacing w:after="0" w:before="0" w:line="252" w:lineRule="auto"/>
            </w:pPr>
            <w:r>
              <w:rPr>
                <w:b/>
                <w:i w:val="0"/>
                <w:sz w:val="20"/>
              </w:rPr>
              <w:t>Design priority</w:t>
            </w:r>
          </w:p>
        </w:tc>
        <w:tc>
          <w:tcPr>
            <w:tcW w:type="dxa" w:w="6530"/>
            <w:vAlign w:val="center"/>
            <w:tcMar>
              <w:top w:w="80" w:type="dxa"/>
              <w:bottom w:w="80" w:type="dxa"/>
              <w:left w:w="100" w:type="dxa"/>
              <w:right w:w="100" w:type="dxa"/>
            </w:tcMar>
            <w:shd w:fill="DCE6EB"/>
          </w:tcPr>
          <w:p>
            <w:pPr>
              <w:keepNext/>
              <w:spacing w:after="0" w:before="0" w:line="252" w:lineRule="auto"/>
            </w:pPr>
            <w:r>
              <w:rPr>
                <w:b/>
                <w:i w:val="0"/>
                <w:sz w:val="20"/>
              </w:rPr>
              <w:t>Proposed operating approach</w:t>
            </w:r>
          </w:p>
        </w:tc>
      </w:tr>
      <w:tr>
        <w:trPr>
          <w:cantSplit/>
        </w:trPr>
        <w:tc>
          <w:tcPr>
            <w:tcW w:type="dxa" w:w="3216"/>
            <w:vAlign w:val="center"/>
            <w:tcMar>
              <w:top w:w="80" w:type="dxa"/>
              <w:bottom w:w="80" w:type="dxa"/>
              <w:left w:w="100" w:type="dxa"/>
              <w:right w:w="100" w:type="dxa"/>
            </w:tcMar>
            <w:shd w:fill="FFFFFF"/>
          </w:tcPr>
          <w:p>
            <w:pPr>
              <w:keepNext w:val="0"/>
              <w:spacing w:after="0" w:before="0" w:line="252" w:lineRule="auto"/>
            </w:pPr>
            <w:r>
              <w:rPr>
                <w:b w:val="0"/>
                <w:i w:val="0"/>
                <w:sz w:val="20"/>
              </w:rPr>
              <w:t>Cross-training across locations</w:t>
            </w:r>
          </w:p>
        </w:tc>
        <w:tc>
          <w:tcPr>
            <w:tcW w:type="dxa" w:w="6530"/>
            <w:vAlign w:val="center"/>
            <w:tcMar>
              <w:top w:w="80" w:type="dxa"/>
              <w:bottom w:w="80" w:type="dxa"/>
              <w:left w:w="100" w:type="dxa"/>
              <w:right w:w="100" w:type="dxa"/>
            </w:tcMar>
            <w:shd w:fill="FFFFFF"/>
          </w:tcPr>
          <w:p>
            <w:pPr>
              <w:keepNext w:val="0"/>
              <w:spacing w:after="0" w:before="0" w:line="252" w:lineRule="auto"/>
            </w:pPr>
            <w:r>
              <w:rPr>
                <w:b w:val="0"/>
                <w:i w:val="0"/>
                <w:sz w:val="20"/>
              </w:rPr>
              <w:t>Cross-train colleagues across locations and critical processes, including custody instructions, settlement, bar and cash reconciliation, exception management and client reporting. Maintain clear process ownership, current runbooks and designated backup colleagues who can take over each critical activity.</w:t>
            </w:r>
          </w:p>
        </w:tc>
      </w:tr>
      <w:tr>
        <w:trPr>
          <w:cantSplit/>
        </w:trPr>
        <w:tc>
          <w:tcPr>
            <w:tcW w:type="dxa" w:w="3216"/>
            <w:vAlign w:val="center"/>
            <w:tcMar>
              <w:top w:w="80" w:type="dxa"/>
              <w:bottom w:w="80" w:type="dxa"/>
              <w:left w:w="100" w:type="dxa"/>
              <w:right w:w="100" w:type="dxa"/>
            </w:tcMar>
            <w:shd w:fill="F4F7F8"/>
          </w:tcPr>
          <w:p>
            <w:pPr>
              <w:keepNext w:val="0"/>
              <w:spacing w:after="0" w:before="0" w:line="252" w:lineRule="auto"/>
            </w:pPr>
            <w:r>
              <w:rPr>
                <w:b w:val="0"/>
                <w:i w:val="0"/>
                <w:sz w:val="20"/>
              </w:rPr>
              <w:t>Redeployment under stress</w:t>
            </w:r>
          </w:p>
        </w:tc>
        <w:tc>
          <w:tcPr>
            <w:tcW w:type="dxa" w:w="6530"/>
            <w:vAlign w:val="center"/>
            <w:tcMar>
              <w:top w:w="80" w:type="dxa"/>
              <w:bottom w:w="80" w:type="dxa"/>
              <w:left w:w="100" w:type="dxa"/>
              <w:right w:w="100" w:type="dxa"/>
            </w:tcMar>
            <w:shd w:fill="F4F7F8"/>
          </w:tcPr>
          <w:p>
            <w:pPr>
              <w:keepNext w:val="0"/>
              <w:spacing w:after="0" w:before="0" w:line="252" w:lineRule="auto"/>
            </w:pPr>
            <w:r>
              <w:rPr>
                <w:b w:val="0"/>
                <w:i w:val="0"/>
                <w:sz w:val="20"/>
              </w:rPr>
              <w:t>Redeploy trained staff and available processing capacity across approved locations when staff absence, site disruption or volume spikes put service under pressure. Prioritise critical settlement and custody obligations, with clear handovers and escalation triggers.</w:t>
            </w:r>
          </w:p>
        </w:tc>
      </w:tr>
      <w:tr>
        <w:trPr>
          <w:cantSplit/>
        </w:trPr>
        <w:tc>
          <w:tcPr>
            <w:tcW w:type="dxa" w:w="3216"/>
            <w:vAlign w:val="center"/>
            <w:tcMar>
              <w:top w:w="80" w:type="dxa"/>
              <w:bottom w:w="80" w:type="dxa"/>
              <w:left w:w="100" w:type="dxa"/>
              <w:right w:w="100" w:type="dxa"/>
            </w:tcMar>
            <w:shd w:fill="FFFFFF"/>
          </w:tcPr>
          <w:p>
            <w:pPr>
              <w:keepNext w:val="0"/>
              <w:spacing w:after="0" w:before="0" w:line="252" w:lineRule="auto"/>
            </w:pPr>
            <w:r>
              <w:rPr>
                <w:b w:val="0"/>
                <w:i w:val="0"/>
                <w:sz w:val="20"/>
              </w:rPr>
              <w:t>Controls through every handover</w:t>
            </w:r>
          </w:p>
        </w:tc>
        <w:tc>
          <w:tcPr>
            <w:tcW w:type="dxa" w:w="6530"/>
            <w:vAlign w:val="center"/>
            <w:tcMar>
              <w:top w:w="80" w:type="dxa"/>
              <w:bottom w:w="80" w:type="dxa"/>
              <w:left w:w="100" w:type="dxa"/>
              <w:right w:w="100" w:type="dxa"/>
            </w:tcMar>
            <w:shd w:fill="FFFFFF"/>
          </w:tcPr>
          <w:p>
            <w:pPr>
              <w:keepNext w:val="0"/>
              <w:spacing w:after="0" w:before="0" w:line="252" w:lineRule="auto"/>
            </w:pPr>
            <w:r>
              <w:rPr>
                <w:b w:val="0"/>
                <w:i w:val="0"/>
                <w:sz w:val="20"/>
              </w:rPr>
              <w:t>Retain segregation of duties, authorised access, independent release approval and bar and cash reconciliation when work moves between teams. Match transferred activity to the receiving location's approved capacity, permissions and operating limits.</w:t>
            </w:r>
          </w:p>
        </w:tc>
      </w:tr>
      <w:tr>
        <w:trPr>
          <w:cantSplit/>
        </w:trPr>
        <w:tc>
          <w:tcPr>
            <w:tcW w:type="dxa" w:w="3216"/>
            <w:vAlign w:val="center"/>
            <w:tcMar>
              <w:top w:w="80" w:type="dxa"/>
              <w:bottom w:w="80" w:type="dxa"/>
              <w:left w:w="100" w:type="dxa"/>
              <w:right w:w="100" w:type="dxa"/>
            </w:tcMar>
            <w:shd w:fill="F4F7F8"/>
          </w:tcPr>
          <w:p>
            <w:pPr>
              <w:keepNext w:val="0"/>
              <w:spacing w:after="0" w:before="0" w:line="252" w:lineRule="auto"/>
            </w:pPr>
            <w:r>
              <w:rPr>
                <w:b w:val="0"/>
                <w:i w:val="0"/>
                <w:sz w:val="20"/>
              </w:rPr>
              <w:t>Integration into business resilience</w:t>
            </w:r>
          </w:p>
        </w:tc>
        <w:tc>
          <w:tcPr>
            <w:tcW w:type="dxa" w:w="6530"/>
            <w:vAlign w:val="center"/>
            <w:tcMar>
              <w:top w:w="80" w:type="dxa"/>
              <w:bottom w:w="80" w:type="dxa"/>
              <w:left w:w="100" w:type="dxa"/>
              <w:right w:w="100" w:type="dxa"/>
            </w:tcMar>
            <w:shd w:fill="F4F7F8"/>
          </w:tcPr>
          <w:p>
            <w:pPr>
              <w:keepNext w:val="0"/>
              <w:spacing w:after="0" w:before="0" w:line="252" w:lineRule="auto"/>
            </w:pPr>
            <w:r>
              <w:rPr>
                <w:b w:val="0"/>
                <w:i w:val="0"/>
                <w:sz w:val="20"/>
              </w:rPr>
              <w:t>Integrate the expanded operating network, cross-training and staff and capacity redeployment into the business resilience strategy. Test absence, site disruption and volume-spike scenarios through recovery exercises; record outcomes, resolve gaps and refresh coverage as the network grows.</w:t>
            </w:r>
          </w:p>
        </w:tc>
      </w:tr>
    </w:tbl>
    <w:p>
      <w:pPr>
        <w:spacing w:after="60" w:before="0" w:line="40" w:lineRule="exact"/>
      </w:pPr>
      <w:r>
        <w:rPr>
          <w:sz w:val="4"/>
        </w:rPr>
      </w:r>
    </w:p>
    <w:p>
      <w:r>
        <w:rPr>
          <w:b w:val="0"/>
          <w:i w:val="0"/>
        </w:rPr>
        <w:t>Make resilience part of the operating design: people, capacity and controls should support continuity together.</w:t>
      </w:r>
    </w:p>
    <w:p>
      <w:r>
        <w:rPr>
          <w:b w:val="0"/>
          <w:i w:val="0"/>
        </w:rPr>
        <w:t xml:space="preserve">Related operating controls: </w:t>
      </w:r>
      <w:hyperlink r:id="rId108">
        <w:r>
          <w:rPr>
            <w:color w:val="235779"/>
            <w:u w:val="single"/>
          </w:rPr>
          <w:t>Custody and physical liquidity</w:t>
        </w:r>
      </w:hyperlink>
      <w:r>
        <w:rPr>
          <w:b w:val="0"/>
          <w:i w:val="0"/>
        </w:rPr>
        <w:t xml:space="preserve"> · </w:t>
      </w:r>
      <w:hyperlink r:id="rId110">
        <w:r>
          <w:rPr>
            <w:color w:val="235779"/>
            <w:u w:val="single"/>
          </w:rPr>
          <w:t>Operating risk register</w:t>
        </w:r>
      </w:hyperlink>
    </w:p>
    <w:sectPr w:rsidR="00FC693F" w:rsidRPr="0006063C" w:rsidSect="00034616">
      <w:pgSz w:w="11906" w:h="16838"/>
      <w:pgMar w:top="960" w:right="1080" w:bottom="920" w:left="1080" w:header="400" w:footer="4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t xml:space="preserve">BlackRock research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20"/>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2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60" w:line="240" w:lineRule="auto" w:before="0"/>
      <w:contextualSpacing/>
    </w:pPr>
    <w:rPr>
      <w:rFonts w:asciiTheme="majorHAnsi" w:eastAsiaTheme="majorEastAsia" w:hAnsiTheme="majorHAnsi" w:cstheme="majorBidi" w:ascii="Arial" w:hAnsi="Arial"/>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Arial" w:hAnsi="Arial"/>
      <w:b w:val="0"/>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color w:val="000000"/>
    </w:rPr>
  </w:style>
  <w:style w:type="paragraph" w:styleId="BodyText">
    <w:name w:val="Body Text"/>
    <w:basedOn w:val="Normal"/>
    <w:link w:val="BodyTextChar"/>
    <w:uiPriority w:val="99"/>
    <w:unhideWhenUsed/>
    <w:rsid w:val="00AA1D8D"/>
    <w:pPr>
      <w:spacing w:after="120"/>
    </w:pPr>
    <w:rPr>
      <w:rFonts w:ascii="Arial" w:hAnsi="Arial"/>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Arial" w:hAnsi="Arial"/>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Arial" w:hAnsi="Arial"/>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Arial" w:hAnsi="Arial"/>
      <w:color w:val="000000"/>
    </w:rPr>
  </w:style>
  <w:style w:type="paragraph" w:styleId="List2">
    <w:name w:val="List 2"/>
    <w:basedOn w:val="Normal"/>
    <w:uiPriority w:val="99"/>
    <w:unhideWhenUsed/>
    <w:rsid w:val="00326F90"/>
    <w:pPr>
      <w:ind w:left="720" w:hanging="360"/>
      <w:contextualSpacing/>
    </w:pPr>
    <w:rPr>
      <w:rFonts w:ascii="Arial" w:hAnsi="Arial"/>
      <w:color w:val="000000"/>
    </w:rPr>
  </w:style>
  <w:style w:type="paragraph" w:styleId="List3">
    <w:name w:val="List 3"/>
    <w:basedOn w:val="Normal"/>
    <w:uiPriority w:val="99"/>
    <w:unhideWhenUsed/>
    <w:rsid w:val="00326F90"/>
    <w:pPr>
      <w:ind w:left="1080" w:hanging="360"/>
      <w:contextualSpacing/>
    </w:pPr>
    <w:rPr>
      <w:rFonts w:ascii="Arial" w:hAnsi="Arial"/>
      <w:color w:val="000000"/>
    </w:rPr>
  </w:style>
  <w:style w:type="paragraph" w:styleId="ListBullet">
    <w:name w:val="List Bullet"/>
    <w:basedOn w:val="Normal"/>
    <w:uiPriority w:val="99"/>
    <w:unhideWhenUsed/>
    <w:rsid w:val="00326F90"/>
    <w:pPr>
      <w:numPr>
        <w:numId w:val="1"/>
      </w:numPr>
      <w:spacing w:after="100"/>
      <w:contextualSpacing/>
    </w:pPr>
    <w:rPr>
      <w:rFonts w:ascii="Arial" w:hAnsi="Arial"/>
      <w:color w:val="000000"/>
      <w:sz w:val="21"/>
    </w:rPr>
  </w:style>
  <w:style w:type="paragraph" w:styleId="ListBullet2">
    <w:name w:val="List Bullet 2"/>
    <w:basedOn w:val="Normal"/>
    <w:uiPriority w:val="99"/>
    <w:unhideWhenUsed/>
    <w:rsid w:val="00326F90"/>
    <w:pPr>
      <w:numPr>
        <w:numId w:val="2"/>
      </w:numPr>
      <w:contextualSpacing/>
    </w:pPr>
    <w:rPr>
      <w:rFonts w:ascii="Arial" w:hAnsi="Arial"/>
      <w:color w:val="000000"/>
    </w:rPr>
  </w:style>
  <w:style w:type="paragraph" w:styleId="ListBullet3">
    <w:name w:val="List Bullet 3"/>
    <w:basedOn w:val="Normal"/>
    <w:uiPriority w:val="99"/>
    <w:unhideWhenUsed/>
    <w:rsid w:val="00326F90"/>
    <w:pPr>
      <w:numPr>
        <w:numId w:val="3"/>
      </w:numPr>
      <w:contextualSpacing/>
    </w:pPr>
    <w:rPr>
      <w:rFonts w:ascii="Arial" w:hAnsi="Arial"/>
      <w:color w:val="000000"/>
    </w:rPr>
  </w:style>
  <w:style w:type="paragraph" w:styleId="ListNumber">
    <w:name w:val="List Number"/>
    <w:basedOn w:val="Normal"/>
    <w:uiPriority w:val="99"/>
    <w:unhideWhenUsed/>
    <w:rsid w:val="00326F90"/>
    <w:pPr>
      <w:numPr>
        <w:numId w:val="5"/>
      </w:numPr>
      <w:spacing w:after="100"/>
      <w:contextualSpacing/>
    </w:pPr>
    <w:rPr>
      <w:rFonts w:ascii="Arial" w:hAnsi="Arial"/>
      <w:color w:val="000000"/>
      <w:sz w:val="21"/>
    </w:rPr>
  </w:style>
  <w:style w:type="paragraph" w:styleId="ListNumber2">
    <w:name w:val="List Number 2"/>
    <w:basedOn w:val="Normal"/>
    <w:uiPriority w:val="99"/>
    <w:unhideWhenUsed/>
    <w:rsid w:val="0029639D"/>
    <w:pPr>
      <w:numPr>
        <w:numId w:val="6"/>
      </w:numPr>
      <w:contextualSpacing/>
    </w:pPr>
    <w:rPr>
      <w:rFonts w:ascii="Arial" w:hAnsi="Arial"/>
      <w:color w:val="000000"/>
    </w:rPr>
  </w:style>
  <w:style w:type="paragraph" w:styleId="ListNumber3">
    <w:name w:val="List Number 3"/>
    <w:basedOn w:val="Normal"/>
    <w:uiPriority w:val="99"/>
    <w:unhideWhenUsed/>
    <w:rsid w:val="0029639D"/>
    <w:pPr>
      <w:numPr>
        <w:numId w:val="7"/>
      </w:numPr>
      <w:contextualSpacing/>
    </w:pPr>
    <w:rPr>
      <w:rFonts w:ascii="Arial" w:hAnsi="Arial"/>
      <w:color w:val="000000"/>
    </w:rPr>
  </w:style>
  <w:style w:type="paragraph" w:styleId="ListContinue">
    <w:name w:val="List Continue"/>
    <w:basedOn w:val="Normal"/>
    <w:uiPriority w:val="99"/>
    <w:unhideWhenUsed/>
    <w:rsid w:val="0029639D"/>
    <w:pPr>
      <w:spacing w:after="120"/>
      <w:ind w:left="360"/>
      <w:contextualSpacing/>
    </w:pPr>
    <w:rPr>
      <w:rFonts w:ascii="Arial" w:hAnsi="Arial"/>
      <w:color w:val="000000"/>
    </w:rPr>
  </w:style>
  <w:style w:type="paragraph" w:styleId="ListContinue2">
    <w:name w:val="List Continue 2"/>
    <w:basedOn w:val="Normal"/>
    <w:uiPriority w:val="99"/>
    <w:unhideWhenUsed/>
    <w:rsid w:val="0029639D"/>
    <w:pPr>
      <w:spacing w:after="120"/>
      <w:ind w:left="720"/>
      <w:contextualSpacing/>
    </w:pPr>
    <w:rPr>
      <w:rFonts w:ascii="Arial" w:hAnsi="Arial"/>
      <w:color w:val="000000"/>
    </w:rPr>
  </w:style>
  <w:style w:type="paragraph" w:styleId="ListContinue3">
    <w:name w:val="List Continue 3"/>
    <w:basedOn w:val="Normal"/>
    <w:uiPriority w:val="99"/>
    <w:unhideWhenUsed/>
    <w:rsid w:val="0029639D"/>
    <w:pPr>
      <w:spacing w:after="120"/>
      <w:ind w:left="1080"/>
      <w:contextualSpacing/>
    </w:pPr>
    <w:rPr>
      <w:rFonts w:ascii="Arial" w:hAnsi="Arial"/>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Arial" w:hAnsi="Arial"/>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Arial" w:hAnsi="Arial"/>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Arial" w:hAnsi="Arial"/>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custody-verification/UK-US-CUSTODY-REVIEW.html" TargetMode="External"/><Relationship Id="rId11" Type="http://schemas.openxmlformats.org/officeDocument/2006/relationships/hyperlink" Target="Location-strategy-proposal.html" TargetMode="External"/><Relationship Id="rId12" Type="http://schemas.openxmlformats.org/officeDocument/2006/relationships/hyperlink" Target="https://www.ishares.com/gls-download/literature/prospectus/ishares-base-prospectus-2026.pdf#page=56" TargetMode="External"/><Relationship Id="rId13" Type="http://schemas.openxmlformats.org/officeDocument/2006/relationships/hyperlink" Target="https://www.ishares.com/uk/individual/en/products/258441" TargetMode="External"/><Relationship Id="rId14" Type="http://schemas.openxmlformats.org/officeDocument/2006/relationships/hyperlink" Target="../europe-bullion/gold/product-page.html" TargetMode="External"/><Relationship Id="rId15" Type="http://schemas.openxmlformats.org/officeDocument/2006/relationships/hyperlink" Target="https://www.ishares.com/gls-download/literature/prospectus/ishares-base-prospectus-2026.pdf" TargetMode="External"/><Relationship Id="rId16" Type="http://schemas.openxmlformats.org/officeDocument/2006/relationships/hyperlink" Target="../europe-bullion/shared/ishares-base-prospectus-2026.pdf" TargetMode="External"/><Relationship Id="rId17" Type="http://schemas.openxmlformats.org/officeDocument/2006/relationships/hyperlink" Target="https://www.ishares.com/uk/individual/en/products/258443" TargetMode="External"/><Relationship Id="rId18" Type="http://schemas.openxmlformats.org/officeDocument/2006/relationships/hyperlink" Target="../europe-bullion/silver/product-page.html" TargetMode="External"/><Relationship Id="rId19" Type="http://schemas.openxmlformats.org/officeDocument/2006/relationships/hyperlink" Target="https://www.ishares.com/uk/individual/en/products/258442" TargetMode="External"/><Relationship Id="rId20" Type="http://schemas.openxmlformats.org/officeDocument/2006/relationships/hyperlink" Target="../europe-bullion/platinum/product-page.html" TargetMode="External"/><Relationship Id="rId21" Type="http://schemas.openxmlformats.org/officeDocument/2006/relationships/hyperlink" Target="https://www.ishares.com/uk/individual/en/products/256574" TargetMode="External"/><Relationship Id="rId22" Type="http://schemas.openxmlformats.org/officeDocument/2006/relationships/hyperlink" Target="../europe-bullion/palladium/product-page.html" TargetMode="External"/><Relationship Id="rId23" Type="http://schemas.openxmlformats.org/officeDocument/2006/relationships/hyperlink" Target="https://www.ishares.com/uk/individual/en/products/326439" TargetMode="External"/><Relationship Id="rId24" Type="http://schemas.openxmlformats.org/officeDocument/2006/relationships/hyperlink" Target="../europe-bullion/gold-eur-hedged/product-page.html" TargetMode="External"/><Relationship Id="rId25" Type="http://schemas.openxmlformats.org/officeDocument/2006/relationships/hyperlink" Target="https://www.ishares.com/uk/individual/en/products/326442" TargetMode="External"/><Relationship Id="rId26" Type="http://schemas.openxmlformats.org/officeDocument/2006/relationships/hyperlink" Target="../europe-bullion/gold-gbp-hedged/product-page.html" TargetMode="External"/><Relationship Id="rId27" Type="http://schemas.openxmlformats.org/officeDocument/2006/relationships/hyperlink" Target="https://www.blackrock.com/ch/individual/en/literature/prospectus/swiss-ishares-prospectus-en.pdf#page=12" TargetMode="External"/><Relationship Id="rId28" Type="http://schemas.openxmlformats.org/officeDocument/2006/relationships/hyperlink" Target="https://www.blackrock.com/ch/individual/en/products/261149/ishares-gold-ch-fund" TargetMode="External"/><Relationship Id="rId29" Type="http://schemas.openxmlformats.org/officeDocument/2006/relationships/hyperlink" Target="../europe-bullion/swiss-gold/product-page.html" TargetMode="External"/><Relationship Id="rId30" Type="http://schemas.openxmlformats.org/officeDocument/2006/relationships/hyperlink" Target="https://www.blackrock.com/ch/individual/en/literature/prospectus/swiss-ishares-prospectus-en.pdf" TargetMode="External"/><Relationship Id="rId31" Type="http://schemas.openxmlformats.org/officeDocument/2006/relationships/hyperlink" Target="../europe-bullion/shared/swiss-ishares-prospectus-en.pdf" TargetMode="External"/><Relationship Id="rId32" Type="http://schemas.openxmlformats.org/officeDocument/2006/relationships/hyperlink" Target="https://www.blackrock.com/ch/individual/en/products/261151/ishares-gold-chf-hedged-ch-fund" TargetMode="External"/><Relationship Id="rId33" Type="http://schemas.openxmlformats.org/officeDocument/2006/relationships/hyperlink" Target="../europe-bullion/swiss-gold-chf-hedged/product-page.html" TargetMode="External"/><Relationship Id="rId34" Type="http://schemas.openxmlformats.org/officeDocument/2006/relationships/hyperlink" Target="https://www.blackrock.com/ch/individual/en/products/261152/ishares-gold-eur-hedged-ch-fund" TargetMode="External"/><Relationship Id="rId35" Type="http://schemas.openxmlformats.org/officeDocument/2006/relationships/hyperlink" Target="../europe-bullion/swiss-gold-eur-hedged/product-page.html" TargetMode="External"/><Relationship Id="rId36" Type="http://schemas.openxmlformats.org/officeDocument/2006/relationships/hyperlink" Target="https://www.sec.gov/Archives/edgar/data/1278680/000143774916043688/ex10-1.htm" TargetMode="External"/><Relationship Id="rId37" Type="http://schemas.openxmlformats.org/officeDocument/2006/relationships/hyperlink" Target="https://www.ishares.com/us/products/239561/ishares-gold-trust-fund" TargetMode="External"/><Relationship Id="rId38" Type="http://schemas.openxmlformats.org/officeDocument/2006/relationships/hyperlink" Target="../us-bullion/IAU/product-page.html" TargetMode="External"/><Relationship Id="rId39" Type="http://schemas.openxmlformats.org/officeDocument/2006/relationships/hyperlink" Target="https://www.ishares.com/us/literature/prospectus/p-ishares-gold-trust-prospectus-12-31.pdf" TargetMode="External"/><Relationship Id="rId40" Type="http://schemas.openxmlformats.org/officeDocument/2006/relationships/hyperlink" Target="../us-bullion/IAU/p-ishares-gold-trust-prospectus-12-31.pdf" TargetMode="External"/><Relationship Id="rId41" Type="http://schemas.openxmlformats.org/officeDocument/2006/relationships/hyperlink" Target="../us-bullion/IAU/legal-000143774916043688-ex10-1.htm-extracted.md" TargetMode="External"/><Relationship Id="rId42" Type="http://schemas.openxmlformats.org/officeDocument/2006/relationships/hyperlink" Target="https://www.sec.gov/Archives/edgar/data/1278680/000143774926026002/iau20260630c_10q.htm" TargetMode="External"/><Relationship Id="rId43" Type="http://schemas.openxmlformats.org/officeDocument/2006/relationships/hyperlink" Target="../us-bullion/IAU/sec-2026-06-30-10-Q-000143774926026002-extracted.md" TargetMode="External"/><Relationship Id="rId44" Type="http://schemas.openxmlformats.org/officeDocument/2006/relationships/hyperlink" Target="https://www.sec.gov/Archives/edgar/data/1278680/000143774920016631/ex_194292.htm" TargetMode="External"/><Relationship Id="rId45" Type="http://schemas.openxmlformats.org/officeDocument/2006/relationships/hyperlink" Target="../us-bullion/IAU/legal-000143774920016631-ex_194292.htm-extracted.md" TargetMode="External"/><Relationship Id="rId46" Type="http://schemas.openxmlformats.org/officeDocument/2006/relationships/hyperlink" Target="https://www.sec.gov/Archives/edgar/data/1759124/000143774921015152/ex_258138.htm" TargetMode="External"/><Relationship Id="rId47" Type="http://schemas.openxmlformats.org/officeDocument/2006/relationships/hyperlink" Target="https://www.ishares.com/us/products/306979/ishares-gold-trust-micro" TargetMode="External"/><Relationship Id="rId48" Type="http://schemas.openxmlformats.org/officeDocument/2006/relationships/hyperlink" Target="../us-bullion/IAUM/product-page.html" TargetMode="External"/><Relationship Id="rId49" Type="http://schemas.openxmlformats.org/officeDocument/2006/relationships/hyperlink" Target="https://www.ishares.com/us/literature/prospectus/p-ishares-gold-trust-micro-12-31.pdf" TargetMode="External"/><Relationship Id="rId50" Type="http://schemas.openxmlformats.org/officeDocument/2006/relationships/hyperlink" Target="../us-bullion/IAUM/p-ishares-gold-trust-micro-12-31.pdf" TargetMode="External"/><Relationship Id="rId51" Type="http://schemas.openxmlformats.org/officeDocument/2006/relationships/hyperlink" Target="../us-bullion/IAUM/legal-000143774921015152-ex_258138.htm-extracted.md" TargetMode="External"/><Relationship Id="rId52" Type="http://schemas.openxmlformats.org/officeDocument/2006/relationships/hyperlink" Target="https://www.sec.gov/Archives/edgar/data/1759124/000143774926026003/iaum20260630_10q.htm" TargetMode="External"/><Relationship Id="rId53" Type="http://schemas.openxmlformats.org/officeDocument/2006/relationships/hyperlink" Target="../us-bullion/IAUM/sec-2026-06-30-10-Q-000143774926026003-extracted.md" TargetMode="External"/><Relationship Id="rId54" Type="http://schemas.openxmlformats.org/officeDocument/2006/relationships/hyperlink" Target="https://www.sec.gov/Archives/edgar/data/1330568/000143774916043693/ex10-1.htm" TargetMode="External"/><Relationship Id="rId55" Type="http://schemas.openxmlformats.org/officeDocument/2006/relationships/hyperlink" Target="https://www.ishares.com/us/products/239855/ishares-silver-trust-fund" TargetMode="External"/><Relationship Id="rId56" Type="http://schemas.openxmlformats.org/officeDocument/2006/relationships/hyperlink" Target="../us-bullion/SLV/product-page.html" TargetMode="External"/><Relationship Id="rId57" Type="http://schemas.openxmlformats.org/officeDocument/2006/relationships/hyperlink" Target="https://www.ishares.com/us/literature/prospectus/p-ishares-silver-trust-prospectus-12-31.pdf" TargetMode="External"/><Relationship Id="rId58" Type="http://schemas.openxmlformats.org/officeDocument/2006/relationships/hyperlink" Target="../us-bullion/SLV/p-ishares-silver-trust-prospectus-12-31.pdf" TargetMode="External"/><Relationship Id="rId59" Type="http://schemas.openxmlformats.org/officeDocument/2006/relationships/hyperlink" Target="../us-bullion/SLV/legal-000143774916043693-ex10-1.htm-extracted.md" TargetMode="External"/><Relationship Id="rId60" Type="http://schemas.openxmlformats.org/officeDocument/2006/relationships/hyperlink" Target="https://www.sec.gov/Archives/edgar/data/1330568/000143774926026005/slv20260630_10q.htm" TargetMode="External"/><Relationship Id="rId61" Type="http://schemas.openxmlformats.org/officeDocument/2006/relationships/hyperlink" Target="../us-bullion/SLV/sec-2026-06-30-10-Q-000143774926026005-extracted.md" TargetMode="External"/><Relationship Id="rId62" Type="http://schemas.openxmlformats.org/officeDocument/2006/relationships/hyperlink" Target="https://www.sec.gov/Archives/edgar/data/1330568/000143774920014378/ex_192438.htm" TargetMode="External"/><Relationship Id="rId63" Type="http://schemas.openxmlformats.org/officeDocument/2006/relationships/hyperlink" Target="../custody-verification/sources/SLV-2020-custody-amendment-extracted.md" TargetMode="External"/><Relationship Id="rId64" Type="http://schemas.openxmlformats.org/officeDocument/2006/relationships/hyperlink" Target="https://www.blackrock.com/ca/investors/en/literature/prospectus/cgl-prospectus-en-ca.pdf#page=21" TargetMode="External"/><Relationship Id="rId65" Type="http://schemas.openxmlformats.org/officeDocument/2006/relationships/hyperlink" Target="https://www.blackrock.com/ca/investors/en/products/272269/ishares-gold-bullion-etf" TargetMode="External"/><Relationship Id="rId66" Type="http://schemas.openxmlformats.org/officeDocument/2006/relationships/hyperlink" Target="../miners-global/CGL/product-page.html" TargetMode="External"/><Relationship Id="rId67" Type="http://schemas.openxmlformats.org/officeDocument/2006/relationships/hyperlink" Target="https://www.blackrock.com/ca/investors/en/literature/prospectus/cgl-prospectus-en-ca.pdf" TargetMode="External"/><Relationship Id="rId68" Type="http://schemas.openxmlformats.org/officeDocument/2006/relationships/hyperlink" Target="../miners-global/CGL/cgl-prospectus-en-ca.pdf" TargetMode="External"/><Relationship Id="rId69" Type="http://schemas.openxmlformats.org/officeDocument/2006/relationships/hyperlink" Target="https://www.blackrock.com/ca/investors/en/products/241528/ishares-gold-bullion-etf" TargetMode="External"/><Relationship Id="rId70" Type="http://schemas.openxmlformats.org/officeDocument/2006/relationships/hyperlink" Target="../miners-global/CGL.C/product-page.html" TargetMode="External"/><Relationship Id="rId71" Type="http://schemas.openxmlformats.org/officeDocument/2006/relationships/hyperlink" Target="https://www.blackrock.com/ca/investors/en/products/272952/ishares-silver-bullion-etf" TargetMode="External"/><Relationship Id="rId72" Type="http://schemas.openxmlformats.org/officeDocument/2006/relationships/hyperlink" Target="../miners-global/SVR/product-page.html" TargetMode="External"/><Relationship Id="rId73" Type="http://schemas.openxmlformats.org/officeDocument/2006/relationships/hyperlink" Target="https://www.blackrock.com/ca/investors/en/products/240642/ishares-silver-bullion-etf" TargetMode="External"/><Relationship Id="rId74" Type="http://schemas.openxmlformats.org/officeDocument/2006/relationships/hyperlink" Target="../miners-global/SVR.C/product-page.html" TargetMode="External"/><Relationship Id="rId75" Type="http://schemas.openxmlformats.org/officeDocument/2006/relationships/hyperlink" Target="https://www.blackrock.com/au/products/332696/ishares-physical-gold-etf" TargetMode="External"/><Relationship Id="rId76" Type="http://schemas.openxmlformats.org/officeDocument/2006/relationships/hyperlink" Target="../miners-global/GLDN/product-page.html" TargetMode="External"/><Relationship Id="rId77" Type="http://schemas.openxmlformats.org/officeDocument/2006/relationships/hyperlink" Target="https://www.blackrock.com/au/literature/product-disclosure-statement/ishares-physical-gold-etf-product-disclosure-statement-en-au.pdf" TargetMode="External"/><Relationship Id="rId78" Type="http://schemas.openxmlformats.org/officeDocument/2006/relationships/hyperlink" Target="../miners-global/GLDN/ishares-physical-gold-etf-product-disclosure-statement-en-au.pdf" TargetMode="External"/><Relationship Id="rId79" Type="http://schemas.openxmlformats.org/officeDocument/2006/relationships/hyperlink" Target="https://www.blackrock.com/jp/individual-en/en/products/341438/ishares-gold-etf" TargetMode="External"/><Relationship Id="rId80" Type="http://schemas.openxmlformats.org/officeDocument/2006/relationships/hyperlink" Target="../miners-global/314A/product-page.html" TargetMode="External"/><Relationship Id="rId81" Type="http://schemas.openxmlformats.org/officeDocument/2006/relationships/hyperlink" Target="https://www.blackrock.com/jp/individual/ja/literature/prospectus/ishares-gold-etf-mokuromisho-koufu-jp-ja.pdf" TargetMode="External"/><Relationship Id="rId82" Type="http://schemas.openxmlformats.org/officeDocument/2006/relationships/hyperlink" Target="../miners-global/314A/ishares-gold-etf-mokuromisho-koufu-jp-ja.pdf" TargetMode="External"/><Relationship Id="rId83" Type="http://schemas.openxmlformats.org/officeDocument/2006/relationships/hyperlink" Target="https://www.blackrock.com/jp/individual/ja/products/351101/ishares-silver-etf" TargetMode="External"/><Relationship Id="rId84" Type="http://schemas.openxmlformats.org/officeDocument/2006/relationships/hyperlink" Target="../miners-global/568A/product-page.html" TargetMode="External"/><Relationship Id="rId85" Type="http://schemas.openxmlformats.org/officeDocument/2006/relationships/hyperlink" Target="https://www.blackrock.com/jp/individual/ja/literature/prospectus/ishares-silver-etf-mokuromisho-koufu-jp-ja.pdf" TargetMode="External"/><Relationship Id="rId86" Type="http://schemas.openxmlformats.org/officeDocument/2006/relationships/hyperlink" Target="../miners-global/568A/ishares-silver-etf-mokuromisho-koufu-jp-ja.pdf" TargetMode="External"/><Relationship Id="rId87" Type="http://schemas.openxmlformats.org/officeDocument/2006/relationships/hyperlink" Target="https://www.blackrock.com/jp/individual/ja/products/351105/ishares-platinum-etf" TargetMode="External"/><Relationship Id="rId88" Type="http://schemas.openxmlformats.org/officeDocument/2006/relationships/hyperlink" Target="../miners-global/569A/product-page.html" TargetMode="External"/><Relationship Id="rId89" Type="http://schemas.openxmlformats.org/officeDocument/2006/relationships/hyperlink" Target="https://www.blackrock.com/jp/individual/ja/literature/prospectus/ishares-platinum-etf-mokuromisho-koufu-jp-ja.pdf" TargetMode="External"/><Relationship Id="rId90" Type="http://schemas.openxmlformats.org/officeDocument/2006/relationships/hyperlink" Target="../miners-global/569A/ishares-platinum-etf-mokuromisho-koufu-jp-ja.pdf" TargetMode="External"/><Relationship Id="rId91" Type="http://schemas.openxmlformats.org/officeDocument/2006/relationships/hyperlink" Target="../location-strategy/WORKED-EXAMPLE.md" TargetMode="External"/><Relationship Id="rId92" Type="http://schemas.openxmlformats.org/officeDocument/2006/relationships/hyperlink" Target="../deep-diligence/legal/legal-redteam.md" TargetMode="External"/><Relationship Id="rId93" Type="http://schemas.openxmlformats.org/officeDocument/2006/relationships/hyperlink" Target="../pitch-research/iibx/IIBX-BRIEF.md" TargetMode="External"/><Relationship Id="rId94" Type="http://schemas.openxmlformats.org/officeDocument/2006/relationships/hyperlink" Target="BlackRock-bullion-appendix.html#page-4" TargetMode="External"/><Relationship Id="rId95" Type="http://schemas.openxmlformats.org/officeDocument/2006/relationships/hyperlink" Target="https://www.sec.gov/Archives/edgar/data/1330568/000143774922001934/ex_329253.htm" TargetMode="External"/><Relationship Id="rId96" Type="http://schemas.openxmlformats.org/officeDocument/2006/relationships/hyperlink" Target="../revenue-analysis/REVENUE-ESTIMATES.md" TargetMode="External"/><Relationship Id="rId97" Type="http://schemas.openxmlformats.org/officeDocument/2006/relationships/hyperlink" Target="../deep-diligence/commercial/COMMERCIAL-CASE.md" TargetMode="External"/><Relationship Id="rId98" Type="http://schemas.openxmlformats.org/officeDocument/2006/relationships/hyperlink" Target="https://www.ishares.com/us/literature/annual-filings/slv-1231.pdf" TargetMode="External"/><Relationship Id="rId99" Type="http://schemas.openxmlformats.org/officeDocument/2006/relationships/hyperlink" Target="../location-strategy/sources/SLV-vault-summary-20260923.pdf" TargetMode="External"/><Relationship Id="rId100" Type="http://schemas.openxmlformats.org/officeDocument/2006/relationships/image" Target="media/image1.png"/><Relationship Id="rId101" Type="http://schemas.openxmlformats.org/officeDocument/2006/relationships/hyperlink" Target="../custody-pitch/CUSTODY-PITCH.md" TargetMode="External"/><Relationship Id="rId102" Type="http://schemas.openxmlformats.org/officeDocument/2006/relationships/hyperlink" Target="https://www.cmegroup.com/rulebook/COMEX/1a/112.pdf" TargetMode="External"/><Relationship Id="rId103" Type="http://schemas.openxmlformats.org/officeDocument/2006/relationships/hyperlink" Target="https://www.cmegroup.com/markets/metals/files/metals-warranting-fact-card.pdf" TargetMode="External"/><Relationship Id="rId104" Type="http://schemas.openxmlformats.org/officeDocument/2006/relationships/hyperlink" Target="../custody-pitch/MECHANICS-REVIEW.md" TargetMode="External"/><Relationship Id="rId105" Type="http://schemas.openxmlformats.org/officeDocument/2006/relationships/hyperlink" Target="../custody-pitch/staged-deployment-model.json" TargetMode="External"/><Relationship Id="rId106" Type="http://schemas.openxmlformats.org/officeDocument/2006/relationships/hyperlink" Target="../custody-pitch/STAGED-DEPLOYMENT.md" TargetMode="External"/><Relationship Id="rId107" Type="http://schemas.openxmlformats.org/officeDocument/2006/relationships/hyperlink" Target="../efp-review/FORWARD-EFP-METHODOLOGY.md" TargetMode="External"/><Relationship Id="rId108" Type="http://schemas.openxmlformats.org/officeDocument/2006/relationships/hyperlink" Target="../pitch-research/controls/CONTROLS-BRIEF.md" TargetMode="External"/><Relationship Id="rId109" Type="http://schemas.openxmlformats.org/officeDocument/2006/relationships/hyperlink" Target="https://www.ishares.com/us/literature/inspection-letters/slv-inspection.pdf" TargetMode="External"/><Relationship Id="rId110" Type="http://schemas.openxmlformats.org/officeDocument/2006/relationships/hyperlink" Target="../location-strategy/RISK-REGISTER.md" TargetMode="External"/><Relationship Id="rId111" Type="http://schemas.openxmlformats.org/officeDocument/2006/relationships/hyperlink" Target="https://services.citi.com/solutions/citi-token-services" TargetMode="External"/><Relationship Id="rId112" Type="http://schemas.openxmlformats.org/officeDocument/2006/relationships/hyperlink" Target="../research-extension/citi-settlement/capability-matrix.csv" TargetMode="External"/><Relationship Id="rId113" Type="http://schemas.openxmlformats.org/officeDocument/2006/relationships/hyperlink" Target="https://www.citigroup.com/global/about-us/strategy/digital-assets" TargetMode="External"/><Relationship Id="rId114" Type="http://schemas.openxmlformats.org/officeDocument/2006/relationships/hyperlink" Target="https://www.citigroup.com/global/news/press-release/2025/citi-integrates-citi-token-services-with-24-7-usd-clearing-real-time-cross-border-payments-liquidity-management" TargetMode="External"/><Relationship Id="rId115" Type="http://schemas.openxmlformats.org/officeDocument/2006/relationships/hyperlink" Target="https://www.citigroup.com/global/news/press-release/2026/citi-services-pioneers-live-transactions-swift-ledger-fab-ocbc-redefine-always-on-global-payments" TargetMode="External"/><Relationship Id="rId116" Type="http://schemas.openxmlformats.org/officeDocument/2006/relationships/hyperlink" Target="https://www.citigroup.com/global/news/press-release/2026/siam-commercial-bank-citi-24-7-usd-clearing-near-real-time-cross-border-payments-citi-token-services" TargetMode="External"/><Relationship Id="rId117" Type="http://schemas.openxmlformats.org/officeDocument/2006/relationships/hyperlink" Target="https://www.dbs.com/newsroom/DBS_and_Citi_partner_to_enable_instant_247_cross_border_USD_payments_with_tokenised_deposits" TargetMode="External"/><Relationship Id="rId118" Type="http://schemas.openxmlformats.org/officeDocument/2006/relationships/hyperlink" Target="../pitch-research/partnership-growth-20260924/REVISION.md" TargetMode="External"/><Relationship Id="rId119" Type="http://schemas.openxmlformats.org/officeDocument/2006/relationships/hyperlink" Target="../deep-diligence/customs/customs-redteam.md" TargetMode="External"/><Relationship Id="rId120" Type="http://schemas.openxmlformats.org/officeDocument/2006/relationships/hyperlink" Target="../pitch-research/china/CHINA-BASIS-BRIEF.md" TargetMode="External"/><Relationship Id="rId121" Type="http://schemas.openxmlformats.org/officeDocument/2006/relationships/hyperlink" Target="https://ifsca.gov.in/Document/Legal/circular-qualified-supplier-for-supply-of-bullion-on-iibx01052024064543.pdf" TargetMode="External"/><Relationship Id="rId122" Type="http://schemas.openxmlformats.org/officeDocument/2006/relationships/hyperlink" Target="https://iibx.co.in/Products/Spot_Silver" TargetMode="External"/><Relationship Id="rId123" Type="http://schemas.openxmlformats.org/officeDocument/2006/relationships/hyperlink" Target="https://iibx.co.in/Products/Spot_Gold" TargetMode="External"/><Relationship Id="rId124" Type="http://schemas.openxmlformats.org/officeDocument/2006/relationships/hyperlink" Target="../pitch-research/iibx/contracts.json" TargetMode="External"/><Relationship Id="rId125" Type="http://schemas.openxmlformats.org/officeDocument/2006/relationships/hyperlink" Target="https://www.bullionworld.in/documents/special-articles/2025/Jun-2025/India-International-Bullion-Exchange.pdf" TargetMode="External"/><Relationship Id="rId126" Type="http://schemas.openxmlformats.org/officeDocument/2006/relationships/hyperlink" Target="https://iidi.co.in/reports/2026-09-23-Daily-Bullion-Physical-Stock-details.pdf" TargetMode="External"/><Relationship Id="rId127" Type="http://schemas.openxmlformats.org/officeDocument/2006/relationships/hyperlink" Target="../pitch-research/iibx/monthly-volume.csv" TargetMode="External"/><Relationship Id="rId128" Type="http://schemas.openxmlformats.org/officeDocument/2006/relationships/hyperlink" Target="https://iibx.co.in/Exchange_Operations/SpotMarketSummary?tradeDate=2026-09-23" TargetMode="External"/><Relationship Id="rId129" Type="http://schemas.openxmlformats.org/officeDocument/2006/relationships/hyperlink" Target="../pitch-research/iibx/spot-prices-20260923.csv" TargetMode="External"/><Relationship Id="rId130" Type="http://schemas.openxmlformats.org/officeDocument/2006/relationships/hyperlink" Target="https://www.iidi.co.in/documents/forms/Standard%20Operating%20Procedure%20for%20Vault%20Manager_Version%201.3.pdf" TargetMode="External"/><Relationship Id="rId131" Type="http://schemas.openxmlformats.org/officeDocument/2006/relationships/hyperlink" Target="https://ifsca.gov.in/CommonDirect/DownloadFile?id=b64bc220b28b988fb41d045999c84e43&amp;fileName=Consolidated_Circular___Import_of_Gold_or_Silver___September_2026_20260922_1015.pdf" TargetMode="External"/><Relationship Id="rId132" Type="http://schemas.openxmlformats.org/officeDocument/2006/relationships/hyperlink" Target="https://iibx.co.in/Products/Spot_Silver?settlementType=T%20%2B%202&amp;DealType=Normal%20Deal&amp;Quota=Non%20TRQ%2FCEPA" TargetMode="External"/><Relationship Id="rId133" Type="http://schemas.openxmlformats.org/officeDocument/2006/relationships/hyperlink" Target="https://www.iibx.co.in/download/circulars/IIBX-MEM-2026-022/IIBX-MEM-2026-022.pdf" TargetMode="External"/><Relationship Id="rId134" Type="http://schemas.openxmlformats.org/officeDocument/2006/relationships/hyperlink" Target="https://www.iidi.co.in/vault-directory.html" TargetMode="External"/><Relationship Id="rId135" Type="http://schemas.openxmlformats.org/officeDocument/2006/relationships/image" Target="media/image2.png"/><Relationship Id="rId136" Type="http://schemas.openxmlformats.org/officeDocument/2006/relationships/hyperlink" Target="EFP-tariff-timeline.html" TargetMode="External"/><Relationship Id="rId137" Type="http://schemas.openxmlformats.org/officeDocument/2006/relationships/hyperlink" Target="../pitch-research/tariffs/timeline.csv" TargetMode="External"/><Relationship Id="rId138" Type="http://schemas.openxmlformats.org/officeDocument/2006/relationships/hyperlink" Target="https://www.gold.org/goldhub/gold-focus/2025/02/you-asked-we-answered-threat-us-tariffs-moving-gold-market" TargetMode="External"/><Relationship Id="rId139" Type="http://schemas.openxmlformats.org/officeDocument/2006/relationships/hyperlink" Target="https://www.whitehouse.gov/wp-content/uploads/2025/04/Annex-II.pdf#page=31" TargetMode="External"/><Relationship Id="rId140" Type="http://schemas.openxmlformats.org/officeDocument/2006/relationships/hyperlink" Target="https://home.cib.natixis.com/articles/trump-s-tariffs-prompt-metals-and-energy-market-recalibration" TargetMode="External"/><Relationship Id="rId141" Type="http://schemas.openxmlformats.org/officeDocument/2006/relationships/hyperlink" Target="../pitch-research/tariffs/TARIFF-EFP-TIMELINE.md" TargetMode="External"/><Relationship Id="rId142" Type="http://schemas.openxmlformats.org/officeDocument/2006/relationships/hyperlink" Target="https://www.bullionvault.com/gold-news/gold-price-news/gold-record-silver-trump-tariffs-011620251" TargetMode="External"/><Relationship Id="rId143" Type="http://schemas.openxmlformats.org/officeDocument/2006/relationships/hyperlink" Target="https://www.bullionvault.com/gold-news/gold-price-news/gold-record-trump-tariffs-013120251" TargetMode="External"/><Relationship Id="rId144" Type="http://schemas.openxmlformats.org/officeDocument/2006/relationships/hyperlink" Target="https://www.bullionvault.com/gold-news/gold-price-news/gold-silver-tariffs-bullion-exempt-040320251" TargetMode="External"/><Relationship Id="rId145" Type="http://schemas.openxmlformats.org/officeDocument/2006/relationships/hyperlink" Target="https://www.linkedin.com/posts/robert-gottlieb-519275319_silver-platinum-palladium-activity-7349145133197516803-cPbF" TargetMode="External"/><Relationship Id="rId146" Type="http://schemas.openxmlformats.org/officeDocument/2006/relationships/hyperlink" Target="https://www.home.saxo/content/articles/commodities/tariff-shock-sends-gold-futures-soaring--yet-spot-market-holds-the-real-signal-08082025" TargetMode="External"/><Relationship Id="rId147" Type="http://schemas.openxmlformats.org/officeDocument/2006/relationships/hyperlink" Target="https://www.linkedin.com/posts/robert-gottlieb-519275319_silver-otc-tightness-in-london-continues-activity-7381076267892207616-he4d" TargetMode="External"/><Relationship Id="rId148" Type="http://schemas.openxmlformats.org/officeDocument/2006/relationships/hyperlink" Target="https://www.linkedin.com/posts/robert-gottlieb-519275319_waiting-for-the-dust-to-settle-on-this-selloff-activity-7386827058338783232-6xHx" TargetMode="External"/><Relationship Id="rId149" Type="http://schemas.openxmlformats.org/officeDocument/2006/relationships/hyperlink" Target="https://www.linkedin.com/posts/robert-gottlieb-519275319_the-otc-london-cme-silver-dilemma-from-activity-7401718061176963072-uf96" TargetMode="External"/><Relationship Id="rId150" Type="http://schemas.openxmlformats.org/officeDocument/2006/relationships/hyperlink" Target="https://www.linkedin.com/posts/robert-gottlieb-519275319_silver-gold-preciousmetals-activity-7478147212921946113-mbsz" TargetMode="External"/><Relationship Id="rId151" Type="http://schemas.openxmlformats.org/officeDocument/2006/relationships/hyperlink" Target="https://www.linkedin.com/posts/robert-gottlieb-519275319_silver-activity-7488653197281087488-dDS1" TargetMode="External"/><Relationship Id="rId152" Type="http://schemas.openxmlformats.org/officeDocument/2006/relationships/hyperlink" Target="https://www.linkedin.com/posts/robert-gottlieb-519275319_implied-silver-efp-and-london-otc-rates-continue-activity-7491193824334143488-1Glh" TargetMode="External"/><Relationship Id="rId153" Type="http://schemas.openxmlformats.org/officeDocument/2006/relationships/hyperlink" Target="https://www.linkedin.com/posts/robert-gottlieb-519275319_silver-activity-7498081982480891906-M1oS" TargetMode="External"/><Relationship Id="rId154" Type="http://schemas.openxmlformats.org/officeDocument/2006/relationships/hyperlink" Target="https://rulings.cbp.gov/api/getdoc/ny/2025/N351466.pdf" TargetMode="External"/><Relationship Id="rId155" Type="http://schemas.openxmlformats.org/officeDocument/2006/relationships/hyperlink" Target="https://www.govinfo.gov/content/pkg/FR-2025-09-10/pdf/2025-17507.pdf#page=6" TargetMode="External"/><Relationship Id="rId156" Type="http://schemas.openxmlformats.org/officeDocument/2006/relationships/hyperlink" Target="https://silverinstitute.org/wp-content/uploads/2026/04/World-Silver-Survey-2026.pdf#page=28" TargetMode="External"/><Relationship Id="rId157" Type="http://schemas.openxmlformats.org/officeDocument/2006/relationships/hyperlink" Target="https://www.lbma.org.uk/articles/lbma-precious-metals-market-report-q4-and-full-year-2025" TargetMode="External"/><Relationship Id="rId158" Type="http://schemas.openxmlformats.org/officeDocument/2006/relationships/hyperlink" Target="https://www.supremecourt.gov/opinions/25pdf/24-1287_4gcj.pdf" TargetMode="External"/><Relationship Id="rId159" Type="http://schemas.openxmlformats.org/officeDocument/2006/relationships/hyperlink" Target="https://content.govdelivery.com/accounts/USDHSCBP/bulletins/40b11c9" TargetMode="External"/><Relationship Id="rId160" Type="http://schemas.openxmlformats.org/officeDocument/2006/relationships/hyperlink" Target="https://platinuminvestment.com/files/perspectives/WPIC_Platinum_Perspectives_March_2025(Exchangestocksandtariffs)V2.pdf" TargetMode="External"/><Relationship Id="rId161" Type="http://schemas.openxmlformats.org/officeDocument/2006/relationships/hyperlink" Target="https://en.sge.com.cn/upload/file/202001/17/BIa4e9Dk9iNNzInq.pdf" TargetMode="External"/><Relationship Id="rId162" Type="http://schemas.openxmlformats.org/officeDocument/2006/relationships/hyperlink" Target="https://en.sge.com.cn/eng_news_Announcement/10002290" TargetMode="External"/><Relationship Id="rId163" Type="http://schemas.openxmlformats.org/officeDocument/2006/relationships/hyperlink" Target="https://en.sge.com.cn/eng_news_Announcement/10002446" TargetMode="External"/><Relationship Id="rId164" Type="http://schemas.openxmlformats.org/officeDocument/2006/relationships/hyperlink" Target="https://www.gold.org/goldhub/gold-focus/2025/05/china-gold-market-update-unseen-investment-passion" TargetMode="External"/><Relationship Id="rId165" Type="http://schemas.openxmlformats.org/officeDocument/2006/relationships/hyperlink" Target="https://www.gold.org/goldhub/gold-focus/2025/04/chinas-gold-market-update-investment-boom-continues-march" TargetMode="External"/><Relationship Id="rId166" Type="http://schemas.openxmlformats.org/officeDocument/2006/relationships/hyperlink" Target="https://en.sge.com.cn/data/data_daily_international_new?start_date=2025-04-09&amp;end_date=2025-04-09" TargetMode="External"/><Relationship Id="rId167" Type="http://schemas.openxmlformats.org/officeDocument/2006/relationships/hyperlink" Target="https://www.lbma.org.uk/publications/the-code/annex-4-precious-metals-market-conventions" TargetMode="External"/><Relationship Id="rId168" Type="http://schemas.openxmlformats.org/officeDocument/2006/relationships/hyperlink" Target="https://www.cmegroup.com/rulebook/COMEX/1a/113.pdf" TargetMode="External"/><Relationship Id="rId169" Type="http://schemas.openxmlformats.org/officeDocument/2006/relationships/hyperlink" Target="../efp-review/gold/GOLD-EFP-BRIEF.md" TargetMode="External"/><Relationship Id="rId170" Type="http://schemas.openxmlformats.org/officeDocument/2006/relationships/hyperlink" Target="../efp-review/gold/gold-reported-observations.csv" TargetMode="External"/><Relationship Id="rId171" Type="http://schemas.openxmlformats.org/officeDocument/2006/relationships/hyperlink" Target="../efp-review/silver/SILVER-EFP-BRIEF.md" TargetMode="External"/><Relationship Id="rId172" Type="http://schemas.openxmlformats.org/officeDocument/2006/relationships/hyperlink" Target="../efp-review/silver/silver-observations.csv" TargetMode="External"/><Relationship Id="rId173" Type="http://schemas.openxmlformats.org/officeDocument/2006/relationships/hyperlink" Target="../efp-review/EFP-HISTORY.md" TargetMode="External"/><Relationship Id="rId174" Type="http://schemas.openxmlformats.org/officeDocument/2006/relationships/hyperlink" Target="../efp-review/forward-efp-input-template.csv" TargetMode="External"/><Relationship Id="rId175" Type="http://schemas.openxmlformats.org/officeDocument/2006/relationships/hyperlink" Target="https://www.cmegroup.com/content/dam/cmegroup/notices/ser/2025/03/ser-9515.pdf" TargetMode="External"/><Relationship Id="rId176" Type="http://schemas.openxmlformats.org/officeDocument/2006/relationships/hyperlink" Target="https://www.cmegroup.com/notices/clearing/2025/03/25-098.html" TargetMode="External"/><Relationship Id="rId177" Type="http://schemas.openxmlformats.org/officeDocument/2006/relationships/hyperlink" Target="https://www.ftportfolios.com/Retail/Etf/EtfDividHistory.aspx?Print=Y&amp;Ticker=IGLD&amp;year=2021" TargetMode="External"/><Relationship Id="rId178" Type="http://schemas.openxmlformats.org/officeDocument/2006/relationships/hyperlink" Target="https://www.iibx.co.in/static/gold995_specifications.aspx" TargetMode="External"/><Relationship Id="rId179" Type="http://schemas.openxmlformats.org/officeDocument/2006/relationships/hyperlink" Target="https://iibx.co.in/static/Silver_Bar.aspx" TargetMode="External"/><Relationship Id="rId180" Type="http://schemas.openxmlformats.org/officeDocument/2006/relationships/hyperlink" Target="https://www.blackrock.com/uk/literature/prospectus/ishares-base-prospectus-2026.pdf" TargetMode="External"/><Relationship Id="rId181" Type="http://schemas.openxmlformats.org/officeDocument/2006/relationships/hyperlink" Target="Operational-regulatory-risk.html" TargetMode="External"/><Relationship Id="rId182" Type="http://schemas.openxmlformats.org/officeDocument/2006/relationships/hyperlink" Target="https://www.whitehouse.gov/presidential-actions/2025/01/america-first-trade-policy/" TargetMode="External"/><Relationship Id="rId183" Type="http://schemas.openxmlformats.org/officeDocument/2006/relationships/hyperlink" Target="https://www.whitehouse.gov/presidential-actions/2025/02/imposing-duties-to-address-the-flow-of-illicit-drugs-across-our-national-border/" TargetMode="External"/><Relationship Id="rId184" Type="http://schemas.openxmlformats.org/officeDocument/2006/relationships/hyperlink" Target="https://www.whitehouse.gov/presidential-actions/2025/02/imposing-duties-to-address-the-situation-at-our-southern-border/" TargetMode="External"/><Relationship Id="rId185" Type="http://schemas.openxmlformats.org/officeDocument/2006/relationships/hyperlink" Target="https://www.whitehouse.gov/presidential-actions/2025/02/imposing-duties-to-address-the-synthetic-opioid-supply-chain-in-the-peoples-republic-of-china/" TargetMode="External"/><Relationship Id="rId186" Type="http://schemas.openxmlformats.org/officeDocument/2006/relationships/hyperlink" Target="https://www.lbma.org.uk/articles/lbma-engagement-on-recent-us-tariffs-on-china-hk" TargetMode="External"/><Relationship Id="rId187" Type="http://schemas.openxmlformats.org/officeDocument/2006/relationships/hyperlink" Target="https://www.whitehouse.gov/presidential-actions/2025/02/progress-on-the-situation-at-our-northern-border/" TargetMode="External"/><Relationship Id="rId188" Type="http://schemas.openxmlformats.org/officeDocument/2006/relationships/hyperlink" Target="https://www.whitehouse.gov/presidential-actions/2025/02/progress-on-the-situation-at-our-southern-border/" TargetMode="External"/><Relationship Id="rId189" Type="http://schemas.openxmlformats.org/officeDocument/2006/relationships/hyperlink" Target="https://www.gold.org/download/file/19520/You%20asked,%20we%20answered_Is%20the%20threat%20of%20US%20tariffs%20moving%20the%20gold%20market.pdf" TargetMode="External"/><Relationship Id="rId190" Type="http://schemas.openxmlformats.org/officeDocument/2006/relationships/hyperlink" Target="https://www.whitehouse.gov/presidential-actions/2025/03/further-amendment-to-duties-addressing-the-synthetic-opioid-supply-chain-in-the-peoples-republic-of-china/" TargetMode="External"/><Relationship Id="rId191" Type="http://schemas.openxmlformats.org/officeDocument/2006/relationships/hyperlink" Target="https://www.cbp.gov/newsroom/announcements/official-cbp-statement-tariffs" TargetMode="External"/><Relationship Id="rId192" Type="http://schemas.openxmlformats.org/officeDocument/2006/relationships/hyperlink" Target="https://www.whitehouse.gov/presidential-actions/2025/03/amendment-to-duties-to-address-the-flow-of-illicit-drugs-across-our-northern-border-0c3c/" TargetMode="External"/><Relationship Id="rId193" Type="http://schemas.openxmlformats.org/officeDocument/2006/relationships/hyperlink" Target="https://www.whitehouse.gov/presidential-actions/2025/03/amendment-to-duties-to-address-the-flow-of-illicit-drugs-across-our-southern-border/" TargetMode="External"/><Relationship Id="rId194" Type="http://schemas.openxmlformats.org/officeDocument/2006/relationships/hyperlink" Target="https://www.whitehouse.gov/presidential-actions/2025/04/regulating-imports-with-a-reciprocal-tariff-to-rectify-trade-practices-that-contribute-to-large-and-persistent-annual-united-states-goods-trade-deficits/" TargetMode="External"/><Relationship Id="rId195" Type="http://schemas.openxmlformats.org/officeDocument/2006/relationships/hyperlink" Target="https://www.whitehouse.gov/wp-content/uploads/2025/04/Annex-II.pdf" TargetMode="External"/><Relationship Id="rId196" Type="http://schemas.openxmlformats.org/officeDocument/2006/relationships/hyperlink" Target="https://www.govinfo.gov/content/pkg/FR-2025-04-07/pdf/2025-06063.pdf" TargetMode="External"/><Relationship Id="rId197" Type="http://schemas.openxmlformats.org/officeDocument/2006/relationships/hyperlink" Target="https://www.whitehouse.gov/presidential-actions/2025/04/modifying-reciprocal-tariff-rates-to-reflect-trading-partner-retaliation-and-alignment/" TargetMode="External"/><Relationship Id="rId198" Type="http://schemas.openxmlformats.org/officeDocument/2006/relationships/hyperlink" Target="https://www.whitehouse.gov/presidential-actions/2025/04/ensuring-national-security-and-economic-resilience-through-section-232-actions-on-processed-critical-minerals-and-derivative-products/" TargetMode="External"/><Relationship Id="rId199" Type="http://schemas.openxmlformats.org/officeDocument/2006/relationships/hyperlink" Target="https://www.whitehouse.gov/presidential-actions/2025/05/modifying-reciprocal-tariff-rates-to-reflect-discussions-with-the-peoples-republic-of-china/" TargetMode="External"/><Relationship Id="rId200" Type="http://schemas.openxmlformats.org/officeDocument/2006/relationships/hyperlink" Target="https://www.cafc.uscourts.gov/opinions-orders/25-1812.OPINION.8-29-2025_2566151.pdf" TargetMode="External"/><Relationship Id="rId201" Type="http://schemas.openxmlformats.org/officeDocument/2006/relationships/hyperlink" Target="https://www.whitehouse.gov/presidential-actions/2025/07/amendment-to-duties-to-address-the-flow-of-illicit-drugs-across-our-northern-border-9350/" TargetMode="External"/><Relationship Id="rId202" Type="http://schemas.openxmlformats.org/officeDocument/2006/relationships/hyperlink" Target="https://www.whitehouse.gov/presidential-actions/2025/07/further-modifying-the-reciprocal-tariff-rates/" TargetMode="External"/><Relationship Id="rId203" Type="http://schemas.openxmlformats.org/officeDocument/2006/relationships/hyperlink" Target="https://content.govdelivery.com/accounts/USDHSCBP/bulletins/3ec7b5e" TargetMode="External"/><Relationship Id="rId204" Type="http://schemas.openxmlformats.org/officeDocument/2006/relationships/hyperlink" Target="https://asmp.swiss/wp-content/uploads/2025/09/ASFCMP_Release_US-Tariffs-on-Gold_-08082025-1.pdf" TargetMode="External"/><Relationship Id="rId205" Type="http://schemas.openxmlformats.org/officeDocument/2006/relationships/hyperlink" Target="https://www.home.saxo/en-mena/content/articles/commodities/tariff-shock-sends-gold-futures-soaring--yet-spot-market-holds-the-real-signal-08082025" TargetMode="External"/><Relationship Id="rId206" Type="http://schemas.openxmlformats.org/officeDocument/2006/relationships/hyperlink" Target="https://www.reuters.com/business/bullion-markets-breathe-sigh-relief-after-trump-says-gold-will-not-face-tariffs-2025-08-11/" TargetMode="External"/><Relationship Id="rId207" Type="http://schemas.openxmlformats.org/officeDocument/2006/relationships/hyperlink" Target="https://www.federalregister.gov/documents/2025/08/22/2025-16156/unwrought-palladium-from-the-russian-federation-initiation-of-less-than-fair-value-investigation" TargetMode="External"/><Relationship Id="rId208" Type="http://schemas.openxmlformats.org/officeDocument/2006/relationships/hyperlink" Target="https://www.usgs.gov/news/science-snippet/department-interior-releases-draft-2025-list-critical-minerals" TargetMode="External"/><Relationship Id="rId209" Type="http://schemas.openxmlformats.org/officeDocument/2006/relationships/hyperlink" Target="https://www.mining.com/web/us-premiums-for-silver-and-palladium-are-underpriced-citi-says/" TargetMode="External"/><Relationship Id="rId210" Type="http://schemas.openxmlformats.org/officeDocument/2006/relationships/hyperlink" Target="https://www.whitehouse.gov/presidential-actions/2025/09/modifying-the-scope-of-reciprocal-tariffs-and-establishing-procedures-for-implementing-trade-and-security-agreements/" TargetMode="External"/><Relationship Id="rId211" Type="http://schemas.openxmlformats.org/officeDocument/2006/relationships/hyperlink" Target="https://www.govinfo.gov/content/pkg/FR-2025-09-10/pdf/2025-17507.pdf" TargetMode="External"/><Relationship Id="rId212" Type="http://schemas.openxmlformats.org/officeDocument/2006/relationships/hyperlink" Target="https://www.whitehouse.gov/wp-content/uploads/2025/09/ANNEX-II.pdf" TargetMode="External"/><Relationship Id="rId213" Type="http://schemas.openxmlformats.org/officeDocument/2006/relationships/hyperlink" Target="https://silverinstitute.org/wp-content/uploads/2026/04/World-Silver-Survey-2026.pdf" TargetMode="External"/><Relationship Id="rId214" Type="http://schemas.openxmlformats.org/officeDocument/2006/relationships/hyperlink" Target="https://www.whitehouse.gov/presidential-actions/2025/11/modifying-duties-addressing-the-synthetic-opioid-supply-chain-in-the-peoples-republic-of-china/" TargetMode="External"/><Relationship Id="rId215" Type="http://schemas.openxmlformats.org/officeDocument/2006/relationships/hyperlink" Target="https://www.usgs.gov/programs/mineral-resources-program/science/about-2025-list-critical-minerals" TargetMode="External"/><Relationship Id="rId216" Type="http://schemas.openxmlformats.org/officeDocument/2006/relationships/hyperlink" Target="https://www.govinfo.gov/content/pkg/FR-2025-11-07/pdf/2025-19813.pdf" TargetMode="External"/><Relationship Id="rId217" Type="http://schemas.openxmlformats.org/officeDocument/2006/relationships/hyperlink" Target="https://www.whitehouse.gov/presidential-actions/2026/01/adjusting-imports-of-processed-critical-minerals-and-their-derivative-products-into-the-united-states/" TargetMode="External"/><Relationship Id="rId218" Type="http://schemas.openxmlformats.org/officeDocument/2006/relationships/hyperlink" Target="https://www.federalregister.gov/documents/2026/02/19/2026-03218/unwrought-palladium-from-the-russian-federation-preliminary-affirmative-determination-of-sales-at" TargetMode="External"/><Relationship Id="rId219" Type="http://schemas.openxmlformats.org/officeDocument/2006/relationships/hyperlink" Target="https://www.whitehouse.gov/presidential-actions/2026/02/ending-certain-tariff-actions/" TargetMode="External"/><Relationship Id="rId220" Type="http://schemas.openxmlformats.org/officeDocument/2006/relationships/hyperlink" Target="https://www.whitehouse.gov/presidential-actions/2026/02/imposing-a-temporary-import-surcharge-to-address-fundamental-international-payments-problems/" TargetMode="External"/><Relationship Id="rId221" Type="http://schemas.openxmlformats.org/officeDocument/2006/relationships/hyperlink" Target="https://www.trade.gov/preliminary-affirmative-determination-countervailing-duty-investigation-unwrought-palladium-russian" TargetMode="External"/><Relationship Id="rId222" Type="http://schemas.openxmlformats.org/officeDocument/2006/relationships/hyperlink" Target="https://www.govinfo.gov/content/pkg/FR-2026-05-01/pdf/2026-08487.pdf" TargetMode="External"/><Relationship Id="rId223" Type="http://schemas.openxmlformats.org/officeDocument/2006/relationships/hyperlink" Target="https://www.trade.gov/final-affirmative-determination-countervailing-duty-investigation-unwrought-palladium-russian" TargetMode="External"/><Relationship Id="rId224" Type="http://schemas.openxmlformats.org/officeDocument/2006/relationships/hyperlink" Target="https://www.usitc.gov/press_room/news_release/2026/er0529_68662.htm" TargetMode="External"/><Relationship Id="rId225" Type="http://schemas.openxmlformats.org/officeDocument/2006/relationships/hyperlink" Target="https://ustr.gov/sites/default/files/files/Issue_Areas/Enforcement/Section%20301/Brazil%20301%20Final%20Action%20FRN%207-15-2026%20final.pdf" TargetMode="External"/><Relationship Id="rId226" Type="http://schemas.openxmlformats.org/officeDocument/2006/relationships/hyperlink" Target="https://ustr.gov/sites/default/files/files/Press/Releases/2026/FLIP%20301%20Investigation%20Final%20Action%20FRN%207-23-26%20FINAL.pdf" TargetMode="External"/><Relationship Id="rId227" Type="http://schemas.openxmlformats.org/officeDocument/2006/relationships/hyperlink" Target="https://www.whitehouse.gov/wp-content/uploads/2026/07/ANNEX.pdf" TargetMode="External"/><Relationship Id="rId228" Type="http://schemas.openxmlformats.org/officeDocument/2006/relationships/hyperlink" Target="https://content.govdelivery.com/bulletins/gd/USDHSCBP-421d887" TargetMode="External"/><Relationship Id="rId229" Type="http://schemas.openxmlformats.org/officeDocument/2006/relationships/hyperlink" Target="https://www.usitc.gov/sites/default/files/tata/hts/hts_2026_revision_18_json.json" TargetMode="External"/><Relationship Id="rId230" Type="http://schemas.openxmlformats.org/officeDocument/2006/relationships/hyperlink" Target="../pitch-research/future-growth-20260924/tariff-headlines.csv" TargetMode="External"/><Relationship Id="rId231" Type="http://schemas.openxmlformats.org/officeDocument/2006/relationships/hyperlink" Target="../pitch-research/future-growth-20260924/tariff-headlines.json" TargetMode="External"/><Relationship Id="rId232" Type="http://schemas.openxmlformats.org/officeDocument/2006/relationships/hyperlink" Target="../pitch-research/comex-inventory-20260924/INVENTORY-NOTE.md" TargetMode="External"/><Relationship Id="rId233" Type="http://schemas.openxmlformats.org/officeDocument/2006/relationships/hyperlink" Target="../pitch-research/comex-inventory-20260924/comex-silver-inventory.cs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BlackRock ETF background and detailed research</dc:title>
  <dc:subject>Bullion products custody location economics and operational resilience</dc:subject>
  <dc:creator/>
  <cp:keywords/>
  <dc:description/>
  <cp:lastModifiedBy/>
  <cp:revision>1</cp:revision>
  <dcterms:created xsi:type="dcterms:W3CDTF">2013-12-23T23:15:00Z</dcterms:created>
  <dcterms:modified xsi:type="dcterms:W3CDTF">2013-12-23T23:15:00Z</dcterms:modified>
  <cp:category/>
</cp:coreProperties>
</file>