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eastAsia="Microsoft YaHei" w:hAnsi="Arial"/>
          <w:b/>
          <w:bCs/>
          <w:sz w:val="52"/>
          <w:szCs w:val="52"/>
        </w:rPr>
        <w:t xml:space="preserve">政策红利抓取方法论</w:t>
      </w:r>
    </w:p>
    <w:p>
      <w:pPr>
        <w:spacing w:before="400"/>
        <w:jc w:val="center"/>
      </w:pPr>
      <w:r>
        <w:rPr>
          <w:rFonts w:ascii="Arial" w:eastAsia="Microsoft YaHei" w:hAnsi="Arial"/>
          <w:sz w:val="32"/>
          <w:szCs w:val="32"/>
        </w:rPr>
        <w:t xml:space="preserve">——基于“钱”与“试点”信号的调研分析报告</w:t>
      </w:r>
    </w:p>
    <w:p>
      <w:pPr>
        <w:spacing w:before="1500"/>
      </w:pPr>
    </w:p>
    <w:p>
      <w:pPr>
        <w:jc w:val="center"/>
      </w:pPr>
      <w:r>
        <w:rPr>
          <w:rFonts w:ascii="Arial" w:eastAsia="Microsoft YaHei" w:hAnsi="Arial"/>
          <w:sz w:val="28"/>
          <w:szCs w:val="28"/>
        </w:rPr>
        <w:t xml:space="preserve">投资决策参考</w:t>
      </w:r>
    </w:p>
    <w:p>
      <w:pPr>
        <w:spacing w:before="400"/>
      </w:pPr>
    </w:p>
    <w:p>
      <w:pPr>
        <w:jc w:val="center"/>
      </w:pPr>
      <w:r>
        <w:rPr>
          <w:rFonts w:ascii="Arial" w:eastAsia="Microsoft YaHei" w:hAnsi="Arial"/>
          <w:b/>
          <w:bCs/>
          <w:color w:val="FF6600"/>
          <w:sz w:val="26"/>
          <w:szCs w:val="26"/>
        </w:rPr>
        <w:t xml:space="preserve">【2026/5/18 03:01:03更新】</w:t>
      </w:r>
    </w:p>
    <w:p>
      <w:r>
        <w:br w:type="page"/>
      </w:r>
    </w:p>
    <w:p>
      <w:pPr>
        <w:pStyle w:val="Heading1"/>
      </w:pPr>
      <w:r>
        <w:t xml:space="preserve">一、核心方法论框架</w:t>
      </w:r>
    </w:p>
    <w:p>
      <w:pPr>
        <w:spacing w:after="200" w:before="200"/>
      </w:pPr>
      <w:r>
        <w:t xml:space="preserve">政策红利抓取的核心在于建立系统化的信息追踪机制，紧盯“钱”和“试点”两大信号。政策落地前必然伴随资金安排和试点探索，提前识别这些信号能够抓住政策落地前的时间窗口。</w:t>
      </w:r>
    </w:p>
    <w:p>
      <w:pPr>
        <w:pStyle w:val="Heading2"/>
      </w:pPr>
      <w:r>
        <w:t xml:space="preserve">1.1 方法论核心逻辑</w:t>
      </w:r>
    </w:p>
    <w:p>
      <w:pPr>
        <w:pStyle w:val="ListParagraph"/>
        <w:numPr>
          <w:ilvl w:val="0"/>
          <w:numId w:val="2"/>
        </w:numPr>
      </w:pPr>
      <w:r>
        <w:t xml:space="preserve">政策先行：任何重大产业政策的推出都需要前期资金准备和试点验证</w:t>
      </w:r>
    </w:p>
    <w:p>
      <w:pPr>
        <w:pStyle w:val="ListParagraph"/>
        <w:numPr>
          <w:ilvl w:val="0"/>
          <w:numId w:val="2"/>
        </w:numPr>
      </w:pPr>
      <w:r>
        <w:t xml:space="preserve">资金导向：财政资金、专项债、社会资本流向直接反映政策执行力度</w:t>
      </w:r>
    </w:p>
    <w:p>
      <w:pPr>
        <w:pStyle w:val="ListParagraph"/>
        <w:numPr>
          <w:ilvl w:val="0"/>
          <w:numId w:val="2"/>
        </w:numPr>
      </w:pPr>
      <w:r>
        <w:t xml:space="preserve">试点验证：发改委试点项目的KPI达成情况是行业拐点的先行指标</w:t>
      </w:r>
    </w:p>
    <w:p>
      <w:pPr>
        <w:pStyle w:val="Heading1"/>
      </w:pPr>
      <w:r>
        <w:t xml:space="preserve">二、看钱：资金流向追踪体系</w:t>
      </w:r>
    </w:p>
    <w:p>
      <w:pPr>
        <w:pStyle w:val="Heading2"/>
      </w:pPr>
      <w:r>
        <w:t xml:space="preserve">2.1 财政预算与超长期特别国债</w:t>
      </w:r>
    </w:p>
    <w:p>
      <w:pPr>
        <w:spacing w:after="200" w:before="200"/>
      </w:pPr>
      <w:r>
        <w:t xml:space="preserve">全国财政赤字58900亿元，赤字率4%，继续实施更加积极的财政政策。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234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资金项目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数值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变化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全国财政赤字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58900亿元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+2300亿元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赤字率约4%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超长期特别国债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13000亿元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持平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支持两重+两新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地方政府专项债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44000亿元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略降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负面清单+自审自发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中央预算内投资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7550亿元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增加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聚焦新质生产力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银行注资特别国债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3000亿元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新增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支持国有大型商业银行</w:t>
            </w:r>
          </w:p>
        </w:tc>
      </w:tr>
    </w:tbl>
    <w:p>
      <w:pPr>
        <w:pStyle w:val="Heading2"/>
      </w:pPr>
      <w:r>
        <w:t xml:space="preserve">2.2 两新政策资金下达情况</w:t>
      </w:r>
    </w:p>
    <w:p>
      <w:pPr>
        <w:spacing w:after="200" w:before="200"/>
      </w:pPr>
      <w:r>
        <w:t xml:space="preserve">两新政策全年目标2000亿元，累计已下达1851亿元，完成进度92%。</w:t>
      </w:r>
    </w:p>
    <w:p>
      <w:pPr>
        <w:pStyle w:val="ListParagraph"/>
        <w:numPr>
          <w:ilvl w:val="0"/>
          <w:numId w:val="3"/>
        </w:numPr>
      </w:pPr>
      <w:r>
        <w:t xml:space="preserve">第一批：625亿元超长期特别国债支持消费品以旧换新资金已下达</w:t>
      </w:r>
    </w:p>
    <w:p>
      <w:pPr>
        <w:pStyle w:val="ListParagraph"/>
        <w:numPr>
          <w:ilvl w:val="0"/>
          <w:numId w:val="3"/>
        </w:numPr>
      </w:pPr>
      <w:r>
        <w:t xml:space="preserve">第二批：915亿元设备更新资金已下达，支持16个领域超6700个项目</w:t>
      </w:r>
    </w:p>
    <w:p>
      <w:pPr>
        <w:pStyle w:val="ListParagraph"/>
        <w:numPr>
          <w:ilvl w:val="0"/>
          <w:numId w:val="3"/>
        </w:numPr>
      </w:pPr>
      <w:r>
        <w:t xml:space="preserve">带动投资：第二批带动总投资超3800亿元</w:t>
      </w:r>
    </w:p>
    <w:p>
      <w:pPr>
        <w:pStyle w:val="Heading3"/>
      </w:pPr>
      <w:r>
        <w:t xml:space="preserve">2.2.1 补贴范围扩围</w:t>
      </w:r>
    </w:p>
    <w:p>
      <w:pPr>
        <w:pStyle w:val="ListParagraph"/>
        <w:numPr>
          <w:ilvl w:val="0"/>
          <w:numId w:val="3"/>
        </w:numPr>
      </w:pPr>
      <w:r>
        <w:t xml:space="preserve">设备更新新增：老旧小区加装电梯、养老机构、消防救援、检验检测、商业综合体</w:t>
      </w:r>
    </w:p>
    <w:p>
      <w:pPr>
        <w:pStyle w:val="Heading2"/>
      </w:pPr>
      <w:r>
        <w:t xml:space="preserve">2.3 一级市场融资信号</w:t>
      </w:r>
    </w:p>
    <w:p>
      <w:pPr>
        <w:spacing w:after="200" w:before="200"/>
      </w:pPr>
      <w:r>
        <w:t xml:space="preserve">2026年Q1中国创投市场共发生融资事件2865起（同比+52%），披露融资总额2560亿元（同比+48%）。</w:t>
      </w:r>
    </w:p>
    <w:p>
      <w:pPr>
        <w:pStyle w:val="ListParagraph"/>
        <w:numPr>
          <w:ilvl w:val="0"/>
          <w:numId w:val="3"/>
        </w:numPr>
      </w:pPr>
      <w:r>
        <w:t xml:space="preserve">全球AI投资：Q1即达2555亿美元，超过2025年全年</w:t>
      </w:r>
    </w:p>
    <w:p>
      <w:pPr>
        <w:pStyle w:val="ListParagraph"/>
        <w:numPr>
          <w:ilvl w:val="0"/>
          <w:numId w:val="3"/>
        </w:numPr>
      </w:pPr>
      <w:r>
        <w:t xml:space="preserve">半导体：Q1赸80家初创企业合计融资超80亿美元</w:t>
      </w:r>
    </w:p>
    <w:p>
      <w:r>
        <w:br w:type="page"/>
      </w:r>
    </w:p>
    <w:p>
      <w:pPr>
        <w:pStyle w:val="Heading1"/>
      </w:pPr>
      <w:r>
        <w:t xml:space="preserve">三、看试点：政策先行区与KPI追踪</w:t>
      </w:r>
    </w:p>
    <w:p>
      <w:pPr>
        <w:pStyle w:val="Heading2"/>
      </w:pPr>
      <w:r>
        <w:t xml:space="preserve">3.1 低空经济试点进展</w:t>
      </w:r>
    </w:p>
    <w:p>
      <w:pPr>
        <w:pStyle w:val="ListParagraph"/>
        <w:numPr>
          <w:ilvl w:val="0"/>
          <w:numId w:val="3"/>
        </w:numPr>
      </w:pPr>
      <w:r>
        <w:t xml:space="preserve">市场规模：2026年突破1.1万亿元，2035年预计达3.5万亿元</w:t>
      </w:r>
    </w:p>
    <w:p>
      <w:pPr>
        <w:pStyle w:val="ListParagraph"/>
        <w:numPr>
          <w:ilvl w:val="0"/>
          <w:numId w:val="3"/>
        </w:numPr>
      </w:pPr>
      <w:r>
        <w:t xml:space="preserve">eVTOL市场：95亿元，从2023年9.8亿元激增</w:t>
      </w:r>
    </w:p>
    <w:p>
      <w:pPr>
        <w:pStyle w:val="ListParagraph"/>
        <w:numPr>
          <w:ilvl w:val="0"/>
          <w:numId w:val="3"/>
        </w:numPr>
      </w:pPr>
      <w:r>
        <w:t xml:space="preserve">无人机实名登记：突破1200万架</w:t>
      </w:r>
    </w:p>
    <w:p>
      <w:pPr>
        <w:pStyle w:val="ListParagraph"/>
        <w:numPr>
          <w:ilvl w:val="0"/>
          <w:numId w:val="3"/>
        </w:numPr>
      </w:pPr>
      <w:r>
        <w:t xml:space="preserve">相关企业：16.3万家</w:t>
      </w:r>
    </w:p>
    <w:p>
      <w:pPr>
        <w:pStyle w:val="ListParagraph"/>
        <w:numPr>
          <w:ilvl w:val="0"/>
          <w:numId w:val="3"/>
        </w:numPr>
      </w:pPr>
      <w:r>
        <w:t xml:space="preserve">试点城市：合肥、杭州、深圳、苏州、成都、重庆</w:t>
      </w:r>
    </w:p>
    <w:p>
      <w:pPr>
        <w:pStyle w:val="Heading2"/>
      </w:pPr>
      <w:r>
        <w:t xml:space="preserve">3.2 碳达峰与碳市场试点</w:t>
      </w:r>
    </w:p>
    <w:p>
      <w:pPr>
        <w:pStyle w:val="ListParagraph"/>
        <w:numPr>
          <w:ilvl w:val="0"/>
          <w:numId w:val="3"/>
        </w:numPr>
      </w:pPr>
      <w:r>
        <w:t xml:space="preserve">第二批碳达峰试点：27个城市和园区</w:t>
      </w:r>
    </w:p>
    <w:p>
      <w:pPr>
        <w:pStyle w:val="ListParagraph"/>
        <w:numPr>
          <w:ilvl w:val="0"/>
          <w:numId w:val="3"/>
        </w:numPr>
      </w:pPr>
      <w:r>
        <w:t xml:space="preserve">零碳园区：十五五将建100个左右国家级零碳园区</w:t>
      </w:r>
    </w:p>
    <w:p>
      <w:pPr>
        <w:pStyle w:val="ListParagraph"/>
        <w:numPr>
          <w:ilvl w:val="0"/>
          <w:numId w:val="3"/>
        </w:numPr>
      </w:pPr>
      <w:r>
        <w:t xml:space="preserve">碳市场覆盖：将从电力行业扩至八大行业，覆盖规模突破70%</w:t>
      </w:r>
    </w:p>
    <w:p>
      <w:pPr>
        <w:pStyle w:val="ListParagraph"/>
        <w:numPr>
          <w:ilvl w:val="0"/>
          <w:numId w:val="3"/>
        </w:numPr>
      </w:pPr>
      <w:r>
        <w:t xml:space="preserve">26家券商获批参与碳排放权交易</w:t>
      </w:r>
    </w:p>
    <w:p>
      <w:r>
        <w:br w:type="page"/>
      </w:r>
    </w:p>
    <w:p>
      <w:pPr>
        <w:pStyle w:val="Heading1"/>
      </w:pPr>
      <w:r>
        <w:t xml:space="preserve">四、重点领域政策红利深度分析与投资建议</w:t>
      </w:r>
    </w:p>
    <w:p>
      <w:pPr>
        <w:spacing w:after="200" w:before="200"/>
      </w:pPr>
      <w:r>
        <w:t xml:space="preserve">基于看钱与看试点方法论，结合最新数据，对各领域投资建议如下：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领域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评级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信号强度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核心逻辑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AI/算力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超配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★★★★★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Q1投资超2025全年，资本开支爆发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低空经济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超配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★★★★★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商业化元年，市场规模破万亿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消费/汽车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超配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★★★★★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两新资金92%已下达，补贴力度大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机器人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超配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★★★★★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具身智能元年，融资爆发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半导体设备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标配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★★★★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国产替代加速，但需警惕周期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新能源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标配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★★★★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市场化转型，关注结构性机会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零碳园区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关注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★★★★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十五五将建100个，政策刚启动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五、实操指南：30分钟月度跟踪法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2340"/>
        <w:gridCol w:w="2340"/>
      </w:tblGrid>
      <w:tr>
        <w:trPr>
          <w:cantSplit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时间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任务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数据来源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关注要点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10分钟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专项债流向追踪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企业预警通、Wind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投向领域变化、规模增长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10分钟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试点项目进展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发改委官网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KPI达成情况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10分钟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融资数据扫描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IT桔子、PitchBook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连续季度增长</w:t>
            </w:r>
          </w:p>
        </w:tc>
      </w:tr>
    </w:tbl>
    <w:p>
      <w:pPr>
        <w:pStyle w:val="Heading1"/>
      </w:pPr>
      <w:r>
        <w:t xml:space="preserve">六、风险提示</w:t>
      </w:r>
    </w:p>
    <w:p>
      <w:pPr>
        <w:spacing w:before="200"/>
      </w:pPr>
      <w:r>
        <w:t xml:space="preserve">1. 政策执行风险</w:t>
      </w:r>
    </w:p>
    <w:p>
      <w:pPr>
        <w:spacing w:before="100"/>
      </w:pPr>
      <w:r>
        <w:t xml:space="preserve">预算拨款和专项债规模增长不等于实际执行效果，需关注资金到位率和项目落地进度。</w:t>
      </w:r>
    </w:p>
    <w:p>
      <w:pPr>
        <w:spacing w:before="200"/>
      </w:pPr>
      <w:r>
        <w:t xml:space="preserve">2. 估值泡沫风险</w:t>
      </w:r>
    </w:p>
    <w:p>
      <w:pPr>
        <w:spacing w:before="100"/>
      </w:pPr>
      <w:r>
        <w:t xml:space="preserve">AI领域投资过热，2026年Q1全球AI投资2555亿美元已超过2025年全年，需警惕估值泡沫。</w:t>
      </w:r>
    </w:p>
    <w:p>
      <w:pPr>
        <w:spacing w:before="200"/>
      </w:pPr>
      <w:r>
        <w:t xml:space="preserve">3. 宏观环境风险</w:t>
      </w:r>
    </w:p>
    <w:p>
      <w:pPr>
        <w:spacing w:before="100"/>
      </w:pPr>
      <w:r>
        <w:t xml:space="preserve">地缘政治、贸易摩擦、美联储政策等外部因素可能影响政策执行节奏。</w:t>
      </w:r>
    </w:p>
    <w:p>
      <w:pPr>
        <w:spacing w:before="400"/>
      </w:pPr>
      <w:r>
        <w:rPr>
          <w:b/>
          <w:bCs/>
        </w:rPr>
        <w:t xml:space="preserve">免责声明：</w:t>
      </w:r>
    </w:p>
    <w:p>
      <w:pPr>
        <w:spacing w:before="100"/>
      </w:pPr>
      <w:r>
        <w:rPr>
          <w:color w:val="666666"/>
          <w:sz w:val="20"/>
          <w:szCs w:val="20"/>
        </w:rPr>
        <w:t xml:space="preserve">本报告仅供参考，不构成投资建议。投资者应根据自身情况独立判断，自行承担投资风险。</w:t>
      </w:r>
    </w:p>
    <w:p>
      <w:pPr>
        <w:spacing w:before="200"/>
      </w:pPr>
      <w:r>
        <w:rPr>
          <w:color w:val="666666"/>
          <w:sz w:val="20"/>
          <w:szCs w:val="20"/>
        </w:rPr>
        <w:t xml:space="preserve">数据来源：2026年政府工作报告、财政部预算草案、IT桔子、PitchBook、发改委官网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sz w:val="20"/>
        <w:szCs w:val="20"/>
      </w:rPr>
      <w:t xml:space="preserve">第 </w:t>
    </w:r>
    <w:r>
      <w:rPr>
        <w:rFonts w:ascii="Arial" w:eastAsia="Microsoft YaHei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666666"/>
        <w:sz w:val="20"/>
        <w:szCs w:val="20"/>
      </w:rPr>
      <w:t xml:space="preserve">政策红利抓取方法论调研报告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40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300"/>
      <w:outlineLvl w:val="1"/>
    </w:pPr>
    <w:rPr>
      <w:rFonts w:ascii="Arial" w:eastAsia="Microsoft YaHei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4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2026-05-18T03:02:22.598Z</dcterms:created>
  <dcterms:modified xsi:type="dcterms:W3CDTF">2026-05-18T03:02:22.598Z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