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0"/>
      </w:pPr>
      <w:r>
        <w:rPr>
          <w:rFonts w:ascii="Calibri" w:hAnsi="Calibri"/>
          <w:b/>
          <w:i w:val="0"/>
          <w:color w:val="8A6300"/>
          <w:sz w:val="19"/>
        </w:rPr>
        <w:t>INFORME DE AVANCE Y TRAZABILIDAD</w:t>
      </w:r>
    </w:p>
    <w:p>
      <w:pPr>
        <w:spacing w:after="120"/>
      </w:pPr>
      <w:r>
        <w:rPr>
          <w:rFonts w:ascii="Calibri" w:hAnsi="Calibri"/>
          <w:b/>
          <w:i w:val="0"/>
          <w:color w:val="2A1336"/>
          <w:sz w:val="56"/>
        </w:rPr>
        <w:t>Radar de Oportunidades Inmobiliarias</w:t>
      </w:r>
    </w:p>
    <w:p>
      <w:pPr>
        <w:spacing w:after="360"/>
      </w:pPr>
      <w:r>
        <w:rPr>
          <w:rFonts w:ascii="Calibri" w:hAnsi="Calibri"/>
          <w:b/>
          <w:i w:val="0"/>
          <w:color w:val="4F2868"/>
          <w:sz w:val="28"/>
        </w:rPr>
        <w:t>Matriz de historias de usuario, evidencia y próximos pasos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single" w:sz="4" w:color="D9DDE3"/>
              <w:bottom w:val="single" w:sz="4" w:color="D9DDE3"/>
              <w:start w:val="single" w:sz="4" w:color="D9DDE3"/>
              <w:end w:val="single" w:sz="4" w:color="D9DDE3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655B69"/>
                <w:sz w:val="16"/>
              </w:rPr>
              <w:t>PREPARADO PARA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A1336"/>
                <w:sz w:val="21"/>
              </w:rPr>
              <w:t>Validación con el cliente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single" w:sz="4" w:color="D9DDE3"/>
              <w:bottom w:val="single" w:sz="4" w:color="D9DDE3"/>
              <w:start w:val="single" w:sz="4" w:color="D9DDE3"/>
              <w:end w:val="single" w:sz="4" w:color="D9DDE3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655B69"/>
                <w:sz w:val="16"/>
              </w:rPr>
              <w:t>CORTE FUNCIONAL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A1336"/>
                <w:sz w:val="21"/>
              </w:rPr>
              <w:t>25 de julio de 2026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single" w:sz="4" w:color="D9DDE3"/>
              <w:bottom w:val="single" w:sz="4" w:color="D9DDE3"/>
              <w:start w:val="single" w:sz="4" w:color="D9DDE3"/>
              <w:end w:val="single" w:sz="4" w:color="D9DDE3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655B69"/>
                <w:sz w:val="16"/>
              </w:rPr>
              <w:t>VERSIÓN DE CÓDIGO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A1336"/>
                <w:sz w:val="21"/>
              </w:rPr>
              <w:t>e193049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single" w:sz="4" w:color="D9DDE3"/>
              <w:bottom w:val="single" w:sz="4" w:color="D9DDE3"/>
              <w:start w:val="single" w:sz="4" w:color="D9DDE3"/>
              <w:end w:val="single" w:sz="4" w:color="D9DDE3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655B69"/>
                <w:sz w:val="16"/>
              </w:rPr>
              <w:t>ENTORNO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A1336"/>
                <w:sz w:val="21"/>
              </w:rPr>
              <w:t>Local validado y producción activa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9D9" w:val="clear"/>
            <w:tcBorders>
              <w:top w:val="single" w:sz="12" w:color="F2CA04" w:space="0"/>
              <w:bottom w:val="single" w:sz="4" w:color="D9DDE3" w:space="0"/>
              <w:start w:val="single" w:sz="4" w:color="D9DDE3" w:space="0"/>
              <w:end w:val="single" w:sz="4" w:color="D9DDE3" w:space="0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32"/>
              </w:rPr>
              <w:t>84%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5B69"/>
                <w:sz w:val="17"/>
              </w:rPr>
              <w:t>Fase 1 defendible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FF7" w:val="clear"/>
            <w:tcBorders>
              <w:top w:val="single" w:sz="12" w:color="4F2868" w:space="0"/>
              <w:bottom w:val="single" w:sz="4" w:color="D9DDE3" w:space="0"/>
              <w:start w:val="single" w:sz="4" w:color="D9DDE3" w:space="0"/>
              <w:end w:val="single" w:sz="4" w:color="D9DDE3" w:space="0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32"/>
              </w:rPr>
              <w:t>122 / 122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5B69"/>
                <w:sz w:val="17"/>
              </w:rPr>
              <w:t>Pruebas aprobadas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FF7" w:val="clear"/>
            <w:tcBorders>
              <w:top w:val="single" w:sz="12" w:color="4F2868" w:space="0"/>
              <w:bottom w:val="single" w:sz="4" w:color="D9DDE3" w:space="0"/>
              <w:start w:val="single" w:sz="4" w:color="D9DDE3" w:space="0"/>
              <w:end w:val="single" w:sz="4" w:color="D9DDE3" w:space="0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32"/>
              </w:rPr>
              <w:t>9 / 9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5B69"/>
                <w:sz w:val="17"/>
              </w:rPr>
              <w:t>Recorridos E2E locales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FF7" w:val="clear"/>
            <w:tcBorders>
              <w:top w:val="single" w:sz="12" w:color="4F2868" w:space="0"/>
              <w:bottom w:val="single" w:sz="4" w:color="D9DDE3" w:space="0"/>
              <w:start w:val="single" w:sz="4" w:color="D9DDE3" w:space="0"/>
              <w:end w:val="single" w:sz="4" w:color="D9DDE3" w:space="0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32"/>
              </w:rPr>
              <w:t>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5B69"/>
                <w:sz w:val="17"/>
              </w:rPr>
              <w:t>Errores TypeScript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4EFF7" w:val="clear"/>
            <w:tcBorders>
              <w:start w:val="single" w:sz="22" w:color="4F2868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F2868"/>
                <w:sz w:val="22"/>
              </w:rPr>
              <w:t xml:space="preserve">Conclusión ejecutiva: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Las historias de usuario originales sí han sido la base del motor y de las reglas de negocio. La Fase 1 alcanza un 83,6%, comunicado como 84%. El producto es un MVP funcional y demostrable; los pendientes están identificados y se concentran en trazabilidad completa del ciclo de vida, normalización de fuentes, operación de producción y decisiones de alcance.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 w:val="0"/>
          <w:i/>
          <w:color w:val="655B69"/>
          <w:sz w:val="22"/>
        </w:rPr>
        <w:t>Este documento separa deliberadamente las historias originales de las funcionalidades solicitadas después. Así se evita presentar ampliaciones como requisitos cerrados o sumar trabajo adicional al porcentaje base sin aprobación del cliente.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URL de referencia: </w:t>
      </w:r>
      <w:r>
        <w:rPr>
          <w:rFonts w:ascii="Calibri" w:hAnsi="Calibri"/>
          <w:b w:val="0"/>
          <w:i w:val="0"/>
          <w:color w:val="2A1336"/>
          <w:sz w:val="22"/>
        </w:rPr>
        <w:t>https://joinsclee-radar.juno8i.easypanel.host/</w:t>
      </w:r>
    </w:p>
    <w:p>
      <w:r>
        <w:br w:type="page"/>
      </w:r>
    </w:p>
    <w:p>
      <w:pPr>
        <w:pStyle w:val="Heading1"/>
        <w:keepNext/>
      </w:pPr>
      <w:r>
        <w:t>1. Cómo leer esta matriz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A1336"/>
          <w:sz w:val="22"/>
        </w:rPr>
        <w:t>La evaluación se realiza por bloque funcional documentado. El porcentaje representa cumplimiento del alcance de la Fase 1 y no significa que cada fuente o proceso esté al 100% de madurez operativa.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Implementado: existe comportamiento funcional verificable en código o interfaz.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Evidencia: existen pruebas, rutas, reglas o datos que permiten demostrar el resultado.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Pendiente: falta una condición de aceptación, cobertura de datos o control operativo.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Decisión del cliente: definición de negocio necesaria para cerrar la historia sin asumir reglas.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Alcance adicional: funcionalidad solicitada después de la línea base y que debe versionarse como nueva HU o extensión.</w:t>
      </w:r>
    </w:p>
    <w:p>
      <w:pPr>
        <w:pStyle w:val="Heading1"/>
        <w:keepNext/>
      </w:pPr>
      <w:r>
        <w:t>2. Resumen de cumplimiento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050"/>
        <w:gridCol w:w="1000"/>
        <w:gridCol w:w="286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1336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1336" w:val="clea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Historia / bloque funcional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1336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Avance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1336" w:val="clea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Lectura ejecutiva</w:t>
            </w:r>
          </w:p>
        </w:tc>
      </w:tr>
      <w:tr>
        <w:tc>
          <w:tcPr>
            <w:tcW w:type="dxa" w:w="14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8"/>
              </w:rPr>
              <w:t>HU-F1-01</w:t>
            </w:r>
          </w:p>
        </w:tc>
        <w:tc>
          <w:tcPr>
            <w:tcW w:type="dxa" w:w="4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Núcleo de comparables e Índice CRECE</w:t>
            </w:r>
          </w:p>
        </w:tc>
        <w:tc>
          <w:tcPr>
            <w:tcW w:type="dxa" w:w="1000"/>
            <w:shd w:fill="EAF6EF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8"/>
              </w:rPr>
              <w:t>95%</w:t>
            </w:r>
          </w:p>
        </w:tc>
        <w:tc>
          <w:tcPr>
            <w:tcW w:type="dxa" w:w="2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Prácticamente cerrada; requiere auditoría histórica y definición geográfica.</w:t>
            </w:r>
          </w:p>
        </w:tc>
      </w:tr>
      <w:tr>
        <w:tc>
          <w:tcPr>
            <w:tcW w:type="dxa" w:w="14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8"/>
              </w:rPr>
              <w:t>HU-F1-02</w:t>
            </w:r>
          </w:p>
        </w:tc>
        <w:tc>
          <w:tcPr>
            <w:tcW w:type="dxa" w:w="4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Rango de precio y vigencia del Portal</w:t>
            </w:r>
          </w:p>
        </w:tc>
        <w:tc>
          <w:tcPr>
            <w:tcW w:type="dxa" w:w="1000"/>
            <w:shd w:fill="FFF5D6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8"/>
              </w:rPr>
              <w:t>78%</w:t>
            </w:r>
          </w:p>
        </w:tc>
        <w:tc>
          <w:tcPr>
            <w:tcW w:type="dxa" w:w="2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Reglas implementadas; falta uniformar eventos del ciclo de vida.</w:t>
            </w:r>
          </w:p>
        </w:tc>
      </w:tr>
      <w:tr>
        <w:tc>
          <w:tcPr>
            <w:tcW w:type="dxa" w:w="14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8"/>
              </w:rPr>
              <w:t>HU-F1-03</w:t>
            </w:r>
          </w:p>
        </w:tc>
        <w:tc>
          <w:tcPr>
            <w:tcW w:type="dxa" w:w="4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Motor de activos bancarios</w:t>
            </w:r>
          </w:p>
        </w:tc>
        <w:tc>
          <w:tcPr>
            <w:tcW w:type="dxa" w:w="1000"/>
            <w:shd w:fill="FFF5D6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8"/>
              </w:rPr>
              <w:t>82%</w:t>
            </w:r>
          </w:p>
        </w:tc>
        <w:tc>
          <w:tcPr>
            <w:tcW w:type="dxa" w:w="2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Operativo; falta identidad secundaria e historial uniforme.</w:t>
            </w:r>
          </w:p>
        </w:tc>
      </w:tr>
      <w:tr>
        <w:tc>
          <w:tcPr>
            <w:tcW w:type="dxa" w:w="14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8"/>
              </w:rPr>
              <w:t>HU-F1-04</w:t>
            </w:r>
          </w:p>
        </w:tc>
        <w:tc>
          <w:tcPr>
            <w:tcW w:type="dxa" w:w="4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Motor de activos Grupo AVAL</w:t>
            </w:r>
          </w:p>
        </w:tc>
        <w:tc>
          <w:tcPr>
            <w:tcW w:type="dxa" w:w="1000"/>
            <w:shd w:fill="FFF5D6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8"/>
              </w:rPr>
              <w:t>72%</w:t>
            </w:r>
          </w:p>
        </w:tc>
        <w:tc>
          <w:tcPr>
            <w:tcW w:type="dxa" w:w="2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Ingesta PDF funcional; normalización y comparación entre boletines pendientes.</w:t>
            </w:r>
          </w:p>
        </w:tc>
      </w:tr>
      <w:tr>
        <w:tc>
          <w:tcPr>
            <w:tcW w:type="dxa" w:w="14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8"/>
              </w:rPr>
              <w:t>HU-F1-05</w:t>
            </w:r>
          </w:p>
        </w:tc>
        <w:tc>
          <w:tcPr>
            <w:tcW w:type="dxa" w:w="4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Motor de remates judiciales</w:t>
            </w:r>
          </w:p>
        </w:tc>
        <w:tc>
          <w:tcPr>
            <w:tcW w:type="dxa" w:w="1000"/>
            <w:shd w:fill="EAF6EF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8"/>
              </w:rPr>
              <w:t>92%</w:t>
            </w:r>
          </w:p>
        </w:tc>
        <w:tc>
          <w:tcPr>
            <w:tcW w:type="dxa" w:w="2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Reglas jurídicas y comerciales sólidas; falta cuarentena de anomalías.</w:t>
            </w:r>
          </w:p>
        </w:tc>
      </w:tr>
      <w:tr>
        <w:tc>
          <w:tcPr>
            <w:tcW w:type="dxa" w:w="14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8"/>
              </w:rPr>
              <w:t>PRD-01</w:t>
            </w:r>
          </w:p>
        </w:tc>
        <w:tc>
          <w:tcPr>
            <w:tcW w:type="dxa" w:w="4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UX, autenticación y modelo freemium</w:t>
            </w:r>
          </w:p>
        </w:tc>
        <w:tc>
          <w:tcPr>
            <w:tcW w:type="dxa" w:w="1000"/>
            <w:shd w:fill="EAF6EF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8"/>
              </w:rPr>
              <w:t>88%</w:t>
            </w:r>
          </w:p>
        </w:tc>
        <w:tc>
          <w:tcPr>
            <w:tcW w:type="dxa" w:w="2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Experiencia funcional y responsive; quedan controles de activación.</w:t>
            </w:r>
          </w:p>
        </w:tc>
      </w:tr>
      <w:tr>
        <w:tc>
          <w:tcPr>
            <w:tcW w:type="dxa" w:w="14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8"/>
              </w:rPr>
              <w:t>OPS-01</w:t>
            </w:r>
          </w:p>
        </w:tc>
        <w:tc>
          <w:tcPr>
            <w:tcW w:type="dxa" w:w="4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Producción, seguridad y operación</w:t>
            </w:r>
          </w:p>
        </w:tc>
        <w:tc>
          <w:tcPr>
            <w:tcW w:type="dxa" w:w="1000"/>
            <w:shd w:fill="FDECEC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8"/>
              </w:rPr>
              <w:t>64%</w:t>
            </w:r>
          </w:p>
        </w:tc>
        <w:tc>
          <w:tcPr>
            <w:tcW w:type="dxa" w:w="2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Producción activa; endurecimiento y recuperación aún en curso.</w:t>
            </w:r>
          </w:p>
        </w:tc>
      </w:tr>
      <w:tr>
        <w:tc>
          <w:tcPr>
            <w:tcW w:type="dxa" w:w="14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8"/>
              </w:rPr>
              <w:t>TOTAL</w:t>
            </w:r>
          </w:p>
        </w:tc>
        <w:tc>
          <w:tcPr>
            <w:tcW w:type="dxa" w:w="4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Fase 1 ponderada</w:t>
            </w:r>
          </w:p>
        </w:tc>
        <w:tc>
          <w:tcPr>
            <w:tcW w:type="dxa" w:w="1000"/>
            <w:shd w:fill="FFF5D6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8"/>
              </w:rPr>
              <w:t>83,6%</w:t>
            </w:r>
          </w:p>
        </w:tc>
        <w:tc>
          <w:tcPr>
            <w:tcW w:type="dxa" w:w="2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Se comunica como 84%; supera el objetivo de demostración del 80%.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/>
          <w:b/>
          <w:i w:val="0"/>
          <w:color w:val="655B69"/>
          <w:sz w:val="22"/>
        </w:rPr>
        <w:t xml:space="preserve">Nota metodológica. </w:t>
      </w:r>
      <w:r>
        <w:rPr>
          <w:rFonts w:ascii="Calibri" w:hAnsi="Calibri"/>
          <w:b w:val="0"/>
          <w:i w:val="0"/>
          <w:color w:val="655B69"/>
          <w:sz w:val="22"/>
        </w:rPr>
        <w:t>Los porcentajes son una ponderación por bloques funcionales. No se deben promediar de forma simple ni usar como certificado de producción masiva.</w:t>
      </w:r>
    </w:p>
    <w:p>
      <w:r>
        <w:br w:type="page"/>
      </w:r>
    </w:p>
    <w:p>
      <w:pPr>
        <w:pStyle w:val="Heading1"/>
        <w:keepNext/>
      </w:pPr>
      <w:r>
        <w:t>3. Trazabilidad detallada de las historias originales</w:t>
      </w:r>
    </w:p>
    <w:p>
      <w:pPr>
        <w:pStyle w:val="Heading2"/>
        <w:keepNext/>
      </w:pPr>
      <w:r>
        <w:t>HU-F1-01 — Núcleo de comparables e Índice CRECE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  <w:tcBorders>
              <w:top w:val="single" w:sz="4" w:color="EAF6EF"/>
              <w:bottom w:val="single" w:sz="4" w:color="EAF6EF"/>
              <w:start w:val="single" w:sz="4" w:color="EAF6EF"/>
              <w:end w:val="single" w:sz="4" w:color="EAF6E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7A46"/>
                <w:sz w:val="24"/>
              </w:rPr>
              <w:t>95%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  <w:tcBorders>
              <w:top w:val="single" w:sz="4" w:color="EAF6EF"/>
              <w:bottom w:val="single" w:sz="4" w:color="EAF6EF"/>
              <w:start w:val="single" w:sz="4" w:color="EAF6EF"/>
              <w:end w:val="single" w:sz="4" w:color="EAF6EF"/>
            </w:tcBorders>
          </w:tcPr>
          <w:p>
            <w:r>
              <w:rPr>
                <w:rFonts w:ascii="Calibri" w:hAnsi="Calibri"/>
                <w:b/>
                <w:i w:val="0"/>
                <w:color w:val="1E7A46"/>
                <w:sz w:val="21"/>
              </w:rPr>
              <w:t>Avanzada — en cierre funcional</w:t>
            </w:r>
          </w:p>
        </w:tc>
      </w:tr>
    </w:tbl>
    <w:p>
      <w:pPr>
        <w:spacing w:after="0"/>
      </w:pP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Objetivo. </w:t>
      </w:r>
      <w:r>
        <w:rPr>
          <w:rFonts w:ascii="Calibri" w:hAnsi="Calibri"/>
          <w:b w:val="0"/>
          <w:i w:val="0"/>
          <w:color w:val="2A1336"/>
          <w:sz w:val="22"/>
        </w:rPr>
        <w:t>Comparar cada inmueble contra una muestra de mercado abierto equivalente y traducir el resultado a una categoría CRECE comprensible.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>Implementado:</w:t>
      </w:r>
      <w:r>
        <w:rPr>
          <w:rFonts w:ascii="Calibri" w:hAnsi="Calibri"/>
          <w:b w:val="0"/>
          <w:i w:val="0"/>
          <w:color w:val="2A1336"/>
          <w:sz w:val="22"/>
        </w:rPr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Mediana robusta por precio por metro cuadrado y recorte de valores atípicos.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Comparación por tipo, área, atributos y cascada geográfica; muestra mínima controlada.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Exclusión de bancos y remates del universo de referencia del mercado abierto.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Tabla maestra de once categorías CRECE y tratamiento definido del rango 0,71–0,75.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Persistencia de índice/categoría y control de acceso desde el servidor.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Evidencia verificable. </w:t>
      </w:r>
      <w:r>
        <w:rPr>
          <w:rFonts w:ascii="Calibri" w:hAnsi="Calibri"/>
          <w:b w:val="0"/>
          <w:i w:val="0"/>
          <w:color w:val="2A1336"/>
          <w:sz w:val="22"/>
        </w:rPr>
        <w:t>Motor TypeScript de comparables y clasificación, criterios trazables mostrados al usuario y pruebas de límites de categoría y casos de referencia.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Pendiente para cierre. </w:t>
      </w:r>
      <w:r>
        <w:rPr>
          <w:rFonts w:ascii="Calibri" w:hAnsi="Calibri"/>
          <w:b w:val="0"/>
          <w:i w:val="0"/>
          <w:color w:val="2A1336"/>
          <w:sz w:val="22"/>
        </w:rPr>
        <w:t>Auditar la persistencia del Índice CRECE en el 100% del histórico y documentar el criterio definitivo de radio o zonas colindantes.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9D9" w:val="clear"/>
            <w:tcBorders>
              <w:start w:val="single" w:sz="22" w:color="8A6300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8A6300"/>
                <w:sz w:val="22"/>
              </w:rPr>
              <w:t xml:space="preserve">Decisión o validación del cliente: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Aprobar cuándo el motor puede ampliar de barrio a zona/ciudad y cuál debe ser el radio máximo aceptable.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HU-F1-02 — Rango de precio y vigencia del Portal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 w:val="clear"/>
            <w:tcBorders>
              <w:top w:val="single" w:sz="4" w:color="FFF5D6"/>
              <w:bottom w:val="single" w:sz="4" w:color="FFF5D6"/>
              <w:start w:val="single" w:sz="4" w:color="FFF5D6"/>
              <w:end w:val="single" w:sz="4" w:color="FFF5D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8A6300"/>
                <w:sz w:val="24"/>
              </w:rPr>
              <w:t>78%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 w:val="clear"/>
            <w:tcBorders>
              <w:top w:val="single" w:sz="4" w:color="FFF5D6"/>
              <w:bottom w:val="single" w:sz="4" w:color="FFF5D6"/>
              <w:start w:val="single" w:sz="4" w:color="FFF5D6"/>
              <w:end w:val="single" w:sz="4" w:color="FFF5D6"/>
            </w:tcBorders>
          </w:tcPr>
          <w:p>
            <w:r>
              <w:rPr>
                <w:rFonts w:ascii="Calibri" w:hAnsi="Calibri"/>
                <w:b/>
                <w:i w:val="0"/>
                <w:color w:val="8A6300"/>
                <w:sz w:val="21"/>
              </w:rPr>
              <w:t>Parcial — reglas listas, trazabilidad incompleta</w:t>
            </w:r>
          </w:p>
        </w:tc>
      </w:tr>
    </w:tbl>
    <w:p>
      <w:pPr>
        <w:spacing w:after="0"/>
      </w:pP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Objetivo. </w:t>
      </w:r>
      <w:r>
        <w:rPr>
          <w:rFonts w:ascii="Calibri" w:hAnsi="Calibri"/>
          <w:b w:val="0"/>
          <w:i w:val="0"/>
          <w:color w:val="2A1336"/>
          <w:sz w:val="22"/>
        </w:rPr>
        <w:t>Controlar qué ciudades y rangos se monitorean, identificar cambios y evitar que publicaciones antiguas parezcan inventario vigente.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>Implementado:</w:t>
      </w:r>
      <w:r>
        <w:rPr>
          <w:rFonts w:ascii="Calibri" w:hAnsi="Calibri"/>
          <w:b w:val="0"/>
          <w:i w:val="0"/>
          <w:color w:val="2A1336"/>
          <w:sz w:val="22"/>
        </w:rPr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Zonas monitoreadas configurables por ciudad y filtros de precio, área, estrato y fecha.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Reglas de 30 y 90 días implementadas y probadas.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Modelo de eventos de vigencia y cadencia semanal disponible.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Filtros de interfaz coherentes con los atributos capturados.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Evidencia verificable. </w:t>
      </w:r>
      <w:r>
        <w:rPr>
          <w:rFonts w:ascii="Calibri" w:hAnsi="Calibri"/>
          <w:b w:val="0"/>
          <w:i w:val="0"/>
          <w:color w:val="2A1336"/>
          <w:sz w:val="22"/>
        </w:rPr>
        <w:t>Configuración persistente de zonas, motor de vigencia y pruebas sobre estados temporales.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Pendiente para cierre. </w:t>
      </w:r>
      <w:r>
        <w:rPr>
          <w:rFonts w:ascii="Calibri" w:hAnsi="Calibri"/>
          <w:b w:val="0"/>
          <w:i w:val="0"/>
          <w:color w:val="2A1336"/>
          <w:sz w:val="22"/>
        </w:rPr>
        <w:t>Conectar uniformemente los eventos NUEVO, VISTO, PRECIO_ACTUALIZADO, RETIRADO, EXPIRADO y DESCARTADO desde todos los scrapers; verificar activación y población de ciudades.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9D9" w:val="clear"/>
            <w:tcBorders>
              <w:start w:val="single" w:sz="22" w:color="8A6300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8A6300"/>
                <w:sz w:val="22"/>
              </w:rPr>
              <w:t xml:space="preserve">Decisión o validación del cliente: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Definir si un inmueble retirado debe conservarse visible como histórico y durante cuánto tiempo.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HU-F1-03 — Motor de activos bancarios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 w:val="clear"/>
            <w:tcBorders>
              <w:top w:val="single" w:sz="4" w:color="FFF5D6"/>
              <w:bottom w:val="single" w:sz="4" w:color="FFF5D6"/>
              <w:start w:val="single" w:sz="4" w:color="FFF5D6"/>
              <w:end w:val="single" w:sz="4" w:color="FFF5D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8A6300"/>
                <w:sz w:val="24"/>
              </w:rPr>
              <w:t>82%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 w:val="clear"/>
            <w:tcBorders>
              <w:top w:val="single" w:sz="4" w:color="FFF5D6"/>
              <w:bottom w:val="single" w:sz="4" w:color="FFF5D6"/>
              <w:start w:val="single" w:sz="4" w:color="FFF5D6"/>
              <w:end w:val="single" w:sz="4" w:color="FFF5D6"/>
            </w:tcBorders>
          </w:tcPr>
          <w:p>
            <w:r>
              <w:rPr>
                <w:rFonts w:ascii="Calibri" w:hAnsi="Calibri"/>
                <w:b/>
                <w:i w:val="0"/>
                <w:color w:val="8A6300"/>
                <w:sz w:val="21"/>
              </w:rPr>
              <w:t>Avanzada — cierre de identidad e historial</w:t>
            </w:r>
          </w:p>
        </w:tc>
      </w:tr>
    </w:tbl>
    <w:p>
      <w:pPr>
        <w:spacing w:after="0"/>
      </w:pP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Objetivo. </w:t>
      </w:r>
      <w:r>
        <w:rPr>
          <w:rFonts w:ascii="Calibri" w:hAnsi="Calibri"/>
          <w:b w:val="0"/>
          <w:i w:val="0"/>
          <w:color w:val="2A1336"/>
          <w:sz w:val="22"/>
        </w:rPr>
        <w:t>Normalizar activos de diferentes bancos y determinar si son oportunidades contra el mercado abierto sin depender de campos que algunas fuentes no publican.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>Implementado:</w:t>
      </w:r>
      <w:r>
        <w:rPr>
          <w:rFonts w:ascii="Calibri" w:hAnsi="Calibri"/>
          <w:b w:val="0"/>
          <w:i w:val="0"/>
          <w:color w:val="2A1336"/>
          <w:sz w:val="22"/>
        </w:rPr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Fuentes bancarias normalizadas y clasificación contra comparables del mercado abierto.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Ausencia de estrato tratada como dato opcional, no como bloqueo.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Mensaje de última verificación y rotación semanal determinista del inventario.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Interfaz y filtros adaptados a la calidad real de los datos bancarios.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Evidencia verificable. </w:t>
      </w:r>
      <w:r>
        <w:rPr>
          <w:rFonts w:ascii="Calibri" w:hAnsi="Calibri"/>
          <w:b w:val="0"/>
          <w:i w:val="0"/>
          <w:color w:val="2A1336"/>
          <w:sz w:val="22"/>
        </w:rPr>
        <w:t>Scrapers bancarios, motor de comparables, rotación semanal y pruebas de frescura.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Pendiente para cierre. </w:t>
      </w:r>
      <w:r>
        <w:rPr>
          <w:rFonts w:ascii="Calibri" w:hAnsi="Calibri"/>
          <w:b w:val="0"/>
          <w:i w:val="0"/>
          <w:color w:val="2A1336"/>
          <w:sz w:val="22"/>
        </w:rPr>
        <w:t>Cerrar la identidad secundaria para enlaces o slugs inestables; uniformar detección de retiro, cambio de precio e historial entre bancos.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9D9" w:val="clear"/>
            <w:tcBorders>
              <w:start w:val="single" w:sz="22" w:color="8A6300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8A6300"/>
                <w:sz w:val="22"/>
              </w:rPr>
              <w:t xml:space="preserve">Decisión o validación del cliente: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Confirmar qué atributos mínimos debe tener un activo bancario para publicarse aun cuando la fuente no entregue estrato, habitaciones o baños.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HU-F1-04 — Motor de activos Grupo AVAL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 w:val="clear"/>
            <w:tcBorders>
              <w:top w:val="single" w:sz="4" w:color="FFF5D6"/>
              <w:bottom w:val="single" w:sz="4" w:color="FFF5D6"/>
              <w:start w:val="single" w:sz="4" w:color="FFF5D6"/>
              <w:end w:val="single" w:sz="4" w:color="FFF5D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8A6300"/>
                <w:sz w:val="24"/>
              </w:rPr>
              <w:t>72%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 w:val="clear"/>
            <w:tcBorders>
              <w:top w:val="single" w:sz="4" w:color="FFF5D6"/>
              <w:bottom w:val="single" w:sz="4" w:color="FFF5D6"/>
              <w:start w:val="single" w:sz="4" w:color="FFF5D6"/>
              <w:end w:val="single" w:sz="4" w:color="FFF5D6"/>
            </w:tcBorders>
          </w:tcPr>
          <w:p>
            <w:r>
              <w:rPr>
                <w:rFonts w:ascii="Calibri" w:hAnsi="Calibri"/>
                <w:b/>
                <w:i w:val="0"/>
                <w:color w:val="8A6300"/>
                <w:sz w:val="21"/>
              </w:rPr>
              <w:t>Parcial — ingesta funcional, normalización pendiente</w:t>
            </w:r>
          </w:p>
        </w:tc>
      </w:tr>
    </w:tbl>
    <w:p>
      <w:pPr>
        <w:spacing w:after="0"/>
      </w:pP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Objetivo. </w:t>
      </w:r>
      <w:r>
        <w:rPr>
          <w:rFonts w:ascii="Calibri" w:hAnsi="Calibri"/>
          <w:b w:val="0"/>
          <w:i w:val="0"/>
          <w:color w:val="2A1336"/>
          <w:sz w:val="22"/>
        </w:rPr>
        <w:t>Extraer y comparar activos publicados en boletines PDF de AVAL conservando trazabilidad del documento fuente.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>Implementado:</w:t>
      </w:r>
      <w:r>
        <w:rPr>
          <w:rFonts w:ascii="Calibri" w:hAnsi="Calibri"/>
          <w:b w:val="0"/>
          <w:i w:val="0"/>
          <w:color w:val="2A1336"/>
          <w:sz w:val="22"/>
        </w:rPr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Resolución dinámica, descarga y lectura por página del boletín PDF.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Deduplicación por código y extracción de precio, tipo, área, dirección y ciudad.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Campo area_tipo para evitar comparaciones inválidas entre lotes y vivienda.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Imagen por ficha y soporte de almacenamiento.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Evidencia verificable. </w:t>
      </w:r>
      <w:r>
        <w:rPr>
          <w:rFonts w:ascii="Calibri" w:hAnsi="Calibri"/>
          <w:b w:val="0"/>
          <w:i w:val="0"/>
          <w:color w:val="2A1336"/>
          <w:sz w:val="22"/>
        </w:rPr>
        <w:t>Parser PDF, deduplicación, modelo normalizado y representación en la aplicación.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Pendiente para cierre. </w:t>
      </w:r>
      <w:r>
        <w:rPr>
          <w:rFonts w:ascii="Calibri" w:hAnsi="Calibri"/>
          <w:b w:val="0"/>
          <w:i w:val="0"/>
          <w:color w:val="2A1336"/>
          <w:sz w:val="22"/>
        </w:rPr>
        <w:t>Normalización ciudad–departamento con bandera de revisión; campos opcionales de habitaciones/baños; comparación entre boletines e insignias de novedad/cambio; trazabilidad completa del boletín.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9D9" w:val="clear"/>
            <w:tcBorders>
              <w:start w:val="single" w:sz="22" w:color="8A6300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8A6300"/>
                <w:sz w:val="22"/>
              </w:rPr>
              <w:t xml:space="preserve">Decisión o validación del cliente: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Aprobar si las insignias “Nuevo inmueble” y “Nuevo valor” son fuente suficiente o deben recalcularse comparando boletines.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HU-F1-05 — Motor de remates judiciales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  <w:tcBorders>
              <w:top w:val="single" w:sz="4" w:color="EAF6EF"/>
              <w:bottom w:val="single" w:sz="4" w:color="EAF6EF"/>
              <w:start w:val="single" w:sz="4" w:color="EAF6EF"/>
              <w:end w:val="single" w:sz="4" w:color="EAF6E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7A46"/>
                <w:sz w:val="24"/>
              </w:rPr>
              <w:t>92%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  <w:tcBorders>
              <w:top w:val="single" w:sz="4" w:color="EAF6EF"/>
              <w:bottom w:val="single" w:sz="4" w:color="EAF6EF"/>
              <w:start w:val="single" w:sz="4" w:color="EAF6EF"/>
              <w:end w:val="single" w:sz="4" w:color="EAF6EF"/>
            </w:tcBorders>
          </w:tcPr>
          <w:p>
            <w:r>
              <w:rPr>
                <w:rFonts w:ascii="Calibri" w:hAnsi="Calibri"/>
                <w:b/>
                <w:i w:val="0"/>
                <w:color w:val="1E7A46"/>
                <w:sz w:val="21"/>
              </w:rPr>
              <w:t>Avanzada — cierre de calidad de datos</w:t>
            </w:r>
          </w:p>
        </w:tc>
      </w:tr>
    </w:tbl>
    <w:p>
      <w:pPr>
        <w:spacing w:after="0"/>
      </w:pP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Objetivo. </w:t>
      </w:r>
      <w:r>
        <w:rPr>
          <w:rFonts w:ascii="Calibri" w:hAnsi="Calibri"/>
          <w:b w:val="0"/>
          <w:i w:val="0"/>
          <w:color w:val="2A1336"/>
          <w:sz w:val="22"/>
        </w:rPr>
        <w:t>Clasificar el riesgo y el acceso comercial de cada remate sin confundir postura mínima, avalúo y porcentaje real del bien.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>Implementado:</w:t>
      </w:r>
      <w:r>
        <w:rPr>
          <w:rFonts w:ascii="Calibri" w:hAnsi="Calibri"/>
          <w:b w:val="0"/>
          <w:i w:val="0"/>
          <w:color w:val="2A1336"/>
          <w:sz w:val="22"/>
        </w:rPr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Identificación del origen del demandante, tipo de proceso y cuota-parte.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Regla conservadora cuando el origen es incierto.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Matriz gratis/suscripción y alerta visible para riesgos jurídicos.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Diferenciación entre porcentaje de postura y porcentaje de dominio rematado.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Barreras contra valores financieros y porcentajes imposibles antes de mostrarlos.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Evidencia verificable. </w:t>
      </w:r>
      <w:r>
        <w:rPr>
          <w:rFonts w:ascii="Calibri" w:hAnsi="Calibri"/>
          <w:b w:val="0"/>
          <w:i w:val="0"/>
          <w:color w:val="2A1336"/>
          <w:sz w:val="22"/>
        </w:rPr>
        <w:t>Motor jurídico, matriz de acceso, sanitización de datos y pruebas específicas sobre avisos y porcentajes.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Pendiente para cierre. </w:t>
      </w:r>
      <w:r>
        <w:rPr>
          <w:rFonts w:ascii="Calibri" w:hAnsi="Calibri"/>
          <w:b w:val="0"/>
          <w:i w:val="0"/>
          <w:color w:val="2A1336"/>
          <w:sz w:val="22"/>
        </w:rPr>
        <w:t>Enviar anomalías a cuarentena desde ingestión/base de datos y reemplazar imágenes genéricas por evidencia neutral y trazable cuando la fuente no entregue imagen.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9D9" w:val="clear"/>
            <w:tcBorders>
              <w:start w:val="single" w:sz="22" w:color="8A6300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8A6300"/>
                <w:sz w:val="22"/>
              </w:rPr>
              <w:t xml:space="preserve">Decisión o validación del cliente: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Definir qué evidencia visual o documental es suficiente para publicar una ficha sin imagen original.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4. Requisitos transversales de producto y operación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A1336"/>
          <w:sz w:val="22"/>
        </w:rPr>
        <w:t>Estos bloques no sustituyen las HU del motor, pero determinan si el usuario puede utilizar el producto de forma segura, comprensible y repetible.</w:t>
      </w:r>
    </w:p>
    <w:p>
      <w:pPr>
        <w:pStyle w:val="Heading2"/>
        <w:keepNext/>
      </w:pPr>
      <w:r>
        <w:t>PRD-01 — UX, autenticación y freemium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  <w:tcBorders>
              <w:top w:val="single" w:sz="4" w:color="EAF6EF"/>
              <w:bottom w:val="single" w:sz="4" w:color="EAF6EF"/>
              <w:start w:val="single" w:sz="4" w:color="EAF6EF"/>
              <w:end w:val="single" w:sz="4" w:color="EAF6E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7A46"/>
                <w:sz w:val="24"/>
              </w:rPr>
              <w:t>88%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  <w:tcBorders>
              <w:top w:val="single" w:sz="4" w:color="EAF6EF"/>
              <w:bottom w:val="single" w:sz="4" w:color="EAF6EF"/>
              <w:start w:val="single" w:sz="4" w:color="EAF6EF"/>
              <w:end w:val="single" w:sz="4" w:color="EAF6EF"/>
            </w:tcBorders>
          </w:tcPr>
          <w:p>
            <w:r>
              <w:rPr>
                <w:rFonts w:ascii="Calibri" w:hAnsi="Calibri"/>
                <w:b/>
                <w:i w:val="0"/>
                <w:color w:val="1E7A46"/>
                <w:sz w:val="21"/>
              </w:rPr>
              <w:t>Avanzado — experiencia demostrable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Navegación responsive y accesible con filtros laterales en escritorio y panel desplegable en móvil.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Tarjetas, modales, estados de carga, foco, teclado y targets táctiles mejorados.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Favoritos anónimos y sincronización al iniciar sesión.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Registro por correo y acceso con Google OAuth probado.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Valor visible antes del registro: comparables, costos y señales CRECE.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Pendiente para cierre. </w:t>
      </w:r>
      <w:r>
        <w:rPr>
          <w:rFonts w:ascii="Calibri" w:hAnsi="Calibri"/>
          <w:b w:val="0"/>
          <w:i w:val="0"/>
          <w:color w:val="2A1336"/>
          <w:sz w:val="22"/>
        </w:rPr>
        <w:t>Onboarding posterior al registro, activación controlada de alertas recurrentes y revisión formal de accesibilidad.</w:t>
      </w:r>
    </w:p>
    <w:p>
      <w:pPr>
        <w:pStyle w:val="Heading2"/>
        <w:keepNext/>
      </w:pPr>
      <w:r>
        <w:t>OPS-01 — Producción, seguridad y operación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 w:val="clear"/>
            <w:tcBorders>
              <w:top w:val="single" w:sz="4" w:color="FFF5D6"/>
              <w:bottom w:val="single" w:sz="4" w:color="FFF5D6"/>
              <w:start w:val="single" w:sz="4" w:color="FFF5D6"/>
              <w:end w:val="single" w:sz="4" w:color="FFF5D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8A6300"/>
                <w:sz w:val="24"/>
              </w:rPr>
              <w:t>64%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 w:val="clear"/>
            <w:tcBorders>
              <w:top w:val="single" w:sz="4" w:color="FFF5D6"/>
              <w:bottom w:val="single" w:sz="4" w:color="FFF5D6"/>
              <w:start w:val="single" w:sz="4" w:color="FFF5D6"/>
              <w:end w:val="single" w:sz="4" w:color="FFF5D6"/>
            </w:tcBorders>
          </w:tcPr>
          <w:p>
            <w:r>
              <w:rPr>
                <w:rFonts w:ascii="Calibri" w:hAnsi="Calibri"/>
                <w:b/>
                <w:i w:val="0"/>
                <w:color w:val="8A6300"/>
                <w:sz w:val="21"/>
              </w:rPr>
              <w:t>En endurecimiento — producción activa, operación no cerrada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HTTPS, healthcheck, readiness, apagado controlado, cabeceras de seguridad y request IDs.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Imagen Docker multi-stage y ejecución no-root.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CI, pruebas automatizadas y monitoreo sintético.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Runbook, backup lógico y verificación de artefactos.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Pendiente prioritario. </w:t>
      </w:r>
      <w:r>
        <w:rPr>
          <w:rFonts w:ascii="Calibri" w:hAnsi="Calibri"/>
          <w:b w:val="0"/>
          <w:i w:val="0"/>
          <w:color w:val="2A1336"/>
          <w:sz w:val="22"/>
        </w:rPr>
        <w:t>Sesiones en cookies HttpOnly/Secure/SameSite, verificación de correo, reducción de datos personales en logs, centralización de métricas/trazas, restauración real en entorno de ensayo y prueba de rollback.</w:t>
      </w:r>
    </w:p>
    <w:p>
      <w:r>
        <w:br w:type="page"/>
      </w:r>
    </w:p>
    <w:p>
      <w:pPr>
        <w:pStyle w:val="Heading1"/>
        <w:keepNext/>
      </w:pPr>
      <w:r>
        <w:t>5. Alcance adicional solicitado después de la línea base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9D9" w:val="clear"/>
            <w:tcBorders>
              <w:start w:val="single" w:sz="22" w:color="8A6300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8A6300"/>
                <w:sz w:val="22"/>
              </w:rPr>
              <w:t xml:space="preserve">Regla de alcance: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Estos elementos agregan valor real, pero deben registrarse como nuevas HU o extensiones. No se usan para inflar el 84% de Fase 1.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50"/>
        <w:gridCol w:w="1420"/>
        <w:gridCol w:w="1850"/>
        <w:gridCol w:w="3340"/>
      </w:tblGrid>
      <w:tr>
        <w:trPr>
          <w:tblHeader w:val="true"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F2868" w:val="clea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Funcionalidad añadida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F2868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F2868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Clasificación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F2868" w:val="clea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Paso siguiente</w:t>
            </w:r>
          </w:p>
        </w:tc>
      </w:tr>
      <w:tr>
        <w:tc>
          <w:tcPr>
            <w:tcW w:type="dxa" w:w="27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2A1336"/>
                <w:sz w:val="18"/>
              </w:rPr>
              <w:t>Rediseño visual y filtros laterales</w:t>
            </w:r>
          </w:p>
        </w:tc>
        <w:tc>
          <w:tcPr>
            <w:tcW w:type="dxa" w:w="1420"/>
            <w:shd w:fill="EAF6EF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Desplegado</w:t>
            </w:r>
          </w:p>
        </w:tc>
        <w:tc>
          <w:tcPr>
            <w:tcW w:type="dxa" w:w="18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Extensión UX</w:t>
            </w:r>
          </w:p>
        </w:tc>
        <w:tc>
          <w:tcPr>
            <w:tcW w:type="dxa" w:w="334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Validación final con usuarios y revisión WCAG.</w:t>
            </w:r>
          </w:p>
        </w:tc>
      </w:tr>
      <w:tr>
        <w:tc>
          <w:tcPr>
            <w:tcW w:type="dxa" w:w="27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2A1336"/>
                <w:sz w:val="18"/>
              </w:rPr>
              <w:t>Inicio de sesión con Google</w:t>
            </w:r>
          </w:p>
        </w:tc>
        <w:tc>
          <w:tcPr>
            <w:tcW w:type="dxa" w:w="1420"/>
            <w:shd w:fill="EAF6EF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Validado</w:t>
            </w:r>
          </w:p>
        </w:tc>
        <w:tc>
          <w:tcPr>
            <w:tcW w:type="dxa" w:w="18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Extensión Auth</w:t>
            </w:r>
          </w:p>
        </w:tc>
        <w:tc>
          <w:tcPr>
            <w:tcW w:type="dxa" w:w="334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Monitorear altas externas y políticas de acceso.</w:t>
            </w:r>
          </w:p>
        </w:tc>
      </w:tr>
      <w:tr>
        <w:tc>
          <w:tcPr>
            <w:tcW w:type="dxa" w:w="27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2A1336"/>
                <w:sz w:val="18"/>
              </w:rPr>
              <w:t>Alertas por correo con Resend</w:t>
            </w:r>
          </w:p>
        </w:tc>
        <w:tc>
          <w:tcPr>
            <w:tcW w:type="dxa" w:w="1420"/>
            <w:shd w:fill="EAF6EF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Operativo</w:t>
            </w:r>
          </w:p>
        </w:tc>
        <w:tc>
          <w:tcPr>
            <w:tcW w:type="dxa" w:w="18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Nueva HU</w:t>
            </w:r>
          </w:p>
        </w:tc>
        <w:tc>
          <w:tcPr>
            <w:tcW w:type="dxa" w:w="334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Activar programación con canary, métricas y límites controlados.</w:t>
            </w:r>
          </w:p>
        </w:tc>
      </w:tr>
      <w:tr>
        <w:tc>
          <w:tcPr>
            <w:tcW w:type="dxa" w:w="27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2A1336"/>
                <w:sz w:val="18"/>
              </w:rPr>
              <w:t>Planes, cuenta, comparador y panel admin</w:t>
            </w:r>
          </w:p>
        </w:tc>
        <w:tc>
          <w:tcPr>
            <w:tcW w:type="dxa" w:w="1420"/>
            <w:shd w:fill="FFF5D6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Demo funcional</w:t>
            </w:r>
          </w:p>
        </w:tc>
        <w:tc>
          <w:tcPr>
            <w:tcW w:type="dxa" w:w="18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Fase 2 comercial</w:t>
            </w:r>
          </w:p>
        </w:tc>
        <w:tc>
          <w:tcPr>
            <w:tcW w:type="dxa" w:w="334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Validar prioridades, permisos y operación con usuarios piloto.</w:t>
            </w:r>
          </w:p>
        </w:tc>
      </w:tr>
      <w:tr>
        <w:tc>
          <w:tcPr>
            <w:tcW w:type="dxa" w:w="27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2A1336"/>
                <w:sz w:val="18"/>
              </w:rPr>
              <w:t>Wompi Web Checkout</w:t>
            </w:r>
          </w:p>
        </w:tc>
        <w:tc>
          <w:tcPr>
            <w:tcW w:type="dxa" w:w="1420"/>
            <w:shd w:fill="FFF5D6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Preparado</w:t>
            </w:r>
          </w:p>
        </w:tc>
        <w:tc>
          <w:tcPr>
            <w:tcW w:type="dxa" w:w="18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Fase 2 / tercero</w:t>
            </w:r>
          </w:p>
        </w:tc>
        <w:tc>
          <w:tcPr>
            <w:tcW w:type="dxa" w:w="334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Retomar cuando existan credenciales legítimas y ejecutar compra Sandbox E2E.</w:t>
            </w:r>
          </w:p>
        </w:tc>
      </w:tr>
      <w:tr>
        <w:tc>
          <w:tcPr>
            <w:tcW w:type="dxa" w:w="27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2A1336"/>
                <w:sz w:val="18"/>
              </w:rPr>
              <w:t>Comparables de arriendo y rentabilidad</w:t>
            </w:r>
          </w:p>
        </w:tc>
        <w:tc>
          <w:tcPr>
            <w:tcW w:type="dxa" w:w="1420"/>
            <w:shd w:fill="FFF5D6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Piloto</w:t>
            </w:r>
          </w:p>
        </w:tc>
        <w:tc>
          <w:tcPr>
            <w:tcW w:type="dxa" w:w="18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Nueva HU</w:t>
            </w:r>
          </w:p>
        </w:tc>
        <w:tc>
          <w:tcPr>
            <w:tcW w:type="dxa" w:w="334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8"/>
              </w:rPr>
              <w:t>Consolidar cobertura, calidad y confianza del canon observado.</w:t>
            </w:r>
          </w:p>
        </w:tc>
      </w:tr>
    </w:tbl>
    <w:p>
      <w:pPr>
        <w:pStyle w:val="Heading2"/>
        <w:keepNext/>
      </w:pPr>
      <w:r>
        <w:t>5.1 Piloto de arriendos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A1336"/>
          <w:sz w:val="22"/>
        </w:rPr>
        <w:t>El flujo ya separa el mercado de venta del mercado de arriendo, almacena cánones mensuales, calcula una referencia de alquiler para propiedades similares y permite recalcular rentabilidad. El piloto controlado cubre Medellín —seis barrios—, Bucaramanga, Pereira y Manizales.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Pendiente. </w:t>
      </w:r>
      <w:r>
        <w:rPr>
          <w:rFonts w:ascii="Calibri" w:hAnsi="Calibri"/>
          <w:b w:val="0"/>
          <w:i w:val="0"/>
          <w:color w:val="2A1336"/>
          <w:sz w:val="22"/>
        </w:rPr>
        <w:t>Ejecutar ingestas periódicas completas, medir cobertura por ciudad/tipo, definir una muestra mínima y mostrar un nivel de confianza que impida presentar un canon débil como dato concluyente.</w:t>
      </w:r>
    </w:p>
    <w:p>
      <w:r>
        <w:br w:type="page"/>
      </w:r>
    </w:p>
    <w:p>
      <w:pPr>
        <w:pStyle w:val="Heading1"/>
        <w:keepNext/>
      </w:pPr>
      <w:r>
        <w:t>6. Próximos pasos priorizados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2550"/>
        <w:gridCol w:w="2900"/>
        <w:gridCol w:w="3160"/>
      </w:tblGrid>
      <w:tr>
        <w:trPr>
          <w:tblHeader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1336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Prio.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1336" w:val="clea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Trabajo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1336" w:val="clea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Entregable verificable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1336" w:val="clea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Criterio de salida</w:t>
            </w:r>
          </w:p>
        </w:tc>
      </w:tr>
      <w:tr>
        <w:tc>
          <w:tcPr>
            <w:tcW w:type="dxa" w:w="750"/>
            <w:shd w:fill="FDECEC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P0</w:t>
            </w:r>
          </w:p>
        </w:tc>
        <w:tc>
          <w:tcPr>
            <w:tcW w:type="dxa" w:w="2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Validar esta matriz con el cliente</w:t>
            </w:r>
          </w:p>
        </w:tc>
        <w:tc>
          <w:tcPr>
            <w:tcW w:type="dxa" w:w="29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Versión aprobada de HU, criterios y alcance adicional.</w:t>
            </w:r>
          </w:p>
        </w:tc>
        <w:tc>
          <w:tcPr>
            <w:tcW w:type="dxa" w:w="31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Cada historia tiene aceptación, prioridad y responsable definidos.</w:t>
            </w:r>
          </w:p>
        </w:tc>
      </w:tr>
      <w:tr>
        <w:tc>
          <w:tcPr>
            <w:tcW w:type="dxa" w:w="750"/>
            <w:shd w:fill="FDECEC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P0</w:t>
            </w:r>
          </w:p>
        </w:tc>
        <w:tc>
          <w:tcPr>
            <w:tcW w:type="dxa" w:w="2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Cerrar ciclo de vida Portal/Bancos</w:t>
            </w:r>
          </w:p>
        </w:tc>
        <w:tc>
          <w:tcPr>
            <w:tcW w:type="dxa" w:w="29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Eventos uniformes y auditables desde todos los scrapers.</w:t>
            </w:r>
          </w:p>
        </w:tc>
        <w:tc>
          <w:tcPr>
            <w:tcW w:type="dxa" w:w="31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Muestra de publicaciones con historial completo y estados reproducibles.</w:t>
            </w:r>
          </w:p>
        </w:tc>
      </w:tr>
      <w:tr>
        <w:tc>
          <w:tcPr>
            <w:tcW w:type="dxa" w:w="750"/>
            <w:shd w:fill="FFF5D6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P1</w:t>
            </w:r>
          </w:p>
        </w:tc>
        <w:tc>
          <w:tcPr>
            <w:tcW w:type="dxa" w:w="2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Cerrar normalización AVAL</w:t>
            </w:r>
          </w:p>
        </w:tc>
        <w:tc>
          <w:tcPr>
            <w:tcW w:type="dxa" w:w="29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Comparación entre boletines y reporte de datos ambiguos.</w:t>
            </w:r>
          </w:p>
        </w:tc>
        <w:tc>
          <w:tcPr>
            <w:tcW w:type="dxa" w:w="31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Duplicados, cambios de precio y ciudades se resuelven de forma trazable.</w:t>
            </w:r>
          </w:p>
        </w:tc>
      </w:tr>
      <w:tr>
        <w:tc>
          <w:tcPr>
            <w:tcW w:type="dxa" w:w="750"/>
            <w:shd w:fill="FFF5D6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P1</w:t>
            </w:r>
          </w:p>
        </w:tc>
        <w:tc>
          <w:tcPr>
            <w:tcW w:type="dxa" w:w="2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Consolidar piloto de arriendos</w:t>
            </w:r>
          </w:p>
        </w:tc>
        <w:tc>
          <w:tcPr>
            <w:tcW w:type="dxa" w:w="29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Reporte de cobertura, calidad, muestra y confianza por ciudad.</w:t>
            </w:r>
          </w:p>
        </w:tc>
        <w:tc>
          <w:tcPr>
            <w:tcW w:type="dxa" w:w="31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El canon se muestra solo cuando supera criterios de datos acordados.</w:t>
            </w:r>
          </w:p>
        </w:tc>
      </w:tr>
      <w:tr>
        <w:tc>
          <w:tcPr>
            <w:tcW w:type="dxa" w:w="750"/>
            <w:shd w:fill="FFF5D6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P1</w:t>
            </w:r>
          </w:p>
        </w:tc>
        <w:tc>
          <w:tcPr>
            <w:tcW w:type="dxa" w:w="2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Operar alertas por correo</w:t>
            </w:r>
          </w:p>
        </w:tc>
        <w:tc>
          <w:tcPr>
            <w:tcW w:type="dxa" w:w="29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Canary, agenda recurrente, métricas e idempotencia verificadas.</w:t>
            </w:r>
          </w:p>
        </w:tc>
        <w:tc>
          <w:tcPr>
            <w:tcW w:type="dxa" w:w="31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Una alerta real llega una sola vez y queda registrada.</w:t>
            </w:r>
          </w:p>
        </w:tc>
      </w:tr>
      <w:tr>
        <w:tc>
          <w:tcPr>
            <w:tcW w:type="dxa" w:w="750"/>
            <w:shd w:fill="F2F4F7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P2</w:t>
            </w:r>
          </w:p>
        </w:tc>
        <w:tc>
          <w:tcPr>
            <w:tcW w:type="dxa" w:w="2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Endurecer producción</w:t>
            </w:r>
          </w:p>
        </w:tc>
        <w:tc>
          <w:tcPr>
            <w:tcW w:type="dxa" w:w="29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Sesión segura, verificación de correo, logs sin PII y restauración ensayada.</w:t>
            </w:r>
          </w:p>
        </w:tc>
        <w:tc>
          <w:tcPr>
            <w:tcW w:type="dxa" w:w="31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Controles críticos verificados y recuperación cronometrada.</w:t>
            </w:r>
          </w:p>
        </w:tc>
      </w:tr>
      <w:tr>
        <w:tc>
          <w:tcPr>
            <w:tcW w:type="dxa" w:w="750"/>
            <w:shd w:fill="F2F4F7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P2</w:t>
            </w:r>
          </w:p>
        </w:tc>
        <w:tc>
          <w:tcPr>
            <w:tcW w:type="dxa" w:w="2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Retomar pagos</w:t>
            </w:r>
          </w:p>
        </w:tc>
        <w:tc>
          <w:tcPr>
            <w:tcW w:type="dxa" w:w="29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Transacción Wompi Sandbox aprobada, webhook e idempotencia.</w:t>
            </w:r>
          </w:p>
        </w:tc>
        <w:tc>
          <w:tcPr>
            <w:tcW w:type="dxa" w:w="31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El pago aprobado activa Pro; retorno del navegador por sí solo no lo hace.</w:t>
            </w:r>
          </w:p>
        </w:tc>
      </w:tr>
    </w:tbl>
    <w:p>
      <w:pPr>
        <w:pStyle w:val="Heading1"/>
        <w:keepNext/>
      </w:pPr>
      <w:r>
        <w:t>7. Decisiones que deben solicitarse al cliente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Radio máximo y regla para ampliar comparables desde barrio hacia zona o ciudad.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Atributos mínimos para publicar activos bancarios o AVAL cuando la fuente omite campos.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Ciudades, tipos de inmueble y muestra mínima para aceptar un canon de arriendo.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Tratamiento visible y duración del histórico de inmuebles retirados o expirados.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Separación formal entre Fase 2 técnica —remates— y Fase 2 comercial —planes, alertas, pagos y expansión—.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Confirmación de que Wompi queda aplazado hasta contar con datos reales del comercio.</w:t>
      </w:r>
    </w:p>
    <w:p>
      <w:r>
        <w:br w:type="page"/>
      </w:r>
    </w:p>
    <w:p>
      <w:pPr>
        <w:pStyle w:val="Heading1"/>
        <w:keepNext/>
      </w:pPr>
      <w:r>
        <w:t>8. Guion sugerido para presentar el avance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Abrir con el resultado: la Fase 1 está en 84% y supera el objetivo de demostración del 80%.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Explicar que el porcentaje sale de las historias originales, no de sumar funcionalidades nuevas.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Demostrar comparables e Índice CRECE con una propiedad real y mostrar los criterios usados.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Recorrer un activo bancario y un remate para evidenciar las reglas específicas de cada fuente.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Mostrar filtros responsive, Google OAuth, guardados y el análisis de arriendo/rentabilidad como alcance adicional.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Reconocer los pendientes sin maquillarlos: historial, AVAL, calidad de arriendos y endurecimiento operativo.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Cerrar solicitando aprobación de las decisiones de la sección 7 y acordando el orden de los próximos pasos.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4EFF7" w:val="clear"/>
            <w:tcBorders>
              <w:start w:val="single" w:sz="22" w:color="4F2868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F2868"/>
                <w:sz w:val="22"/>
              </w:rPr>
              <w:t xml:space="preserve">Mensaje central: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El producto no es una maqueta: existe una implementación demostrable y probada. Tampoco se presenta como terminado al 100%: las brechas y dependencias están identificadas.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Evidencia técnica del corte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TypeScript: compilación sin errores.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Pruebas unitarias e integración: 122 de 122 aprobadas.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Recorridos E2E locales: 9 de 9 aprobados.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Cobertura E2E actual: dashboard/configuración, Bancos, Remates, rentabilidad con arriendos, guardados, login, Google OAuth, checkout demo, móvil y filtros laterales.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Versión de código evaluada: e193049.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Producción: https://joinsclee-radar.juno8i.easypanel.host/</w:t>
      </w:r>
    </w:p>
    <w:p>
      <w:r>
        <w:br w:type="page"/>
      </w:r>
    </w:p>
    <w:p>
      <w:pPr>
        <w:pStyle w:val="Heading1"/>
        <w:keepNext/>
      </w:pPr>
      <w:r>
        <w:t>10. Documentos de referencia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Radar de Oportunidades — Documentación y Propuesta.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Radar CRECE — Índice Maestro HU Fase 1.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Radar CRECE — Especificación Motor de Comparables v1.2.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HU Núcleo Motor de Comparables.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HU Rango de Precio y Vigencia del Motor Radar.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HU Motor de Activos Bancarios.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HU Motor de Activos Bancarios — Grupo AVAL.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HU Motor de Remates Judiciales.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Informes internos de avance de Fase 1 y Fase 2, roadmap de producción y evidencia automatizada del repositorio.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9D9" w:val="clear"/>
            <w:tcBorders>
              <w:start w:val="single" w:sz="22" w:color="8A6300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8A6300"/>
                <w:sz w:val="22"/>
              </w:rPr>
              <w:t xml:space="preserve">Próxima actualización: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Después de la validación del cliente, esta matriz debe versionarse y convertirse en el backlog oficial: cada cambio nuevo deberá quedar asociado a una HU, criterio de aceptación, evidencia y fecha de aprobación.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2860"/>
    </w:tblGrid>
    <w:tr>
      <w:tc>
        <w:tcPr>
          <w:tcW w:type="dxa" w:w="6500"/>
          <w:tcMar>
            <w:top w:w="40" w:type="dxa"/>
            <w:start w:w="0" w:type="dxa"/>
            <w:bottom w:w="0" w:type="dxa"/>
            <w:end w:w="0" w:type="dxa"/>
          </w:tcMar>
          <w:vAlign w:val="center"/>
          <w:tcBorders>
            <w:top w:val="single" w:sz="5" w:color="D9DDE3" w:space="0"/>
          </w:tcBorders>
        </w:tcPr>
        <w:p>
          <w:r>
            <w:rPr>
              <w:rFonts w:ascii="Calibri" w:hAnsi="Calibri"/>
              <w:b w:val="0"/>
              <w:i w:val="0"/>
              <w:color w:val="655B69"/>
              <w:sz w:val="17"/>
            </w:rPr>
            <w:t>Corte: 25 de julio de 2026  •  Documento de trabajo para validación</w:t>
          </w:r>
        </w:p>
      </w:tc>
      <w:tc>
        <w:tcPr>
          <w:tcW w:type="dxa" w:w="2860"/>
          <w:tcMar>
            <w:top w:w="40" w:type="dxa"/>
            <w:start w:w="0" w:type="dxa"/>
            <w:bottom w:w="0" w:type="dxa"/>
            <w:end w:w="0" w:type="dxa"/>
          </w:tcMar>
          <w:vAlign w:val="center"/>
          <w:tcBorders>
            <w:top w:val="single" w:sz="5" w:color="D9DDE3" w:space="0"/>
          </w:tcBorders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55B69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</w:pPr>
  </w:p>
  <w:tbl>
    <w:tblPr>
      <w:tblW w:type="dxa" w:w="9360"/>
      <w:tblLayout w:type="fixed"/>
      <w:tblLook w:firstColumn="1" w:firstRow="1" w:lastColumn="0" w:lastRow="0" w:noHBand="0" w:noVBand="1" w:val="04A0"/>
      <w:tblInd w:w="0" w:type="dxa"/>
    </w:tblPr>
    <w:tblGrid>
      <w:gridCol w:w="5200"/>
      <w:gridCol w:w="4160"/>
    </w:tblGrid>
    <w:tr>
      <w:tc>
        <w:tcPr>
          <w:tcW w:type="dxa" w:w="5200"/>
          <w:tcMar>
            <w:top w:w="0" w:type="dxa"/>
            <w:start w:w="0" w:type="dxa"/>
            <w:bottom w:w="40" w:type="dxa"/>
            <w:end w:w="0" w:type="dxa"/>
          </w:tcMar>
          <w:vAlign w:val="center"/>
          <w:tcBorders>
            <w:bottom w:val="single" w:sz="5" w:color="D9DDE3" w:space="0"/>
          </w:tcBorders>
        </w:tcPr>
        <w:p>
          <w:r>
            <w:rPr>
              <w:rFonts w:ascii="Calibri" w:hAnsi="Calibri"/>
              <w:b/>
              <w:i w:val="0"/>
              <w:color w:val="655B69"/>
              <w:sz w:val="17"/>
            </w:rPr>
            <w:t>RADAR CRECE  |  HISTORIAS DE USUARIO</w:t>
          </w:r>
        </w:p>
      </w:tc>
      <w:tc>
        <w:tcPr>
          <w:tcW w:type="dxa" w:w="4160"/>
          <w:tcMar>
            <w:top w:w="0" w:type="dxa"/>
            <w:start w:w="0" w:type="dxa"/>
            <w:bottom w:w="40" w:type="dxa"/>
            <w:end w:w="0" w:type="dxa"/>
          </w:tcMar>
          <w:vAlign w:val="center"/>
          <w:tcBorders>
            <w:bottom w:val="single" w:sz="5" w:color="D9DDE3" w:space="0"/>
          </w:tcBorders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55B69"/>
              <w:sz w:val="17"/>
            </w:rPr>
            <w:t>Documento de avance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0">
    <w:abstractNumId w:val="9"/>
  </w:num>
  <w:abstractNum w:abstractNumId="10">
    <w:nsid w:val="0000000A"/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A13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4F28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F28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A133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trazabilidad de historias de usuario — Radar de Oportunidades</dc:title>
  <dc:subject>Avance funcional, evidencia, pendientes y próximos pasos</dc:subject>
  <dc:creator>Equipo de desarrollo Radar CRECE</dc:creator>
  <cp:keywords>Radar, CRECE, historias de usuario, trazabilidad, avance, fase 1, fase 2</cp:keywords>
  <dc:description>Documento preparado para revisión y validación con el cliente.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