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0"/>
      </w:pPr>
      <w:r>
        <w:rPr>
          <w:rFonts w:ascii="Calibri" w:hAnsi="Calibri"/>
          <w:b/>
          <w:i w:val="0"/>
          <w:color w:val="8A6300"/>
          <w:sz w:val="19"/>
        </w:rPr>
        <w:t>SEGUIMIENTO FUNCIONAL BASADO EN HU</w:t>
      </w:r>
    </w:p>
    <w:p>
      <w:pPr>
        <w:spacing w:after="120"/>
      </w:pPr>
      <w:r>
        <w:rPr>
          <w:rFonts w:ascii="Calibri" w:hAnsi="Calibri"/>
          <w:b/>
          <w:i w:val="0"/>
          <w:color w:val="2A1336"/>
          <w:sz w:val="56"/>
        </w:rPr>
        <w:t>Seguimiento de Historias de Usuario</w:t>
      </w:r>
    </w:p>
    <w:p>
      <w:pPr>
        <w:spacing w:after="360"/>
      </w:pPr>
      <w:r>
        <w:rPr>
          <w:rFonts w:ascii="Calibri" w:hAnsi="Calibri"/>
          <w:b/>
          <w:i w:val="0"/>
          <w:color w:val="4F2868"/>
          <w:sz w:val="27"/>
        </w:rPr>
        <w:t>Fases 1 y 2 · criterios de aceptación, evidencia y próximos pasos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0" w:type="dxa"/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  <w:tcBorders>
              <w:top w:val="single" w:sz="4" w:color="D9DDE3"/>
              <w:bottom w:val="single" w:sz="4" w:color="D9DDE3"/>
              <w:start w:val="single" w:sz="4" w:color="D9DDE3"/>
              <w:end w:val="single" w:sz="4" w:color="D9DDE3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655B69"/>
                <w:sz w:val="16"/>
              </w:rPr>
              <w:t>OBJETO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A1336"/>
                <w:sz w:val="20"/>
              </w:rPr>
              <w:t>Responder el avance por historias de usuario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  <w:tcBorders>
              <w:top w:val="single" w:sz="4" w:color="D9DDE3"/>
              <w:bottom w:val="single" w:sz="4" w:color="D9DDE3"/>
              <w:start w:val="single" w:sz="4" w:color="D9DDE3"/>
              <w:end w:val="single" w:sz="4" w:color="D9DDE3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655B69"/>
                <w:sz w:val="16"/>
              </w:rPr>
              <w:t>CORTE FUNCIONAL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A1336"/>
                <w:sz w:val="20"/>
              </w:rPr>
              <w:t>25 de julio de 2026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  <w:tcBorders>
              <w:top w:val="single" w:sz="4" w:color="D9DDE3"/>
              <w:bottom w:val="single" w:sz="4" w:color="D9DDE3"/>
              <w:start w:val="single" w:sz="4" w:color="D9DDE3"/>
              <w:end w:val="single" w:sz="4" w:color="D9DDE3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655B69"/>
                <w:sz w:val="16"/>
              </w:rPr>
              <w:t>VERSIÓN DE CÓDIGO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A1336"/>
                <w:sz w:val="20"/>
              </w:rPr>
              <w:t>e193049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  <w:tcBorders>
              <w:top w:val="single" w:sz="4" w:color="D9DDE3"/>
              <w:bottom w:val="single" w:sz="4" w:color="D9DDE3"/>
              <w:start w:val="single" w:sz="4" w:color="D9DDE3"/>
              <w:end w:val="single" w:sz="4" w:color="D9DDE3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655B69"/>
                <w:sz w:val="16"/>
              </w:rPr>
              <w:t>ESTADO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A1336"/>
                <w:sz w:val="20"/>
              </w:rPr>
              <w:t>Documento para validación del cliente</w:t>
            </w:r>
          </w:p>
        </w:tc>
      </w:tr>
    </w:tbl>
    <w:p/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EFF7" w:val="clear"/>
            <w:tcBorders>
              <w:top w:val="single" w:sz="12" w:color="4F2868" w:space="0"/>
              <w:bottom w:val="single" w:sz="4" w:color="D9DDE3" w:space="0"/>
              <w:start w:val="single" w:sz="4" w:color="D9DDE3" w:space="0"/>
              <w:end w:val="single" w:sz="4" w:color="D9DDE3" w:space="0"/>
            </w:tcBorders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i w:val="0"/>
                <w:color w:val="2A1336"/>
                <w:sz w:val="32"/>
              </w:rPr>
              <w:t>5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655B69"/>
                <w:sz w:val="17"/>
              </w:rPr>
              <w:t>HU trazadas en Fase 1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9D9" w:val="clear"/>
            <w:tcBorders>
              <w:top w:val="single" w:sz="12" w:color="F2CA04" w:space="0"/>
              <w:bottom w:val="single" w:sz="4" w:color="D9DDE3" w:space="0"/>
              <w:start w:val="single" w:sz="4" w:color="D9DDE3" w:space="0"/>
              <w:end w:val="single" w:sz="4" w:color="D9DDE3" w:space="0"/>
            </w:tcBorders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i w:val="0"/>
                <w:color w:val="2A1336"/>
                <w:sz w:val="32"/>
              </w:rPr>
              <w:t>84%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655B69"/>
                <w:sz w:val="17"/>
              </w:rPr>
              <w:t>Cumplimiento Fase 1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EFF7" w:val="clear"/>
            <w:tcBorders>
              <w:top w:val="single" w:sz="12" w:color="4F2868" w:space="0"/>
              <w:bottom w:val="single" w:sz="4" w:color="D9DDE3" w:space="0"/>
              <w:start w:val="single" w:sz="4" w:color="D9DDE3" w:space="0"/>
              <w:end w:val="single" w:sz="4" w:color="D9DDE3" w:space="0"/>
            </w:tcBorders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i w:val="0"/>
                <w:color w:val="2A1336"/>
                <w:sz w:val="32"/>
              </w:rPr>
              <w:t>7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655B69"/>
                <w:sz w:val="17"/>
              </w:rPr>
              <w:t>HU trazadas en Fase 2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EFF7" w:val="clear"/>
            <w:tcBorders>
              <w:top w:val="single" w:sz="12" w:color="4F2868" w:space="0"/>
              <w:bottom w:val="single" w:sz="4" w:color="D9DDE3" w:space="0"/>
              <w:start w:val="single" w:sz="4" w:color="D9DDE3" w:space="0"/>
              <w:end w:val="single" w:sz="4" w:color="D9DDE3" w:space="0"/>
            </w:tcBorders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i w:val="0"/>
                <w:color w:val="2A1336"/>
                <w:sz w:val="32"/>
              </w:rPr>
              <w:t>75%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655B69"/>
                <w:sz w:val="17"/>
              </w:rPr>
              <w:t>Avance técnico Fase 2</w:t>
            </w:r>
          </w:p>
        </w:tc>
      </w:tr>
    </w:tbl>
    <w:p/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shd w:fill="F4EFF7" w:val="clear"/>
            <w:tcBorders>
              <w:start w:val="single" w:sz="22" w:color="4F2868" w:space="0"/>
              <w:top w:val="nil"/>
              <w:bottom w:val="nil"/>
              <w:end w:val="nil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4F2868"/>
                <w:sz w:val="22"/>
              </w:rPr>
              <w:t xml:space="preserve">Respuesta directa: </w:t>
            </w:r>
            <w:r>
              <w:rPr>
                <w:rFonts w:ascii="Calibri" w:hAnsi="Calibri"/>
                <w:b w:val="0"/>
                <w:i w:val="0"/>
                <w:color w:val="2A1336"/>
                <w:sz w:val="22"/>
              </w:rPr>
              <w:t>Sí se ha trabajado tanto en Fase 1 como en Fase 2. La Fase 1 concentra el motor de datos y análisis definido por las HU entregadas; la Fase 2 reúne acceso, monetización, alertas, operación, experiencia de búsqueda y análisis de rentabilidad. Ambas fases tienen implementación verificable, aunque conservan criterios pendientes.</w:t>
            </w:r>
          </w:p>
        </w:tc>
      </w:tr>
    </w:tbl>
    <w:p>
      <w:pPr>
        <w:spacing w:after="40"/>
      </w:pPr>
    </w:p>
    <w:p>
      <w:pPr>
        <w:spacing w:before="0" w:after="120" w:line="264" w:lineRule="auto"/>
      </w:pPr>
      <w:r>
        <w:rPr>
          <w:rFonts w:ascii="Calibri" w:hAnsi="Calibri"/>
          <w:b w:val="0"/>
          <w:i/>
          <w:color w:val="655B69"/>
          <w:sz w:val="22"/>
        </w:rPr>
        <w:t>El 84% corresponde al cumplimiento ponderado de la Fase 1. El 75% de Fase 2 es un indicador técnico de sus siete HU identificadas; no equivale todavía a aceptación contractual. No se presenta un porcentaje global hasta que el cliente apruebe el peso relativo de cada fase.</w:t>
      </w:r>
    </w:p>
    <w:p>
      <w:r>
        <w:br w:type="page"/>
      </w:r>
    </w:p>
    <w:p>
      <w:pPr>
        <w:pStyle w:val="Heading1"/>
        <w:keepNext/>
      </w:pPr>
      <w:r>
        <w:t>1. Qué se entiende por historia abordada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2A1336"/>
          <w:sz w:val="22"/>
        </w:rPr>
        <w:t>Una historia se considera abordada cuando existe una necesidad de usuario identificada, criterios de aceptación revisados, una implementación demostrable y evidencia técnica. Una HU solo se considera cerrada cuando también se han resuelto sus pendientes y decisiones de negocio.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b w:val="0"/>
          <w:i w:val="0"/>
          <w:color w:val="2A1336"/>
          <w:sz w:val="22"/>
        </w:rPr>
        <w:t>Cumplido: el criterio está implementado y puede demostrarse.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b w:val="0"/>
          <w:i w:val="0"/>
          <w:color w:val="2A1336"/>
          <w:sz w:val="22"/>
        </w:rPr>
        <w:t>Parcial: existe implementación, pero falta cobertura, trazabilidad o una validación.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b w:val="0"/>
          <w:i w:val="0"/>
          <w:color w:val="2A1336"/>
          <w:sz w:val="22"/>
        </w:rPr>
        <w:t>Pendiente: aún no existe evidencia suficiente para aceptar el criterio.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b w:val="0"/>
          <w:i w:val="0"/>
          <w:color w:val="2A1336"/>
          <w:sz w:val="22"/>
        </w:rPr>
        <w:t>Validación del cliente: decisión funcional que no debe asumirse desde desarrollo.</w:t>
      </w:r>
    </w:p>
    <w:p>
      <w:pPr>
        <w:pStyle w:val="Heading1"/>
        <w:keepNext/>
      </w:pPr>
      <w:r>
        <w:t>2. Matrices maestras por fase</w:t>
      </w:r>
    </w:p>
    <w:p>
      <w:pPr>
        <w:pStyle w:val="Heading2"/>
        <w:keepNext/>
      </w:pPr>
      <w:r>
        <w:t>2.1 Fase 1 — Motor de datos y análisis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250"/>
        <w:gridCol w:w="3100"/>
        <w:gridCol w:w="1000"/>
        <w:gridCol w:w="1750"/>
        <w:gridCol w:w="2260"/>
      </w:tblGrid>
      <w:tr>
        <w:trPr>
          <w:tblHeader w:val="true"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A1336" w:val="clea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A1336" w:val="clea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Necesidad del usuario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A1336" w:val="clea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Avance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A1336" w:val="clea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Estado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A1336" w:val="clea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Cierre pendiente</w:t>
            </w:r>
          </w:p>
        </w:tc>
      </w:tr>
      <w:tr>
        <w:tc>
          <w:tcPr>
            <w:tcW w:type="dxa" w:w="125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2A1336"/>
                <w:sz w:val="17"/>
              </w:rPr>
              <w:t>HU-F1-01</w:t>
            </w:r>
          </w:p>
        </w:tc>
        <w:tc>
          <w:tcPr>
            <w:tcW w:type="dxa" w:w="31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A1336"/>
                <w:sz w:val="17"/>
              </w:rPr>
              <w:t>Comparar una propiedad con mercado equivalente y obtener clasificación CRECE.</w:t>
            </w:r>
          </w:p>
        </w:tc>
        <w:tc>
          <w:tcPr>
            <w:tcW w:type="dxa" w:w="1000"/>
            <w:shd w:fill="EAF6EF" w:val="clea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2A1336"/>
                <w:sz w:val="17"/>
              </w:rPr>
              <w:t>95%</w:t>
            </w:r>
          </w:p>
        </w:tc>
        <w:tc>
          <w:tcPr>
            <w:tcW w:type="dxa" w:w="175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A1336"/>
                <w:sz w:val="17"/>
              </w:rPr>
              <w:t>Avanzada</w:t>
            </w:r>
          </w:p>
        </w:tc>
        <w:tc>
          <w:tcPr>
            <w:tcW w:type="dxa" w:w="226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A1336"/>
                <w:sz w:val="17"/>
              </w:rPr>
              <w:t>Auditar histórico y aprobar regla geográfica.</w:t>
            </w:r>
          </w:p>
        </w:tc>
      </w:tr>
      <w:tr>
        <w:tc>
          <w:tcPr>
            <w:tcW w:type="dxa" w:w="125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2A1336"/>
                <w:sz w:val="17"/>
              </w:rPr>
              <w:t>HU-F1-02</w:t>
            </w:r>
          </w:p>
        </w:tc>
        <w:tc>
          <w:tcPr>
            <w:tcW w:type="dxa" w:w="31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A1336"/>
                <w:sz w:val="17"/>
              </w:rPr>
              <w:t>Conocer vigencia, cambios y retiro de publicaciones del Portal.</w:t>
            </w:r>
          </w:p>
        </w:tc>
        <w:tc>
          <w:tcPr>
            <w:tcW w:type="dxa" w:w="1000"/>
            <w:shd w:fill="FFF5D6" w:val="clea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2A1336"/>
                <w:sz w:val="17"/>
              </w:rPr>
              <w:t>78%</w:t>
            </w:r>
          </w:p>
        </w:tc>
        <w:tc>
          <w:tcPr>
            <w:tcW w:type="dxa" w:w="175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A1336"/>
                <w:sz w:val="17"/>
              </w:rPr>
              <w:t>Parcial</w:t>
            </w:r>
          </w:p>
        </w:tc>
        <w:tc>
          <w:tcPr>
            <w:tcW w:type="dxa" w:w="226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A1336"/>
                <w:sz w:val="17"/>
              </w:rPr>
              <w:t>Uniformar eventos del ciclo de vida.</w:t>
            </w:r>
          </w:p>
        </w:tc>
      </w:tr>
      <w:tr>
        <w:tc>
          <w:tcPr>
            <w:tcW w:type="dxa" w:w="125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2A1336"/>
                <w:sz w:val="17"/>
              </w:rPr>
              <w:t>HU-F1-03</w:t>
            </w:r>
          </w:p>
        </w:tc>
        <w:tc>
          <w:tcPr>
            <w:tcW w:type="dxa" w:w="31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A1336"/>
                <w:sz w:val="17"/>
              </w:rPr>
              <w:t>Analizar activos bancarios aunque la fuente omita atributos.</w:t>
            </w:r>
          </w:p>
        </w:tc>
        <w:tc>
          <w:tcPr>
            <w:tcW w:type="dxa" w:w="1000"/>
            <w:shd w:fill="FFF5D6" w:val="clea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2A1336"/>
                <w:sz w:val="17"/>
              </w:rPr>
              <w:t>82%</w:t>
            </w:r>
          </w:p>
        </w:tc>
        <w:tc>
          <w:tcPr>
            <w:tcW w:type="dxa" w:w="175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A1336"/>
                <w:sz w:val="17"/>
              </w:rPr>
              <w:t>Avanzada</w:t>
            </w:r>
          </w:p>
        </w:tc>
        <w:tc>
          <w:tcPr>
            <w:tcW w:type="dxa" w:w="226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A1336"/>
                <w:sz w:val="17"/>
              </w:rPr>
              <w:t>Cerrar identidad e historial entre bancos.</w:t>
            </w:r>
          </w:p>
        </w:tc>
      </w:tr>
      <w:tr>
        <w:tc>
          <w:tcPr>
            <w:tcW w:type="dxa" w:w="125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2A1336"/>
                <w:sz w:val="17"/>
              </w:rPr>
              <w:t>HU-F1-04</w:t>
            </w:r>
          </w:p>
        </w:tc>
        <w:tc>
          <w:tcPr>
            <w:tcW w:type="dxa" w:w="31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A1336"/>
                <w:sz w:val="17"/>
              </w:rPr>
              <w:t>Extraer y comparar activos AVAL desde sus boletines PDF.</w:t>
            </w:r>
          </w:p>
        </w:tc>
        <w:tc>
          <w:tcPr>
            <w:tcW w:type="dxa" w:w="1000"/>
            <w:shd w:fill="FFF5D6" w:val="clea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2A1336"/>
                <w:sz w:val="17"/>
              </w:rPr>
              <w:t>72%</w:t>
            </w:r>
          </w:p>
        </w:tc>
        <w:tc>
          <w:tcPr>
            <w:tcW w:type="dxa" w:w="175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A1336"/>
                <w:sz w:val="17"/>
              </w:rPr>
              <w:t>Parcial</w:t>
            </w:r>
          </w:p>
        </w:tc>
        <w:tc>
          <w:tcPr>
            <w:tcW w:type="dxa" w:w="226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A1336"/>
                <w:sz w:val="17"/>
              </w:rPr>
              <w:t>Normalizar ciudades y comparar boletines.</w:t>
            </w:r>
          </w:p>
        </w:tc>
      </w:tr>
      <w:tr>
        <w:tc>
          <w:tcPr>
            <w:tcW w:type="dxa" w:w="125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2A1336"/>
                <w:sz w:val="17"/>
              </w:rPr>
              <w:t>HU-F1-05</w:t>
            </w:r>
          </w:p>
        </w:tc>
        <w:tc>
          <w:tcPr>
            <w:tcW w:type="dxa" w:w="31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A1336"/>
                <w:sz w:val="17"/>
              </w:rPr>
              <w:t>Entender riesgo, cuota-parte y acceso de un remate judicial.</w:t>
            </w:r>
          </w:p>
        </w:tc>
        <w:tc>
          <w:tcPr>
            <w:tcW w:type="dxa" w:w="1000"/>
            <w:shd w:fill="EAF6EF" w:val="clea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2A1336"/>
                <w:sz w:val="17"/>
              </w:rPr>
              <w:t>92%</w:t>
            </w:r>
          </w:p>
        </w:tc>
        <w:tc>
          <w:tcPr>
            <w:tcW w:type="dxa" w:w="175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A1336"/>
                <w:sz w:val="17"/>
              </w:rPr>
              <w:t>Avanzada</w:t>
            </w:r>
          </w:p>
        </w:tc>
        <w:tc>
          <w:tcPr>
            <w:tcW w:type="dxa" w:w="226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A1336"/>
                <w:sz w:val="17"/>
              </w:rPr>
              <w:t>Cuarentena de anomalías y evidencia visual.</w:t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shd w:fill="FFF9D9" w:val="clear"/>
            <w:tcBorders>
              <w:start w:val="single" w:sz="22" w:color="8A6300" w:space="0"/>
              <w:top w:val="nil"/>
              <w:bottom w:val="nil"/>
              <w:end w:val="nil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8A6300"/>
                <w:sz w:val="22"/>
              </w:rPr>
              <w:t xml:space="preserve">Lectura de Fase 1: </w:t>
            </w:r>
            <w:r>
              <w:rPr>
                <w:rFonts w:ascii="Calibri" w:hAnsi="Calibri"/>
                <w:b w:val="0"/>
                <w:i w:val="0"/>
                <w:color w:val="2A1336"/>
                <w:sz w:val="22"/>
              </w:rPr>
              <w:t>Las HU del motor no están simplemente “iniciadas”: todas tienen implementación concreta. El trabajo restante consiste en cerrar criterios específicos, no en reconstruir el producto desde cero.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  <w:keepNext/>
      </w:pPr>
      <w:r>
        <w:t>2.2 Fase 2 — Acceso, producto y operación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250"/>
        <w:gridCol w:w="3210"/>
        <w:gridCol w:w="1000"/>
        <w:gridCol w:w="1500"/>
        <w:gridCol w:w="2400"/>
      </w:tblGrid>
      <w:tr>
        <w:trPr>
          <w:tblHeader w:val="true"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4F2868" w:val="clea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ID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4F2868" w:val="clea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Necesidad del usuario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4F2868" w:val="clea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Avance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4F2868" w:val="clea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Estado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4F2868" w:val="clea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Cierre pendiente</w:t>
            </w:r>
          </w:p>
        </w:tc>
      </w:tr>
      <w:tr>
        <w:tc>
          <w:tcPr>
            <w:tcW w:type="dxa" w:w="125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2A1336"/>
                <w:sz w:val="17"/>
              </w:rPr>
              <w:t>HU-F2-01</w:t>
            </w:r>
          </w:p>
        </w:tc>
        <w:tc>
          <w:tcPr>
            <w:tcW w:type="dxa" w:w="321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A1336"/>
                <w:sz w:val="17"/>
              </w:rPr>
              <w:t>Ingresar con Google y mantener una sesión segura.</w:t>
            </w:r>
          </w:p>
        </w:tc>
        <w:tc>
          <w:tcPr>
            <w:tcW w:type="dxa" w:w="1000"/>
            <w:shd w:fill="EAF6EF" w:val="clea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A1336"/>
                <w:sz w:val="17"/>
              </w:rPr>
              <w:t>95%</w:t>
            </w:r>
          </w:p>
        </w:tc>
        <w:tc>
          <w:tcPr>
            <w:tcW w:type="dxa" w:w="150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A1336"/>
                <w:sz w:val="17"/>
              </w:rPr>
              <w:t>Validada</w:t>
            </w:r>
          </w:p>
        </w:tc>
        <w:tc>
          <w:tcPr>
            <w:tcW w:type="dxa" w:w="24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A1336"/>
                <w:sz w:val="17"/>
              </w:rPr>
              <w:t>Monitoreo y política de acceso.</w:t>
            </w:r>
          </w:p>
        </w:tc>
      </w:tr>
      <w:tr>
        <w:tc>
          <w:tcPr>
            <w:tcW w:type="dxa" w:w="125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2A1336"/>
                <w:sz w:val="17"/>
              </w:rPr>
              <w:t>HU-F2-02</w:t>
            </w:r>
          </w:p>
        </w:tc>
        <w:tc>
          <w:tcPr>
            <w:tcW w:type="dxa" w:w="321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A1336"/>
                <w:sz w:val="17"/>
              </w:rPr>
              <w:t>Acceder a funciones según cuenta y plan freemium/Pro.</w:t>
            </w:r>
          </w:p>
        </w:tc>
        <w:tc>
          <w:tcPr>
            <w:tcW w:type="dxa" w:w="1000"/>
            <w:shd w:fill="FFF5D6" w:val="clea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A1336"/>
                <w:sz w:val="17"/>
              </w:rPr>
              <w:t>80%</w:t>
            </w:r>
          </w:p>
        </w:tc>
        <w:tc>
          <w:tcPr>
            <w:tcW w:type="dxa" w:w="150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A1336"/>
                <w:sz w:val="17"/>
              </w:rPr>
              <w:t>Demo funcional</w:t>
            </w:r>
          </w:p>
        </w:tc>
        <w:tc>
          <w:tcPr>
            <w:tcW w:type="dxa" w:w="24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A1336"/>
                <w:sz w:val="17"/>
              </w:rPr>
              <w:t>Permisos y activación real.</w:t>
            </w:r>
          </w:p>
        </w:tc>
      </w:tr>
      <w:tr>
        <w:tc>
          <w:tcPr>
            <w:tcW w:type="dxa" w:w="125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2A1336"/>
                <w:sz w:val="17"/>
              </w:rPr>
              <w:t>HU-F2-03</w:t>
            </w:r>
          </w:p>
        </w:tc>
        <w:tc>
          <w:tcPr>
            <w:tcW w:type="dxa" w:w="321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A1336"/>
                <w:sz w:val="17"/>
              </w:rPr>
              <w:t>Recibir alertas profesionales por correo.</w:t>
            </w:r>
          </w:p>
        </w:tc>
        <w:tc>
          <w:tcPr>
            <w:tcW w:type="dxa" w:w="1000"/>
            <w:shd w:fill="EAF6EF" w:val="clea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A1336"/>
                <w:sz w:val="17"/>
              </w:rPr>
              <w:t>85%</w:t>
            </w:r>
          </w:p>
        </w:tc>
        <w:tc>
          <w:tcPr>
            <w:tcW w:type="dxa" w:w="150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A1336"/>
                <w:sz w:val="17"/>
              </w:rPr>
              <w:t>Operativa</w:t>
            </w:r>
          </w:p>
        </w:tc>
        <w:tc>
          <w:tcPr>
            <w:tcW w:type="dxa" w:w="24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A1336"/>
                <w:sz w:val="17"/>
              </w:rPr>
              <w:t>Agenda, métricas y dominio.</w:t>
            </w:r>
          </w:p>
        </w:tc>
      </w:tr>
      <w:tr>
        <w:tc>
          <w:tcPr>
            <w:tcW w:type="dxa" w:w="125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2A1336"/>
                <w:sz w:val="17"/>
              </w:rPr>
              <w:t>HU-F2-04</w:t>
            </w:r>
          </w:p>
        </w:tc>
        <w:tc>
          <w:tcPr>
            <w:tcW w:type="dxa" w:w="321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A1336"/>
                <w:sz w:val="17"/>
              </w:rPr>
              <w:t>Administrar usuarios, intereses y operación.</w:t>
            </w:r>
          </w:p>
        </w:tc>
        <w:tc>
          <w:tcPr>
            <w:tcW w:type="dxa" w:w="1000"/>
            <w:shd w:fill="FFF5D6" w:val="clea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A1336"/>
                <w:sz w:val="17"/>
              </w:rPr>
              <w:t>70%</w:t>
            </w:r>
          </w:p>
        </w:tc>
        <w:tc>
          <w:tcPr>
            <w:tcW w:type="dxa" w:w="150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A1336"/>
                <w:sz w:val="17"/>
              </w:rPr>
              <w:t>Parcial</w:t>
            </w:r>
          </w:p>
        </w:tc>
        <w:tc>
          <w:tcPr>
            <w:tcW w:type="dxa" w:w="24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A1336"/>
                <w:sz w:val="17"/>
              </w:rPr>
              <w:t>Roles, auditoría y piloto.</w:t>
            </w:r>
          </w:p>
        </w:tc>
      </w:tr>
      <w:tr>
        <w:tc>
          <w:tcPr>
            <w:tcW w:type="dxa" w:w="125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2A1336"/>
                <w:sz w:val="17"/>
              </w:rPr>
              <w:t>HU-F2-05</w:t>
            </w:r>
          </w:p>
        </w:tc>
        <w:tc>
          <w:tcPr>
            <w:tcW w:type="dxa" w:w="321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A1336"/>
                <w:sz w:val="17"/>
              </w:rPr>
              <w:t>Comparar canon y rentabilidad de arriendo.</w:t>
            </w:r>
          </w:p>
        </w:tc>
        <w:tc>
          <w:tcPr>
            <w:tcW w:type="dxa" w:w="1000"/>
            <w:shd w:fill="FFF5D6" w:val="clea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A1336"/>
                <w:sz w:val="17"/>
              </w:rPr>
              <w:t>68%</w:t>
            </w:r>
          </w:p>
        </w:tc>
        <w:tc>
          <w:tcPr>
            <w:tcW w:type="dxa" w:w="150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A1336"/>
                <w:sz w:val="17"/>
              </w:rPr>
              <w:t>Piloto</w:t>
            </w:r>
          </w:p>
        </w:tc>
        <w:tc>
          <w:tcPr>
            <w:tcW w:type="dxa" w:w="24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A1336"/>
                <w:sz w:val="17"/>
              </w:rPr>
              <w:t>Cobertura, muestra y confianza.</w:t>
            </w:r>
          </w:p>
        </w:tc>
      </w:tr>
      <w:tr>
        <w:tc>
          <w:tcPr>
            <w:tcW w:type="dxa" w:w="125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2A1336"/>
                <w:sz w:val="17"/>
              </w:rPr>
              <w:t>HU-F2-06</w:t>
            </w:r>
          </w:p>
        </w:tc>
        <w:tc>
          <w:tcPr>
            <w:tcW w:type="dxa" w:w="321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A1336"/>
                <w:sz w:val="17"/>
              </w:rPr>
              <w:t>Pagar un plan y activar beneficios Pro.</w:t>
            </w:r>
          </w:p>
        </w:tc>
        <w:tc>
          <w:tcPr>
            <w:tcW w:type="dxa" w:w="1000"/>
            <w:shd w:fill="FFF5D6" w:val="clea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A1336"/>
                <w:sz w:val="17"/>
              </w:rPr>
              <w:t>35%</w:t>
            </w:r>
          </w:p>
        </w:tc>
        <w:tc>
          <w:tcPr>
            <w:tcW w:type="dxa" w:w="150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A1336"/>
                <w:sz w:val="17"/>
              </w:rPr>
              <w:t>Preparada</w:t>
            </w:r>
          </w:p>
        </w:tc>
        <w:tc>
          <w:tcPr>
            <w:tcW w:type="dxa" w:w="24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A1336"/>
                <w:sz w:val="17"/>
              </w:rPr>
              <w:t>Credenciales reales y webhook.</w:t>
            </w:r>
          </w:p>
        </w:tc>
      </w:tr>
      <w:tr>
        <w:tc>
          <w:tcPr>
            <w:tcW w:type="dxa" w:w="125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2A1336"/>
                <w:sz w:val="17"/>
              </w:rPr>
              <w:t>HU-F2-07</w:t>
            </w:r>
          </w:p>
        </w:tc>
        <w:tc>
          <w:tcPr>
            <w:tcW w:type="dxa" w:w="321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A1336"/>
                <w:sz w:val="17"/>
              </w:rPr>
              <w:t>Filtrar y navegar con claridad en desktop y móvil.</w:t>
            </w:r>
          </w:p>
        </w:tc>
        <w:tc>
          <w:tcPr>
            <w:tcW w:type="dxa" w:w="1000"/>
            <w:shd w:fill="EAF6EF" w:val="clea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A1336"/>
                <w:sz w:val="17"/>
              </w:rPr>
              <w:t>95%</w:t>
            </w:r>
          </w:p>
        </w:tc>
        <w:tc>
          <w:tcPr>
            <w:tcW w:type="dxa" w:w="150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A1336"/>
                <w:sz w:val="17"/>
              </w:rPr>
              <w:t>Desplegada</w:t>
            </w:r>
          </w:p>
        </w:tc>
        <w:tc>
          <w:tcPr>
            <w:tcW w:type="dxa" w:w="24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A1336"/>
                <w:sz w:val="17"/>
              </w:rPr>
              <w:t>Prueba con usuarios y WCAG.</w:t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shd w:fill="F4EFF7" w:val="clear"/>
            <w:tcBorders>
              <w:start w:val="single" w:sz="22" w:color="4F2868" w:space="0"/>
              <w:top w:val="nil"/>
              <w:bottom w:val="nil"/>
              <w:end w:val="nil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4F2868"/>
                <w:sz w:val="22"/>
              </w:rPr>
              <w:t xml:space="preserve">Lectura de Fase 2: </w:t>
            </w:r>
            <w:r>
              <w:rPr>
                <w:rFonts w:ascii="Calibri" w:hAnsi="Calibri"/>
                <w:b w:val="0"/>
                <w:i w:val="0"/>
                <w:color w:val="2A1336"/>
                <w:sz w:val="22"/>
              </w:rPr>
              <w:t>La Fase 2 no está pendiente de iniciar: Google, alertas, planes, cuenta, administración, comparador, arriendos y filtros ya tienen evidencia. Wompi se mantiene deliberadamente incompleto hasta contar con datos legítimos del comercio.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3. Trazabilidad detallada de las HU de Fase 1</w:t>
      </w:r>
    </w:p>
    <w:p>
      <w:pPr>
        <w:pStyle w:val="Heading2"/>
        <w:keepNext/>
      </w:pPr>
      <w:r>
        <w:t>HU-F1-01 — Núcleo de comparables e Índice CRECE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7860"/>
      </w:tblGrid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6EF" w:val="clear"/>
            <w:tcBorders>
              <w:top w:val="single" w:sz="4" w:color="EAF6EF"/>
              <w:bottom w:val="single" w:sz="4" w:color="EAF6EF"/>
              <w:start w:val="single" w:sz="4" w:color="EAF6EF"/>
              <w:end w:val="single" w:sz="4" w:color="EAF6EF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E7A46"/>
                <w:sz w:val="24"/>
              </w:rPr>
              <w:t>95%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6EF" w:val="clear"/>
            <w:tcBorders>
              <w:top w:val="single" w:sz="4" w:color="EAF6EF"/>
              <w:bottom w:val="single" w:sz="4" w:color="EAF6EF"/>
              <w:start w:val="single" w:sz="4" w:color="EAF6EF"/>
              <w:end w:val="single" w:sz="4" w:color="EAF6EF"/>
            </w:tcBorders>
          </w:tcPr>
          <w:p>
            <w:r>
              <w:rPr>
                <w:rFonts w:ascii="Calibri" w:hAnsi="Calibri"/>
                <w:b/>
                <w:i w:val="0"/>
                <w:color w:val="1E7A46"/>
                <w:sz w:val="21"/>
              </w:rPr>
              <w:t>Avanzada — próxima a cierre</w:t>
            </w:r>
          </w:p>
        </w:tc>
      </w:tr>
    </w:tbl>
    <w:p>
      <w:pPr>
        <w:spacing w:after="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shd w:fill="F4EFF7" w:val="clear"/>
            <w:tcBorders>
              <w:start w:val="single" w:sz="22" w:color="4F2868" w:space="0"/>
              <w:top w:val="nil"/>
              <w:bottom w:val="nil"/>
              <w:end w:val="nil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4F2868"/>
                <w:sz w:val="22"/>
              </w:rPr>
              <w:t xml:space="preserve">Historia de usuario: </w:t>
            </w:r>
            <w:r>
              <w:rPr>
                <w:rFonts w:ascii="Calibri" w:hAnsi="Calibri"/>
                <w:b w:val="0"/>
                <w:i w:val="0"/>
                <w:color w:val="2A1336"/>
                <w:sz w:val="22"/>
              </w:rPr>
              <w:t>Como inversionista inmobiliario, quiero comparar una propiedad con inmuebles equivalentes del mercado abierto para saber si su precio representa una oportunidad real.</w:t>
            </w:r>
          </w:p>
        </w:tc>
      </w:tr>
    </w:tbl>
    <w:p>
      <w:pPr>
        <w:spacing w:after="40"/>
      </w:pPr>
    </w:p>
    <w:p>
      <w:pPr>
        <w:spacing w:before="0" w:after="120" w:line="264" w:lineRule="auto"/>
      </w:pPr>
      <w:r>
        <w:rPr>
          <w:rFonts w:ascii="Calibri" w:hAnsi="Calibri"/>
          <w:b/>
          <w:i w:val="0"/>
          <w:color w:val="2A1336"/>
          <w:sz w:val="22"/>
        </w:rPr>
        <w:t>Criterios de aceptación revisados:</w:t>
      </w:r>
      <w:r>
        <w:rPr>
          <w:rFonts w:ascii="Calibri" w:hAnsi="Calibri"/>
          <w:b w:val="0"/>
          <w:i w:val="0"/>
          <w:color w:val="2A1336"/>
          <w:sz w:val="22"/>
        </w:rPr>
      </w:r>
    </w:p>
    <w:p>
      <w:pPr>
        <w:numPr>
          <w:ilvl w:val="0"/>
          <w:numId w:val="10"/>
        </w:numPr>
        <w:spacing w:after="140" w:line="280" w:lineRule="auto"/>
      </w:pPr>
      <w:r>
        <w:rPr>
          <w:rFonts w:ascii="Calibri" w:hAnsi="Calibri"/>
          <w:b/>
          <w:i w:val="0"/>
          <w:color w:val="1E7A46"/>
          <w:sz w:val="22"/>
        </w:rPr>
        <w:t xml:space="preserve">Cumplido: </w:t>
      </w:r>
      <w:r>
        <w:rPr>
          <w:rFonts w:ascii="Calibri" w:hAnsi="Calibri"/>
          <w:b w:val="0"/>
          <w:i w:val="0"/>
          <w:color w:val="2A1336"/>
          <w:sz w:val="22"/>
        </w:rPr>
        <w:t>Calcular mediana robusta por precio por metro cuadrado y recortar valores atípicos.</w:t>
      </w:r>
    </w:p>
    <w:p>
      <w:pPr>
        <w:numPr>
          <w:ilvl w:val="0"/>
          <w:numId w:val="10"/>
        </w:numPr>
        <w:spacing w:after="140" w:line="280" w:lineRule="auto"/>
      </w:pPr>
      <w:r>
        <w:rPr>
          <w:rFonts w:ascii="Calibri" w:hAnsi="Calibri"/>
          <w:b/>
          <w:i w:val="0"/>
          <w:color w:val="1E7A46"/>
          <w:sz w:val="22"/>
        </w:rPr>
        <w:t xml:space="preserve">Cumplido: </w:t>
      </w:r>
      <w:r>
        <w:rPr>
          <w:rFonts w:ascii="Calibri" w:hAnsi="Calibri"/>
          <w:b w:val="0"/>
          <w:i w:val="0"/>
          <w:color w:val="2A1336"/>
          <w:sz w:val="22"/>
        </w:rPr>
        <w:t>Comparar por tipo, área, atributos y cercanía geográfica.</w:t>
      </w:r>
    </w:p>
    <w:p>
      <w:pPr>
        <w:numPr>
          <w:ilvl w:val="0"/>
          <w:numId w:val="10"/>
        </w:numPr>
        <w:spacing w:after="140" w:line="280" w:lineRule="auto"/>
      </w:pPr>
      <w:r>
        <w:rPr>
          <w:rFonts w:ascii="Calibri" w:hAnsi="Calibri"/>
          <w:b/>
          <w:i w:val="0"/>
          <w:color w:val="1E7A46"/>
          <w:sz w:val="22"/>
        </w:rPr>
        <w:t xml:space="preserve">Cumplido: </w:t>
      </w:r>
      <w:r>
        <w:rPr>
          <w:rFonts w:ascii="Calibri" w:hAnsi="Calibri"/>
          <w:b w:val="0"/>
          <w:i w:val="0"/>
          <w:color w:val="2A1336"/>
          <w:sz w:val="22"/>
        </w:rPr>
        <w:t>Excluir bancos y remates del universo de referencia del mercado abierto.</w:t>
      </w:r>
    </w:p>
    <w:p>
      <w:pPr>
        <w:numPr>
          <w:ilvl w:val="0"/>
          <w:numId w:val="10"/>
        </w:numPr>
        <w:spacing w:after="140" w:line="280" w:lineRule="auto"/>
      </w:pPr>
      <w:r>
        <w:rPr>
          <w:rFonts w:ascii="Calibri" w:hAnsi="Calibri"/>
          <w:b/>
          <w:i w:val="0"/>
          <w:color w:val="1E7A46"/>
          <w:sz w:val="22"/>
        </w:rPr>
        <w:t xml:space="preserve">Cumplido: </w:t>
      </w:r>
      <w:r>
        <w:rPr>
          <w:rFonts w:ascii="Calibri" w:hAnsi="Calibri"/>
          <w:b w:val="0"/>
          <w:i w:val="0"/>
          <w:color w:val="2A1336"/>
          <w:sz w:val="22"/>
        </w:rPr>
        <w:t>Traducir el resultado a las once categorías del Índice CRECE.</w:t>
      </w:r>
    </w:p>
    <w:p>
      <w:pPr>
        <w:numPr>
          <w:ilvl w:val="0"/>
          <w:numId w:val="10"/>
        </w:numPr>
        <w:spacing w:after="140" w:line="280" w:lineRule="auto"/>
      </w:pPr>
      <w:r>
        <w:rPr>
          <w:rFonts w:ascii="Calibri" w:hAnsi="Calibri"/>
          <w:b/>
          <w:i w:val="0"/>
          <w:color w:val="8A6300"/>
          <w:sz w:val="22"/>
        </w:rPr>
        <w:t xml:space="preserve">Parcial: </w:t>
      </w:r>
      <w:r>
        <w:rPr>
          <w:rFonts w:ascii="Calibri" w:hAnsi="Calibri"/>
          <w:b w:val="0"/>
          <w:i w:val="0"/>
          <w:color w:val="2A1336"/>
          <w:sz w:val="22"/>
        </w:rPr>
        <w:t>Persistir y auditar el índice para todas las filas históricas.</w:t>
      </w:r>
    </w:p>
    <w:p>
      <w:pPr>
        <w:spacing w:before="0" w:after="120" w:line="264" w:lineRule="auto"/>
      </w:pPr>
      <w:r>
        <w:rPr>
          <w:rFonts w:ascii="Calibri" w:hAnsi="Calibri"/>
          <w:b/>
          <w:i w:val="0"/>
          <w:color w:val="2A1336"/>
          <w:sz w:val="22"/>
        </w:rPr>
        <w:t xml:space="preserve">Evidencia actual. </w:t>
      </w:r>
      <w:r>
        <w:rPr>
          <w:rFonts w:ascii="Calibri" w:hAnsi="Calibri"/>
          <w:b w:val="0"/>
          <w:i w:val="0"/>
          <w:color w:val="2A1336"/>
          <w:sz w:val="22"/>
        </w:rPr>
        <w:t>Motor de comparables e Índice CRECE, criterios visibles para el usuario y pruebas sobre límites de clasificación.</w:t>
      </w:r>
    </w:p>
    <w:p>
      <w:pPr>
        <w:spacing w:before="0" w:after="120" w:line="264" w:lineRule="auto"/>
      </w:pPr>
      <w:r>
        <w:rPr>
          <w:rFonts w:ascii="Calibri" w:hAnsi="Calibri"/>
          <w:b/>
          <w:i w:val="0"/>
          <w:color w:val="2A1336"/>
          <w:sz w:val="22"/>
        </w:rPr>
        <w:t xml:space="preserve">Condición pendiente para cerrar la HU. </w:t>
      </w:r>
      <w:r>
        <w:rPr>
          <w:rFonts w:ascii="Calibri" w:hAnsi="Calibri"/>
          <w:b w:val="0"/>
          <w:i w:val="0"/>
          <w:color w:val="2A1336"/>
          <w:sz w:val="22"/>
        </w:rPr>
        <w:t>Completar auditoría histórica y formalizar el radio o regla de ampliación geográfica.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shd w:fill="FFF9D9" w:val="clear"/>
            <w:tcBorders>
              <w:start w:val="single" w:sz="22" w:color="8A6300" w:space="0"/>
              <w:top w:val="nil"/>
              <w:bottom w:val="nil"/>
              <w:end w:val="nil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8A6300"/>
                <w:sz w:val="22"/>
              </w:rPr>
              <w:t xml:space="preserve">Validación requerida del cliente: </w:t>
            </w:r>
            <w:r>
              <w:rPr>
                <w:rFonts w:ascii="Calibri" w:hAnsi="Calibri"/>
                <w:b w:val="0"/>
                <w:i w:val="0"/>
                <w:color w:val="2A1336"/>
                <w:sz w:val="22"/>
              </w:rPr>
              <w:t>Aprobar cuándo se amplía de barrio a zona o ciudad y cuál es el radio máximo aceptable.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  <w:keepNext/>
      </w:pPr>
      <w:r>
        <w:t>HU-F1-02 — Rango de precio y vigencia del Portal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7860"/>
      </w:tblGrid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5D6" w:val="clear"/>
            <w:tcBorders>
              <w:top w:val="single" w:sz="4" w:color="FFF5D6"/>
              <w:bottom w:val="single" w:sz="4" w:color="FFF5D6"/>
              <w:start w:val="single" w:sz="4" w:color="FFF5D6"/>
              <w:end w:val="single" w:sz="4" w:color="FFF5D6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8A6300"/>
                <w:sz w:val="24"/>
              </w:rPr>
              <w:t>78%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5D6" w:val="clear"/>
            <w:tcBorders>
              <w:top w:val="single" w:sz="4" w:color="FFF5D6"/>
              <w:bottom w:val="single" w:sz="4" w:color="FFF5D6"/>
              <w:start w:val="single" w:sz="4" w:color="FFF5D6"/>
              <w:end w:val="single" w:sz="4" w:color="FFF5D6"/>
            </w:tcBorders>
          </w:tcPr>
          <w:p>
            <w:r>
              <w:rPr>
                <w:rFonts w:ascii="Calibri" w:hAnsi="Calibri"/>
                <w:b/>
                <w:i w:val="0"/>
                <w:color w:val="8A6300"/>
                <w:sz w:val="21"/>
              </w:rPr>
              <w:t>Parcial — reglas listas, historial incompleto</w:t>
            </w:r>
          </w:p>
        </w:tc>
      </w:tr>
    </w:tbl>
    <w:p>
      <w:pPr>
        <w:spacing w:after="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shd w:fill="F4EFF7" w:val="clear"/>
            <w:tcBorders>
              <w:start w:val="single" w:sz="22" w:color="4F2868" w:space="0"/>
              <w:top w:val="nil"/>
              <w:bottom w:val="nil"/>
              <w:end w:val="nil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4F2868"/>
                <w:sz w:val="22"/>
              </w:rPr>
              <w:t xml:space="preserve">Historia de usuario: </w:t>
            </w:r>
            <w:r>
              <w:rPr>
                <w:rFonts w:ascii="Calibri" w:hAnsi="Calibri"/>
                <w:b w:val="0"/>
                <w:i w:val="0"/>
                <w:color w:val="2A1336"/>
                <w:sz w:val="22"/>
              </w:rPr>
              <w:t>Como usuario del Radar, quiero saber si una publicación es nueva, vigente, modificada o retirada para no analizar inventario desactualizado.</w:t>
            </w:r>
          </w:p>
        </w:tc>
      </w:tr>
    </w:tbl>
    <w:p>
      <w:pPr>
        <w:spacing w:after="40"/>
      </w:pPr>
    </w:p>
    <w:p>
      <w:pPr>
        <w:spacing w:before="0" w:after="120" w:line="264" w:lineRule="auto"/>
      </w:pPr>
      <w:r>
        <w:rPr>
          <w:rFonts w:ascii="Calibri" w:hAnsi="Calibri"/>
          <w:b/>
          <w:i w:val="0"/>
          <w:color w:val="2A1336"/>
          <w:sz w:val="22"/>
        </w:rPr>
        <w:t>Criterios de aceptación revisados:</w:t>
      </w:r>
      <w:r>
        <w:rPr>
          <w:rFonts w:ascii="Calibri" w:hAnsi="Calibri"/>
          <w:b w:val="0"/>
          <w:i w:val="0"/>
          <w:color w:val="2A1336"/>
          <w:sz w:val="22"/>
        </w:rPr>
      </w:r>
    </w:p>
    <w:p>
      <w:pPr>
        <w:numPr>
          <w:ilvl w:val="0"/>
          <w:numId w:val="10"/>
        </w:numPr>
        <w:spacing w:after="140" w:line="280" w:lineRule="auto"/>
      </w:pPr>
      <w:r>
        <w:rPr>
          <w:rFonts w:ascii="Calibri" w:hAnsi="Calibri"/>
          <w:b/>
          <w:i w:val="0"/>
          <w:color w:val="1E7A46"/>
          <w:sz w:val="22"/>
        </w:rPr>
        <w:t xml:space="preserve">Cumplido: </w:t>
      </w:r>
      <w:r>
        <w:rPr>
          <w:rFonts w:ascii="Calibri" w:hAnsi="Calibri"/>
          <w:b w:val="0"/>
          <w:i w:val="0"/>
          <w:color w:val="2A1336"/>
          <w:sz w:val="22"/>
        </w:rPr>
        <w:t>Configurar ciudades, rangos de precio, área, estrato y fecha de revisión.</w:t>
      </w:r>
    </w:p>
    <w:p>
      <w:pPr>
        <w:numPr>
          <w:ilvl w:val="0"/>
          <w:numId w:val="10"/>
        </w:numPr>
        <w:spacing w:after="140" w:line="280" w:lineRule="auto"/>
      </w:pPr>
      <w:r>
        <w:rPr>
          <w:rFonts w:ascii="Calibri" w:hAnsi="Calibri"/>
          <w:b/>
          <w:i w:val="0"/>
          <w:color w:val="1E7A46"/>
          <w:sz w:val="22"/>
        </w:rPr>
        <w:t xml:space="preserve">Cumplido: </w:t>
      </w:r>
      <w:r>
        <w:rPr>
          <w:rFonts w:ascii="Calibri" w:hAnsi="Calibri"/>
          <w:b w:val="0"/>
          <w:i w:val="0"/>
          <w:color w:val="2A1336"/>
          <w:sz w:val="22"/>
        </w:rPr>
        <w:t>Aplicar reglas de vigencia de 30 y 90 días.</w:t>
      </w:r>
    </w:p>
    <w:p>
      <w:pPr>
        <w:numPr>
          <w:ilvl w:val="0"/>
          <w:numId w:val="10"/>
        </w:numPr>
        <w:spacing w:after="140" w:line="280" w:lineRule="auto"/>
      </w:pPr>
      <w:r>
        <w:rPr>
          <w:rFonts w:ascii="Calibri" w:hAnsi="Calibri"/>
          <w:b/>
          <w:i w:val="0"/>
          <w:color w:val="1E7A46"/>
          <w:sz w:val="22"/>
        </w:rPr>
        <w:t xml:space="preserve">Cumplido: </w:t>
      </w:r>
      <w:r>
        <w:rPr>
          <w:rFonts w:ascii="Calibri" w:hAnsi="Calibri"/>
          <w:b w:val="0"/>
          <w:i w:val="0"/>
          <w:color w:val="2A1336"/>
          <w:sz w:val="22"/>
        </w:rPr>
        <w:t>Modelar eventos de vigencia y una cadencia semanal.</w:t>
      </w:r>
    </w:p>
    <w:p>
      <w:pPr>
        <w:numPr>
          <w:ilvl w:val="0"/>
          <w:numId w:val="10"/>
        </w:numPr>
        <w:spacing w:after="140" w:line="280" w:lineRule="auto"/>
      </w:pPr>
      <w:r>
        <w:rPr>
          <w:rFonts w:ascii="Calibri" w:hAnsi="Calibri"/>
          <w:b/>
          <w:i w:val="0"/>
          <w:color w:val="8A6300"/>
          <w:sz w:val="22"/>
        </w:rPr>
        <w:t xml:space="preserve">Parcial: </w:t>
      </w:r>
      <w:r>
        <w:rPr>
          <w:rFonts w:ascii="Calibri" w:hAnsi="Calibri"/>
          <w:b w:val="0"/>
          <w:i w:val="0"/>
          <w:color w:val="2A1336"/>
          <w:sz w:val="22"/>
        </w:rPr>
        <w:t>Escribir todos los eventos desde cada scraper de forma uniforme.</w:t>
      </w:r>
    </w:p>
    <w:p>
      <w:pPr>
        <w:numPr>
          <w:ilvl w:val="0"/>
          <w:numId w:val="10"/>
        </w:numPr>
        <w:spacing w:after="140" w:line="280" w:lineRule="auto"/>
      </w:pPr>
      <w:r>
        <w:rPr>
          <w:rFonts w:ascii="Calibri" w:hAnsi="Calibri"/>
          <w:b/>
          <w:i w:val="0"/>
          <w:color w:val="8A6300"/>
          <w:sz w:val="22"/>
        </w:rPr>
        <w:t xml:space="preserve">Parcial: </w:t>
      </w:r>
      <w:r>
        <w:rPr>
          <w:rFonts w:ascii="Calibri" w:hAnsi="Calibri"/>
          <w:b w:val="0"/>
          <w:i w:val="0"/>
          <w:color w:val="2A1336"/>
          <w:sz w:val="22"/>
        </w:rPr>
        <w:t>Verificar automáticamente la activación y población de ciudades.</w:t>
      </w:r>
    </w:p>
    <w:p>
      <w:pPr>
        <w:spacing w:before="0" w:after="120" w:line="264" w:lineRule="auto"/>
      </w:pPr>
      <w:r>
        <w:rPr>
          <w:rFonts w:ascii="Calibri" w:hAnsi="Calibri"/>
          <w:b/>
          <w:i w:val="0"/>
          <w:color w:val="2A1336"/>
          <w:sz w:val="22"/>
        </w:rPr>
        <w:t xml:space="preserve">Evidencia actual. </w:t>
      </w:r>
      <w:r>
        <w:rPr>
          <w:rFonts w:ascii="Calibri" w:hAnsi="Calibri"/>
          <w:b w:val="0"/>
          <w:i w:val="0"/>
          <w:color w:val="2A1336"/>
          <w:sz w:val="22"/>
        </w:rPr>
        <w:t>Configuración persistente de zonas, motor de vigencia y pruebas sobre estados temporales.</w:t>
      </w:r>
    </w:p>
    <w:p>
      <w:pPr>
        <w:spacing w:before="0" w:after="120" w:line="264" w:lineRule="auto"/>
      </w:pPr>
      <w:r>
        <w:rPr>
          <w:rFonts w:ascii="Calibri" w:hAnsi="Calibri"/>
          <w:b/>
          <w:i w:val="0"/>
          <w:color w:val="2A1336"/>
          <w:sz w:val="22"/>
        </w:rPr>
        <w:t xml:space="preserve">Condición pendiente para cerrar la HU. </w:t>
      </w:r>
      <w:r>
        <w:rPr>
          <w:rFonts w:ascii="Calibri" w:hAnsi="Calibri"/>
          <w:b w:val="0"/>
          <w:i w:val="0"/>
          <w:color w:val="2A1336"/>
          <w:sz w:val="22"/>
        </w:rPr>
        <w:t>Cerrar NUEVO, VISTO, PRECIO_ACTUALIZADO, RETIRADO, EXPIRADO y DESCARTADO en todas las fuentes.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shd w:fill="FFF9D9" w:val="clear"/>
            <w:tcBorders>
              <w:start w:val="single" w:sz="22" w:color="8A6300" w:space="0"/>
              <w:top w:val="nil"/>
              <w:bottom w:val="nil"/>
              <w:end w:val="nil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8A6300"/>
                <w:sz w:val="22"/>
              </w:rPr>
              <w:t xml:space="preserve">Validación requerida del cliente: </w:t>
            </w:r>
            <w:r>
              <w:rPr>
                <w:rFonts w:ascii="Calibri" w:hAnsi="Calibri"/>
                <w:b w:val="0"/>
                <w:i w:val="0"/>
                <w:color w:val="2A1336"/>
                <w:sz w:val="22"/>
              </w:rPr>
              <w:t>Definir si una publicación retirada debe conservarse como histórico visible y durante cuánto tiempo.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  <w:keepNext/>
      </w:pPr>
      <w:r>
        <w:t>HU-F1-03 — Motor de activos bancarios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7860"/>
      </w:tblGrid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5D6" w:val="clear"/>
            <w:tcBorders>
              <w:top w:val="single" w:sz="4" w:color="FFF5D6"/>
              <w:bottom w:val="single" w:sz="4" w:color="FFF5D6"/>
              <w:start w:val="single" w:sz="4" w:color="FFF5D6"/>
              <w:end w:val="single" w:sz="4" w:color="FFF5D6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8A6300"/>
                <w:sz w:val="24"/>
              </w:rPr>
              <w:t>82%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5D6" w:val="clear"/>
            <w:tcBorders>
              <w:top w:val="single" w:sz="4" w:color="FFF5D6"/>
              <w:bottom w:val="single" w:sz="4" w:color="FFF5D6"/>
              <w:start w:val="single" w:sz="4" w:color="FFF5D6"/>
              <w:end w:val="single" w:sz="4" w:color="FFF5D6"/>
            </w:tcBorders>
          </w:tcPr>
          <w:p>
            <w:r>
              <w:rPr>
                <w:rFonts w:ascii="Calibri" w:hAnsi="Calibri"/>
                <w:b/>
                <w:i w:val="0"/>
                <w:color w:val="8A6300"/>
                <w:sz w:val="21"/>
              </w:rPr>
              <w:t>Avanzada — cierre de identidad e historial</w:t>
            </w:r>
          </w:p>
        </w:tc>
      </w:tr>
    </w:tbl>
    <w:p>
      <w:pPr>
        <w:spacing w:after="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shd w:fill="F4EFF7" w:val="clear"/>
            <w:tcBorders>
              <w:start w:val="single" w:sz="22" w:color="4F2868" w:space="0"/>
              <w:top w:val="nil"/>
              <w:bottom w:val="nil"/>
              <w:end w:val="nil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4F2868"/>
                <w:sz w:val="22"/>
              </w:rPr>
              <w:t xml:space="preserve">Historia de usuario: </w:t>
            </w:r>
            <w:r>
              <w:rPr>
                <w:rFonts w:ascii="Calibri" w:hAnsi="Calibri"/>
                <w:b w:val="0"/>
                <w:i w:val="0"/>
                <w:color w:val="2A1336"/>
                <w:sz w:val="22"/>
              </w:rPr>
              <w:t>Como inversionista, quiero comparar activos bancarios contra el mercado abierto aunque el banco no publique todos los atributos, para detectar oportunidades sin descartar inventario útil.</w:t>
            </w:r>
          </w:p>
        </w:tc>
      </w:tr>
    </w:tbl>
    <w:p>
      <w:pPr>
        <w:spacing w:after="40"/>
      </w:pPr>
    </w:p>
    <w:p>
      <w:pPr>
        <w:spacing w:before="0" w:after="120" w:line="264" w:lineRule="auto"/>
      </w:pPr>
      <w:r>
        <w:rPr>
          <w:rFonts w:ascii="Calibri" w:hAnsi="Calibri"/>
          <w:b/>
          <w:i w:val="0"/>
          <w:color w:val="2A1336"/>
          <w:sz w:val="22"/>
        </w:rPr>
        <w:t>Criterios de aceptación revisados:</w:t>
      </w:r>
      <w:r>
        <w:rPr>
          <w:rFonts w:ascii="Calibri" w:hAnsi="Calibri"/>
          <w:b w:val="0"/>
          <w:i w:val="0"/>
          <w:color w:val="2A1336"/>
          <w:sz w:val="22"/>
        </w:rPr>
      </w:r>
    </w:p>
    <w:p>
      <w:pPr>
        <w:numPr>
          <w:ilvl w:val="0"/>
          <w:numId w:val="10"/>
        </w:numPr>
        <w:spacing w:after="140" w:line="280" w:lineRule="auto"/>
      </w:pPr>
      <w:r>
        <w:rPr>
          <w:rFonts w:ascii="Calibri" w:hAnsi="Calibri"/>
          <w:b/>
          <w:i w:val="0"/>
          <w:color w:val="1E7A46"/>
          <w:sz w:val="22"/>
        </w:rPr>
        <w:t xml:space="preserve">Cumplido: </w:t>
      </w:r>
      <w:r>
        <w:rPr>
          <w:rFonts w:ascii="Calibri" w:hAnsi="Calibri"/>
          <w:b w:val="0"/>
          <w:i w:val="0"/>
          <w:color w:val="2A1336"/>
          <w:sz w:val="22"/>
        </w:rPr>
        <w:t>Normalizar fuentes bancarias y compararlas contra mercado abierto.</w:t>
      </w:r>
    </w:p>
    <w:p>
      <w:pPr>
        <w:numPr>
          <w:ilvl w:val="0"/>
          <w:numId w:val="10"/>
        </w:numPr>
        <w:spacing w:after="140" w:line="280" w:lineRule="auto"/>
      </w:pPr>
      <w:r>
        <w:rPr>
          <w:rFonts w:ascii="Calibri" w:hAnsi="Calibri"/>
          <w:b/>
          <w:i w:val="0"/>
          <w:color w:val="1E7A46"/>
          <w:sz w:val="22"/>
        </w:rPr>
        <w:t xml:space="preserve">Cumplido: </w:t>
      </w:r>
      <w:r>
        <w:rPr>
          <w:rFonts w:ascii="Calibri" w:hAnsi="Calibri"/>
          <w:b w:val="0"/>
          <w:i w:val="0"/>
          <w:color w:val="2A1336"/>
          <w:sz w:val="22"/>
        </w:rPr>
        <w:t>Tratar el estrato ausente como dato opcional.</w:t>
      </w:r>
    </w:p>
    <w:p>
      <w:pPr>
        <w:numPr>
          <w:ilvl w:val="0"/>
          <w:numId w:val="10"/>
        </w:numPr>
        <w:spacing w:after="140" w:line="280" w:lineRule="auto"/>
      </w:pPr>
      <w:r>
        <w:rPr>
          <w:rFonts w:ascii="Calibri" w:hAnsi="Calibri"/>
          <w:b/>
          <w:i w:val="0"/>
          <w:color w:val="1E7A46"/>
          <w:sz w:val="22"/>
        </w:rPr>
        <w:t xml:space="preserve">Cumplido: </w:t>
      </w:r>
      <w:r>
        <w:rPr>
          <w:rFonts w:ascii="Calibri" w:hAnsi="Calibri"/>
          <w:b w:val="0"/>
          <w:i w:val="0"/>
          <w:color w:val="2A1336"/>
          <w:sz w:val="22"/>
        </w:rPr>
        <w:t>Mostrar la última verificación y rotar el inventario semanalmente.</w:t>
      </w:r>
    </w:p>
    <w:p>
      <w:pPr>
        <w:numPr>
          <w:ilvl w:val="0"/>
          <w:numId w:val="10"/>
        </w:numPr>
        <w:spacing w:after="140" w:line="280" w:lineRule="auto"/>
      </w:pPr>
      <w:r>
        <w:rPr>
          <w:rFonts w:ascii="Calibri" w:hAnsi="Calibri"/>
          <w:b/>
          <w:i w:val="0"/>
          <w:color w:val="1E7A46"/>
          <w:sz w:val="22"/>
        </w:rPr>
        <w:t xml:space="preserve">Cumplido: </w:t>
      </w:r>
      <w:r>
        <w:rPr>
          <w:rFonts w:ascii="Calibri" w:hAnsi="Calibri"/>
          <w:b w:val="0"/>
          <w:i w:val="0"/>
          <w:color w:val="2A1336"/>
          <w:sz w:val="22"/>
        </w:rPr>
        <w:t>Adaptar filtros e interfaz a la calidad real de los datos bancarios.</w:t>
      </w:r>
    </w:p>
    <w:p>
      <w:pPr>
        <w:numPr>
          <w:ilvl w:val="0"/>
          <w:numId w:val="10"/>
        </w:numPr>
        <w:spacing w:after="140" w:line="280" w:lineRule="auto"/>
      </w:pPr>
      <w:r>
        <w:rPr>
          <w:rFonts w:ascii="Calibri" w:hAnsi="Calibri"/>
          <w:b/>
          <w:i w:val="0"/>
          <w:color w:val="8A6300"/>
          <w:sz w:val="22"/>
        </w:rPr>
        <w:t xml:space="preserve">Parcial: </w:t>
      </w:r>
      <w:r>
        <w:rPr>
          <w:rFonts w:ascii="Calibri" w:hAnsi="Calibri"/>
          <w:b w:val="0"/>
          <w:i w:val="0"/>
          <w:color w:val="2A1336"/>
          <w:sz w:val="22"/>
        </w:rPr>
        <w:t>Resolver identidad secundaria, retiro, cambio de precio e historial entre bancos.</w:t>
      </w:r>
    </w:p>
    <w:p>
      <w:pPr>
        <w:spacing w:before="0" w:after="120" w:line="264" w:lineRule="auto"/>
      </w:pPr>
      <w:r>
        <w:rPr>
          <w:rFonts w:ascii="Calibri" w:hAnsi="Calibri"/>
          <w:b/>
          <w:i w:val="0"/>
          <w:color w:val="2A1336"/>
          <w:sz w:val="22"/>
        </w:rPr>
        <w:t xml:space="preserve">Evidencia actual. </w:t>
      </w:r>
      <w:r>
        <w:rPr>
          <w:rFonts w:ascii="Calibri" w:hAnsi="Calibri"/>
          <w:b w:val="0"/>
          <w:i w:val="0"/>
          <w:color w:val="2A1336"/>
          <w:sz w:val="22"/>
        </w:rPr>
        <w:t>Scrapers bancarios, clasificación CRECE, rotación semanal y pruebas de frescura.</w:t>
      </w:r>
    </w:p>
    <w:p>
      <w:pPr>
        <w:spacing w:before="0" w:after="120" w:line="264" w:lineRule="auto"/>
      </w:pPr>
      <w:r>
        <w:rPr>
          <w:rFonts w:ascii="Calibri" w:hAnsi="Calibri"/>
          <w:b/>
          <w:i w:val="0"/>
          <w:color w:val="2A1336"/>
          <w:sz w:val="22"/>
        </w:rPr>
        <w:t xml:space="preserve">Condición pendiente para cerrar la HU. </w:t>
      </w:r>
      <w:r>
        <w:rPr>
          <w:rFonts w:ascii="Calibri" w:hAnsi="Calibri"/>
          <w:b w:val="0"/>
          <w:i w:val="0"/>
          <w:color w:val="2A1336"/>
          <w:sz w:val="22"/>
        </w:rPr>
        <w:t>Cerrar la estrategia de identidad para enlaces o slugs inestables y unificar eventos.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shd w:fill="FFF9D9" w:val="clear"/>
            <w:tcBorders>
              <w:start w:val="single" w:sz="22" w:color="8A6300" w:space="0"/>
              <w:top w:val="nil"/>
              <w:bottom w:val="nil"/>
              <w:end w:val="nil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8A6300"/>
                <w:sz w:val="22"/>
              </w:rPr>
              <w:t xml:space="preserve">Validación requerida del cliente: </w:t>
            </w:r>
            <w:r>
              <w:rPr>
                <w:rFonts w:ascii="Calibri" w:hAnsi="Calibri"/>
                <w:b w:val="0"/>
                <w:i w:val="0"/>
                <w:color w:val="2A1336"/>
                <w:sz w:val="22"/>
              </w:rPr>
              <w:t>Confirmar qué atributos mínimos permiten publicar un activo cuando faltan estrato, habitaciones o baños.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  <w:keepNext/>
      </w:pPr>
      <w:r>
        <w:t>HU-F1-04 — Motor de activos Grupo AVAL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7860"/>
      </w:tblGrid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5D6" w:val="clear"/>
            <w:tcBorders>
              <w:top w:val="single" w:sz="4" w:color="FFF5D6"/>
              <w:bottom w:val="single" w:sz="4" w:color="FFF5D6"/>
              <w:start w:val="single" w:sz="4" w:color="FFF5D6"/>
              <w:end w:val="single" w:sz="4" w:color="FFF5D6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8A6300"/>
                <w:sz w:val="24"/>
              </w:rPr>
              <w:t>72%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5D6" w:val="clear"/>
            <w:tcBorders>
              <w:top w:val="single" w:sz="4" w:color="FFF5D6"/>
              <w:bottom w:val="single" w:sz="4" w:color="FFF5D6"/>
              <w:start w:val="single" w:sz="4" w:color="FFF5D6"/>
              <w:end w:val="single" w:sz="4" w:color="FFF5D6"/>
            </w:tcBorders>
          </w:tcPr>
          <w:p>
            <w:r>
              <w:rPr>
                <w:rFonts w:ascii="Calibri" w:hAnsi="Calibri"/>
                <w:b/>
                <w:i w:val="0"/>
                <w:color w:val="8A6300"/>
                <w:sz w:val="21"/>
              </w:rPr>
              <w:t>Parcial — ingesta funcional, normalización pendiente</w:t>
            </w:r>
          </w:p>
        </w:tc>
      </w:tr>
    </w:tbl>
    <w:p>
      <w:pPr>
        <w:spacing w:after="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shd w:fill="F4EFF7" w:val="clear"/>
            <w:tcBorders>
              <w:start w:val="single" w:sz="22" w:color="4F2868" w:space="0"/>
              <w:top w:val="nil"/>
              <w:bottom w:val="nil"/>
              <w:end w:val="nil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4F2868"/>
                <w:sz w:val="22"/>
              </w:rPr>
              <w:t xml:space="preserve">Historia de usuario: </w:t>
            </w:r>
            <w:r>
              <w:rPr>
                <w:rFonts w:ascii="Calibri" w:hAnsi="Calibri"/>
                <w:b w:val="0"/>
                <w:i w:val="0"/>
                <w:color w:val="2A1336"/>
                <w:sz w:val="22"/>
              </w:rPr>
              <w:t>Como usuario, quiero consultar activos AVAL extraídos de sus boletines PDF y conocer sus cambios para analizarlos junto con las demás oportunidades.</w:t>
            </w:r>
          </w:p>
        </w:tc>
      </w:tr>
    </w:tbl>
    <w:p>
      <w:pPr>
        <w:spacing w:after="40"/>
      </w:pPr>
    </w:p>
    <w:p>
      <w:pPr>
        <w:spacing w:before="0" w:after="120" w:line="264" w:lineRule="auto"/>
      </w:pPr>
      <w:r>
        <w:rPr>
          <w:rFonts w:ascii="Calibri" w:hAnsi="Calibri"/>
          <w:b/>
          <w:i w:val="0"/>
          <w:color w:val="2A1336"/>
          <w:sz w:val="22"/>
        </w:rPr>
        <w:t>Criterios de aceptación revisados:</w:t>
      </w:r>
      <w:r>
        <w:rPr>
          <w:rFonts w:ascii="Calibri" w:hAnsi="Calibri"/>
          <w:b w:val="0"/>
          <w:i w:val="0"/>
          <w:color w:val="2A1336"/>
          <w:sz w:val="22"/>
        </w:rPr>
      </w:r>
    </w:p>
    <w:p>
      <w:pPr>
        <w:numPr>
          <w:ilvl w:val="0"/>
          <w:numId w:val="10"/>
        </w:numPr>
        <w:spacing w:after="140" w:line="280" w:lineRule="auto"/>
      </w:pPr>
      <w:r>
        <w:rPr>
          <w:rFonts w:ascii="Calibri" w:hAnsi="Calibri"/>
          <w:b/>
          <w:i w:val="0"/>
          <w:color w:val="1E7A46"/>
          <w:sz w:val="22"/>
        </w:rPr>
        <w:t xml:space="preserve">Cumplido: </w:t>
      </w:r>
      <w:r>
        <w:rPr>
          <w:rFonts w:ascii="Calibri" w:hAnsi="Calibri"/>
          <w:b w:val="0"/>
          <w:i w:val="0"/>
          <w:color w:val="2A1336"/>
          <w:sz w:val="22"/>
        </w:rPr>
        <w:t>Resolver, descargar y leer dinámicamente el boletín PDF.</w:t>
      </w:r>
    </w:p>
    <w:p>
      <w:pPr>
        <w:numPr>
          <w:ilvl w:val="0"/>
          <w:numId w:val="10"/>
        </w:numPr>
        <w:spacing w:after="140" w:line="280" w:lineRule="auto"/>
      </w:pPr>
      <w:r>
        <w:rPr>
          <w:rFonts w:ascii="Calibri" w:hAnsi="Calibri"/>
          <w:b/>
          <w:i w:val="0"/>
          <w:color w:val="1E7A46"/>
          <w:sz w:val="22"/>
        </w:rPr>
        <w:t xml:space="preserve">Cumplido: </w:t>
      </w:r>
      <w:r>
        <w:rPr>
          <w:rFonts w:ascii="Calibri" w:hAnsi="Calibri"/>
          <w:b w:val="0"/>
          <w:i w:val="0"/>
          <w:color w:val="2A1336"/>
          <w:sz w:val="22"/>
        </w:rPr>
        <w:t>Deduplicar por código y extraer precio, tipo, área, dirección y ciudad.</w:t>
      </w:r>
    </w:p>
    <w:p>
      <w:pPr>
        <w:numPr>
          <w:ilvl w:val="0"/>
          <w:numId w:val="10"/>
        </w:numPr>
        <w:spacing w:after="140" w:line="280" w:lineRule="auto"/>
      </w:pPr>
      <w:r>
        <w:rPr>
          <w:rFonts w:ascii="Calibri" w:hAnsi="Calibri"/>
          <w:b/>
          <w:i w:val="0"/>
          <w:color w:val="1E7A46"/>
          <w:sz w:val="22"/>
        </w:rPr>
        <w:t xml:space="preserve">Cumplido: </w:t>
      </w:r>
      <w:r>
        <w:rPr>
          <w:rFonts w:ascii="Calibri" w:hAnsi="Calibri"/>
          <w:b w:val="0"/>
          <w:i w:val="0"/>
          <w:color w:val="2A1336"/>
          <w:sz w:val="22"/>
        </w:rPr>
        <w:t>Evitar comparaciones inválidas mediante area_tipo.</w:t>
      </w:r>
    </w:p>
    <w:p>
      <w:pPr>
        <w:numPr>
          <w:ilvl w:val="0"/>
          <w:numId w:val="10"/>
        </w:numPr>
        <w:spacing w:after="140" w:line="280" w:lineRule="auto"/>
      </w:pPr>
      <w:r>
        <w:rPr>
          <w:rFonts w:ascii="Calibri" w:hAnsi="Calibri"/>
          <w:b/>
          <w:i w:val="0"/>
          <w:color w:val="8A6300"/>
          <w:sz w:val="22"/>
        </w:rPr>
        <w:t xml:space="preserve">Parcial: </w:t>
      </w:r>
      <w:r>
        <w:rPr>
          <w:rFonts w:ascii="Calibri" w:hAnsi="Calibri"/>
          <w:b w:val="0"/>
          <w:i w:val="0"/>
          <w:color w:val="2A1336"/>
          <w:sz w:val="22"/>
        </w:rPr>
        <w:t>Normalizar ciudad–departamento y marcar datos que requieren revisión.</w:t>
      </w:r>
    </w:p>
    <w:p>
      <w:pPr>
        <w:numPr>
          <w:ilvl w:val="0"/>
          <w:numId w:val="10"/>
        </w:numPr>
        <w:spacing w:after="140" w:line="280" w:lineRule="auto"/>
      </w:pPr>
      <w:r>
        <w:rPr>
          <w:rFonts w:ascii="Calibri" w:hAnsi="Calibri"/>
          <w:b/>
          <w:i w:val="0"/>
          <w:color w:val="8A6300"/>
          <w:sz w:val="22"/>
        </w:rPr>
        <w:t xml:space="preserve">Parcial: </w:t>
      </w:r>
      <w:r>
        <w:rPr>
          <w:rFonts w:ascii="Calibri" w:hAnsi="Calibri"/>
          <w:b w:val="0"/>
          <w:i w:val="0"/>
          <w:color w:val="2A1336"/>
          <w:sz w:val="22"/>
        </w:rPr>
        <w:t>Comparar boletines e identificar de forma trazable novedades y cambios de valor.</w:t>
      </w:r>
    </w:p>
    <w:p>
      <w:pPr>
        <w:spacing w:before="0" w:after="120" w:line="264" w:lineRule="auto"/>
      </w:pPr>
      <w:r>
        <w:rPr>
          <w:rFonts w:ascii="Calibri" w:hAnsi="Calibri"/>
          <w:b/>
          <w:i w:val="0"/>
          <w:color w:val="2A1336"/>
          <w:sz w:val="22"/>
        </w:rPr>
        <w:t xml:space="preserve">Evidencia actual. </w:t>
      </w:r>
      <w:r>
        <w:rPr>
          <w:rFonts w:ascii="Calibri" w:hAnsi="Calibri"/>
          <w:b w:val="0"/>
          <w:i w:val="0"/>
          <w:color w:val="2A1336"/>
          <w:sz w:val="22"/>
        </w:rPr>
        <w:t>Parser PDF, deduplicación, modelo normalizado e integración de las fichas en la aplicación.</w:t>
      </w:r>
    </w:p>
    <w:p>
      <w:pPr>
        <w:spacing w:before="0" w:after="120" w:line="264" w:lineRule="auto"/>
      </w:pPr>
      <w:r>
        <w:rPr>
          <w:rFonts w:ascii="Calibri" w:hAnsi="Calibri"/>
          <w:b/>
          <w:i w:val="0"/>
          <w:color w:val="2A1336"/>
          <w:sz w:val="22"/>
        </w:rPr>
        <w:t xml:space="preserve">Condición pendiente para cerrar la HU. </w:t>
      </w:r>
      <w:r>
        <w:rPr>
          <w:rFonts w:ascii="Calibri" w:hAnsi="Calibri"/>
          <w:b w:val="0"/>
          <w:i w:val="0"/>
          <w:color w:val="2A1336"/>
          <w:sz w:val="22"/>
        </w:rPr>
        <w:t>Completar normalización, comparación entre boletines, campos opcionales y trazabilidad documental.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shd w:fill="FFF9D9" w:val="clear"/>
            <w:tcBorders>
              <w:start w:val="single" w:sz="22" w:color="8A6300" w:space="0"/>
              <w:top w:val="nil"/>
              <w:bottom w:val="nil"/>
              <w:end w:val="nil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8A6300"/>
                <w:sz w:val="22"/>
              </w:rPr>
              <w:t xml:space="preserve">Validación requerida del cliente: </w:t>
            </w:r>
            <w:r>
              <w:rPr>
                <w:rFonts w:ascii="Calibri" w:hAnsi="Calibri"/>
                <w:b w:val="0"/>
                <w:i w:val="0"/>
                <w:color w:val="2A1336"/>
                <w:sz w:val="22"/>
              </w:rPr>
              <w:t>Aprobar si las insignias “Nuevo inmueble” y “Nuevo valor” son suficientes o deben recalcularse.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  <w:keepNext/>
      </w:pPr>
      <w:r>
        <w:t>HU-F1-05 — Motor de remates judiciales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7860"/>
      </w:tblGrid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6EF" w:val="clear"/>
            <w:tcBorders>
              <w:top w:val="single" w:sz="4" w:color="EAF6EF"/>
              <w:bottom w:val="single" w:sz="4" w:color="EAF6EF"/>
              <w:start w:val="single" w:sz="4" w:color="EAF6EF"/>
              <w:end w:val="single" w:sz="4" w:color="EAF6EF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E7A46"/>
                <w:sz w:val="24"/>
              </w:rPr>
              <w:t>92%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6EF" w:val="clear"/>
            <w:tcBorders>
              <w:top w:val="single" w:sz="4" w:color="EAF6EF"/>
              <w:bottom w:val="single" w:sz="4" w:color="EAF6EF"/>
              <w:start w:val="single" w:sz="4" w:color="EAF6EF"/>
              <w:end w:val="single" w:sz="4" w:color="EAF6EF"/>
            </w:tcBorders>
          </w:tcPr>
          <w:p>
            <w:r>
              <w:rPr>
                <w:rFonts w:ascii="Calibri" w:hAnsi="Calibri"/>
                <w:b/>
                <w:i w:val="0"/>
                <w:color w:val="1E7A46"/>
                <w:sz w:val="21"/>
              </w:rPr>
              <w:t>Avanzada — cierre de calidad de datos</w:t>
            </w:r>
          </w:p>
        </w:tc>
      </w:tr>
    </w:tbl>
    <w:p>
      <w:pPr>
        <w:spacing w:after="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shd w:fill="F4EFF7" w:val="clear"/>
            <w:tcBorders>
              <w:start w:val="single" w:sz="22" w:color="4F2868" w:space="0"/>
              <w:top w:val="nil"/>
              <w:bottom w:val="nil"/>
              <w:end w:val="nil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4F2868"/>
                <w:sz w:val="22"/>
              </w:rPr>
              <w:t xml:space="preserve">Historia de usuario: </w:t>
            </w:r>
            <w:r>
              <w:rPr>
                <w:rFonts w:ascii="Calibri" w:hAnsi="Calibri"/>
                <w:b w:val="0"/>
                <w:i w:val="0"/>
                <w:color w:val="2A1336"/>
                <w:sz w:val="22"/>
              </w:rPr>
              <w:t>Como inversionista, quiero distinguir el riesgo jurídico, la postura mínima y el porcentaje real del bien rematado para evitar interpretar una subasta de forma equivocada.</w:t>
            </w:r>
          </w:p>
        </w:tc>
      </w:tr>
    </w:tbl>
    <w:p>
      <w:pPr>
        <w:spacing w:after="40"/>
      </w:pPr>
    </w:p>
    <w:p>
      <w:pPr>
        <w:spacing w:before="0" w:after="120" w:line="264" w:lineRule="auto"/>
      </w:pPr>
      <w:r>
        <w:rPr>
          <w:rFonts w:ascii="Calibri" w:hAnsi="Calibri"/>
          <w:b/>
          <w:i w:val="0"/>
          <w:color w:val="2A1336"/>
          <w:sz w:val="22"/>
        </w:rPr>
        <w:t>Criterios de aceptación revisados:</w:t>
      </w:r>
      <w:r>
        <w:rPr>
          <w:rFonts w:ascii="Calibri" w:hAnsi="Calibri"/>
          <w:b w:val="0"/>
          <w:i w:val="0"/>
          <w:color w:val="2A1336"/>
          <w:sz w:val="22"/>
        </w:rPr>
      </w:r>
    </w:p>
    <w:p>
      <w:pPr>
        <w:numPr>
          <w:ilvl w:val="0"/>
          <w:numId w:val="10"/>
        </w:numPr>
        <w:spacing w:after="140" w:line="280" w:lineRule="auto"/>
      </w:pPr>
      <w:r>
        <w:rPr>
          <w:rFonts w:ascii="Calibri" w:hAnsi="Calibri"/>
          <w:b/>
          <w:i w:val="0"/>
          <w:color w:val="1E7A46"/>
          <w:sz w:val="22"/>
        </w:rPr>
        <w:t xml:space="preserve">Cumplido: </w:t>
      </w:r>
      <w:r>
        <w:rPr>
          <w:rFonts w:ascii="Calibri" w:hAnsi="Calibri"/>
          <w:b w:val="0"/>
          <w:i w:val="0"/>
          <w:color w:val="2A1336"/>
          <w:sz w:val="22"/>
        </w:rPr>
        <w:t>Identificar origen del demandante, tipo de proceso y cuota-parte.</w:t>
      </w:r>
    </w:p>
    <w:p>
      <w:pPr>
        <w:numPr>
          <w:ilvl w:val="0"/>
          <w:numId w:val="10"/>
        </w:numPr>
        <w:spacing w:after="140" w:line="280" w:lineRule="auto"/>
      </w:pPr>
      <w:r>
        <w:rPr>
          <w:rFonts w:ascii="Calibri" w:hAnsi="Calibri"/>
          <w:b/>
          <w:i w:val="0"/>
          <w:color w:val="1E7A46"/>
          <w:sz w:val="22"/>
        </w:rPr>
        <w:t xml:space="preserve">Cumplido: </w:t>
      </w:r>
      <w:r>
        <w:rPr>
          <w:rFonts w:ascii="Calibri" w:hAnsi="Calibri"/>
          <w:b w:val="0"/>
          <w:i w:val="0"/>
          <w:color w:val="2A1336"/>
          <w:sz w:val="22"/>
        </w:rPr>
        <w:t>Aplicar una regla conservadora cuando el origen no es claro.</w:t>
      </w:r>
    </w:p>
    <w:p>
      <w:pPr>
        <w:numPr>
          <w:ilvl w:val="0"/>
          <w:numId w:val="10"/>
        </w:numPr>
        <w:spacing w:after="140" w:line="280" w:lineRule="auto"/>
      </w:pPr>
      <w:r>
        <w:rPr>
          <w:rFonts w:ascii="Calibri" w:hAnsi="Calibri"/>
          <w:b/>
          <w:i w:val="0"/>
          <w:color w:val="1E7A46"/>
          <w:sz w:val="22"/>
        </w:rPr>
        <w:t xml:space="preserve">Cumplido: </w:t>
      </w:r>
      <w:r>
        <w:rPr>
          <w:rFonts w:ascii="Calibri" w:hAnsi="Calibri"/>
          <w:b w:val="0"/>
          <w:i w:val="0"/>
          <w:color w:val="2A1336"/>
          <w:sz w:val="22"/>
        </w:rPr>
        <w:t>Diferenciar porcentaje de postura y porcentaje del dominio rematado.</w:t>
      </w:r>
    </w:p>
    <w:p>
      <w:pPr>
        <w:numPr>
          <w:ilvl w:val="0"/>
          <w:numId w:val="10"/>
        </w:numPr>
        <w:spacing w:after="140" w:line="280" w:lineRule="auto"/>
      </w:pPr>
      <w:r>
        <w:rPr>
          <w:rFonts w:ascii="Calibri" w:hAnsi="Calibri"/>
          <w:b/>
          <w:i w:val="0"/>
          <w:color w:val="1E7A46"/>
          <w:sz w:val="22"/>
        </w:rPr>
        <w:t xml:space="preserve">Cumplido: </w:t>
      </w:r>
      <w:r>
        <w:rPr>
          <w:rFonts w:ascii="Calibri" w:hAnsi="Calibri"/>
          <w:b w:val="0"/>
          <w:i w:val="0"/>
          <w:color w:val="2A1336"/>
          <w:sz w:val="22"/>
        </w:rPr>
        <w:t>Mostrar la matriz de acceso y alertas jurídicas.</w:t>
      </w:r>
    </w:p>
    <w:p>
      <w:pPr>
        <w:numPr>
          <w:ilvl w:val="0"/>
          <w:numId w:val="10"/>
        </w:numPr>
        <w:spacing w:after="140" w:line="280" w:lineRule="auto"/>
      </w:pPr>
      <w:r>
        <w:rPr>
          <w:rFonts w:ascii="Calibri" w:hAnsi="Calibri"/>
          <w:b/>
          <w:i w:val="0"/>
          <w:color w:val="8A6300"/>
          <w:sz w:val="22"/>
        </w:rPr>
        <w:t xml:space="preserve">Parcial: </w:t>
      </w:r>
      <w:r>
        <w:rPr>
          <w:rFonts w:ascii="Calibri" w:hAnsi="Calibri"/>
          <w:b w:val="0"/>
          <w:i w:val="0"/>
          <w:color w:val="2A1336"/>
          <w:sz w:val="22"/>
        </w:rPr>
        <w:t>Enviar anomalías a cuarentena y usar evidencia neutral cuando no exista imagen.</w:t>
      </w:r>
    </w:p>
    <w:p>
      <w:pPr>
        <w:spacing w:before="0" w:after="120" w:line="264" w:lineRule="auto"/>
      </w:pPr>
      <w:r>
        <w:rPr>
          <w:rFonts w:ascii="Calibri" w:hAnsi="Calibri"/>
          <w:b/>
          <w:i w:val="0"/>
          <w:color w:val="2A1336"/>
          <w:sz w:val="22"/>
        </w:rPr>
        <w:t xml:space="preserve">Evidencia actual. </w:t>
      </w:r>
      <w:r>
        <w:rPr>
          <w:rFonts w:ascii="Calibri" w:hAnsi="Calibri"/>
          <w:b w:val="0"/>
          <w:i w:val="0"/>
          <w:color w:val="2A1336"/>
          <w:sz w:val="22"/>
        </w:rPr>
        <w:t>Motor jurídico, matriz comercial, sanitización de datos y pruebas específicas sobre avisos y porcentajes.</w:t>
      </w:r>
    </w:p>
    <w:p>
      <w:pPr>
        <w:spacing w:before="0" w:after="120" w:line="264" w:lineRule="auto"/>
      </w:pPr>
      <w:r>
        <w:rPr>
          <w:rFonts w:ascii="Calibri" w:hAnsi="Calibri"/>
          <w:b/>
          <w:i w:val="0"/>
          <w:color w:val="2A1336"/>
          <w:sz w:val="22"/>
        </w:rPr>
        <w:t xml:space="preserve">Condición pendiente para cerrar la HU. </w:t>
      </w:r>
      <w:r>
        <w:rPr>
          <w:rFonts w:ascii="Calibri" w:hAnsi="Calibri"/>
          <w:b w:val="0"/>
          <w:i w:val="0"/>
          <w:color w:val="2A1336"/>
          <w:sz w:val="22"/>
        </w:rPr>
        <w:t>Implementar cuarentena desde ingestión/base y cerrar la evidencia visual trazable.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shd w:fill="FFF9D9" w:val="clear"/>
            <w:tcBorders>
              <w:start w:val="single" w:sz="22" w:color="8A6300" w:space="0"/>
              <w:top w:val="nil"/>
              <w:bottom w:val="nil"/>
              <w:end w:val="nil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8A6300"/>
                <w:sz w:val="22"/>
              </w:rPr>
              <w:t xml:space="preserve">Validación requerida del cliente: </w:t>
            </w:r>
            <w:r>
              <w:rPr>
                <w:rFonts w:ascii="Calibri" w:hAnsi="Calibri"/>
                <w:b w:val="0"/>
                <w:i w:val="0"/>
                <w:color w:val="2A1336"/>
                <w:sz w:val="22"/>
              </w:rPr>
              <w:t>Definir qué evidencia visual o documental permite publicar una ficha sin imagen original.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4. Trazabilidad detallada de las HU de Fase 2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2A1336"/>
          <w:sz w:val="22"/>
        </w:rPr>
        <w:t>Estas HU traducen la hoja de ruta del producto y las decisiones posteriores del cliente a criterios verificables. El porcentaje de Fase 2 es un avance técnico provisional hasta que el cliente apruebe formalmente esta línea base.</w:t>
      </w:r>
    </w:p>
    <w:p>
      <w:pPr>
        <w:pStyle w:val="Heading2"/>
        <w:keepNext/>
      </w:pPr>
      <w:r>
        <w:t>HU-F2-01 — Inicio de sesión con Google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7860"/>
      </w:tblGrid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6EF" w:val="clear"/>
            <w:tcBorders>
              <w:top w:val="single" w:sz="4" w:color="EAF6EF"/>
              <w:bottom w:val="single" w:sz="4" w:color="EAF6EF"/>
              <w:start w:val="single" w:sz="4" w:color="EAF6EF"/>
              <w:end w:val="single" w:sz="4" w:color="EAF6EF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E7A46"/>
                <w:sz w:val="24"/>
              </w:rPr>
              <w:t>95%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6EF" w:val="clear"/>
            <w:tcBorders>
              <w:top w:val="single" w:sz="4" w:color="EAF6EF"/>
              <w:bottom w:val="single" w:sz="4" w:color="EAF6EF"/>
              <w:start w:val="single" w:sz="4" w:color="EAF6EF"/>
              <w:end w:val="single" w:sz="4" w:color="EAF6EF"/>
            </w:tcBorders>
          </w:tcPr>
          <w:p>
            <w:r>
              <w:rPr>
                <w:rFonts w:ascii="Calibri" w:hAnsi="Calibri"/>
                <w:b/>
                <w:i w:val="0"/>
                <w:color w:val="1E7A46"/>
                <w:sz w:val="21"/>
              </w:rPr>
              <w:t>Validada — operativa</w:t>
            </w:r>
          </w:p>
        </w:tc>
      </w:tr>
    </w:tbl>
    <w:p>
      <w:pPr>
        <w:spacing w:after="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shd w:fill="F4EFF7" w:val="clear"/>
            <w:tcBorders>
              <w:start w:val="single" w:sz="22" w:color="4F2868" w:space="0"/>
              <w:top w:val="nil"/>
              <w:bottom w:val="nil"/>
              <w:end w:val="nil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4F2868"/>
                <w:sz w:val="22"/>
              </w:rPr>
              <w:t xml:space="preserve">Historia de usuario: </w:t>
            </w:r>
            <w:r>
              <w:rPr>
                <w:rFonts w:ascii="Calibri" w:hAnsi="Calibri"/>
                <w:b w:val="0"/>
                <w:i w:val="0"/>
                <w:color w:val="2A1336"/>
                <w:sz w:val="22"/>
              </w:rPr>
              <w:t>Como usuario, quiero ingresar con mi cuenta de Google para acceder al Radar sin crear otra contraseña.</w:t>
            </w:r>
          </w:p>
        </w:tc>
      </w:tr>
    </w:tbl>
    <w:p>
      <w:pPr>
        <w:spacing w:after="40"/>
      </w:pPr>
    </w:p>
    <w:p>
      <w:pPr>
        <w:numPr>
          <w:ilvl w:val="0"/>
          <w:numId w:val="10"/>
        </w:numPr>
        <w:spacing w:after="140" w:line="280" w:lineRule="auto"/>
      </w:pPr>
      <w:r>
        <w:rPr>
          <w:rFonts w:ascii="Calibri" w:hAnsi="Calibri"/>
          <w:b/>
          <w:i w:val="0"/>
          <w:color w:val="1E7A46"/>
          <w:sz w:val="22"/>
        </w:rPr>
        <w:t xml:space="preserve">Cumplido: </w:t>
      </w:r>
      <w:r>
        <w:rPr>
          <w:rFonts w:ascii="Calibri" w:hAnsi="Calibri"/>
          <w:b w:val="0"/>
          <w:i w:val="0"/>
          <w:color w:val="2A1336"/>
          <w:sz w:val="22"/>
        </w:rPr>
        <w:t>Mostrar el acceso con Google en la pantalla de ingreso.</w:t>
      </w:r>
    </w:p>
    <w:p>
      <w:pPr>
        <w:numPr>
          <w:ilvl w:val="0"/>
          <w:numId w:val="10"/>
        </w:numPr>
        <w:spacing w:after="140" w:line="280" w:lineRule="auto"/>
      </w:pPr>
      <w:r>
        <w:rPr>
          <w:rFonts w:ascii="Calibri" w:hAnsi="Calibri"/>
          <w:b/>
          <w:i w:val="0"/>
          <w:color w:val="1E7A46"/>
          <w:sz w:val="22"/>
        </w:rPr>
        <w:t xml:space="preserve">Cumplido: </w:t>
      </w:r>
      <w:r>
        <w:rPr>
          <w:rFonts w:ascii="Calibri" w:hAnsi="Calibri"/>
          <w:b w:val="0"/>
          <w:i w:val="0"/>
          <w:color w:val="2A1336"/>
          <w:sz w:val="22"/>
        </w:rPr>
        <w:t>Completar OAuth y conservar la sesión del usuario.</w:t>
      </w:r>
    </w:p>
    <w:p>
      <w:pPr>
        <w:numPr>
          <w:ilvl w:val="0"/>
          <w:numId w:val="10"/>
        </w:numPr>
        <w:spacing w:after="140" w:line="280" w:lineRule="auto"/>
      </w:pPr>
      <w:r>
        <w:rPr>
          <w:rFonts w:ascii="Calibri" w:hAnsi="Calibri"/>
          <w:b/>
          <w:i w:val="0"/>
          <w:color w:val="8A6300"/>
          <w:sz w:val="22"/>
        </w:rPr>
        <w:t xml:space="preserve">Parcial: </w:t>
      </w:r>
      <w:r>
        <w:rPr>
          <w:rFonts w:ascii="Calibri" w:hAnsi="Calibri"/>
          <w:b w:val="0"/>
          <w:i w:val="0"/>
          <w:color w:val="2A1336"/>
          <w:sz w:val="22"/>
        </w:rPr>
        <w:t>Monitorear altas, errores y políticas de acceso en operación.</w:t>
      </w:r>
    </w:p>
    <w:p>
      <w:pPr>
        <w:spacing w:before="0" w:after="120" w:line="264" w:lineRule="auto"/>
      </w:pPr>
      <w:r>
        <w:rPr>
          <w:rFonts w:ascii="Calibri" w:hAnsi="Calibri"/>
          <w:b/>
          <w:i w:val="0"/>
          <w:color w:val="2A1336"/>
          <w:sz w:val="22"/>
        </w:rPr>
        <w:t xml:space="preserve">Evidencia. </w:t>
      </w:r>
      <w:r>
        <w:rPr>
          <w:rFonts w:ascii="Calibri" w:hAnsi="Calibri"/>
          <w:b w:val="0"/>
          <w:i w:val="0"/>
          <w:color w:val="2A1336"/>
          <w:sz w:val="22"/>
        </w:rPr>
        <w:t>Flujo OAuth configurado y recorrido E2E local aprobado.</w:t>
      </w:r>
    </w:p>
    <w:p>
      <w:pPr>
        <w:spacing w:before="0" w:after="120" w:line="264" w:lineRule="auto"/>
      </w:pPr>
      <w:r>
        <w:rPr>
          <w:rFonts w:ascii="Calibri" w:hAnsi="Calibri"/>
          <w:b/>
          <w:i w:val="0"/>
          <w:color w:val="2A1336"/>
          <w:sz w:val="22"/>
        </w:rPr>
        <w:t xml:space="preserve">Para cerrar. </w:t>
      </w:r>
      <w:r>
        <w:rPr>
          <w:rFonts w:ascii="Calibri" w:hAnsi="Calibri"/>
          <w:b w:val="0"/>
          <w:i w:val="0"/>
          <w:color w:val="2A1336"/>
          <w:sz w:val="22"/>
        </w:rPr>
        <w:t>Acordar política de acceso y monitorear los primeros usuarios reales.</w:t>
      </w:r>
    </w:p>
    <w:p>
      <w:pPr>
        <w:pStyle w:val="Heading2"/>
        <w:keepNext/>
      </w:pPr>
      <w:r>
        <w:t>HU-F2-02 — Cuenta, planes y acceso freemium/Pro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7860"/>
      </w:tblGrid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5D6" w:val="clear"/>
            <w:tcBorders>
              <w:top w:val="single" w:sz="4" w:color="FFF5D6"/>
              <w:bottom w:val="single" w:sz="4" w:color="FFF5D6"/>
              <w:start w:val="single" w:sz="4" w:color="FFF5D6"/>
              <w:end w:val="single" w:sz="4" w:color="FFF5D6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8A6300"/>
                <w:sz w:val="24"/>
              </w:rPr>
              <w:t>80%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5D6" w:val="clear"/>
            <w:tcBorders>
              <w:top w:val="single" w:sz="4" w:color="FFF5D6"/>
              <w:bottom w:val="single" w:sz="4" w:color="FFF5D6"/>
              <w:start w:val="single" w:sz="4" w:color="FFF5D6"/>
              <w:end w:val="single" w:sz="4" w:color="FFF5D6"/>
            </w:tcBorders>
          </w:tcPr>
          <w:p>
            <w:r>
              <w:rPr>
                <w:rFonts w:ascii="Calibri" w:hAnsi="Calibri"/>
                <w:b/>
                <w:i w:val="0"/>
                <w:color w:val="8A6300"/>
                <w:sz w:val="21"/>
              </w:rPr>
              <w:t>Demo funcional — permisos pendientes</w:t>
            </w:r>
          </w:p>
        </w:tc>
      </w:tr>
    </w:tbl>
    <w:p>
      <w:pPr>
        <w:spacing w:after="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shd w:fill="F4EFF7" w:val="clear"/>
            <w:tcBorders>
              <w:start w:val="single" w:sz="22" w:color="4F2868" w:space="0"/>
              <w:top w:val="nil"/>
              <w:bottom w:val="nil"/>
              <w:end w:val="nil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4F2868"/>
                <w:sz w:val="22"/>
              </w:rPr>
              <w:t xml:space="preserve">Historia de usuario: </w:t>
            </w:r>
            <w:r>
              <w:rPr>
                <w:rFonts w:ascii="Calibri" w:hAnsi="Calibri"/>
                <w:b w:val="0"/>
                <w:i w:val="0"/>
                <w:color w:val="2A1336"/>
                <w:sz w:val="22"/>
              </w:rPr>
              <w:t>Como usuario, quiero conocer mi plan y acceder a beneficios acordes con mi suscripción para entender el valor de pasar a Pro.</w:t>
            </w:r>
          </w:p>
        </w:tc>
      </w:tr>
    </w:tbl>
    <w:p>
      <w:pPr>
        <w:spacing w:after="40"/>
      </w:pPr>
    </w:p>
    <w:p>
      <w:pPr>
        <w:numPr>
          <w:ilvl w:val="0"/>
          <w:numId w:val="10"/>
        </w:numPr>
        <w:spacing w:after="140" w:line="280" w:lineRule="auto"/>
      </w:pPr>
      <w:r>
        <w:rPr>
          <w:rFonts w:ascii="Calibri" w:hAnsi="Calibri"/>
          <w:b/>
          <w:i w:val="0"/>
          <w:color w:val="1E7A46"/>
          <w:sz w:val="22"/>
        </w:rPr>
        <w:t xml:space="preserve">Cumplido: </w:t>
      </w:r>
      <w:r>
        <w:rPr>
          <w:rFonts w:ascii="Calibri" w:hAnsi="Calibri"/>
          <w:b w:val="0"/>
          <w:i w:val="0"/>
          <w:color w:val="2A1336"/>
          <w:sz w:val="22"/>
        </w:rPr>
        <w:t>Mostrar cuenta, planes y beneficios disponibles.</w:t>
      </w:r>
    </w:p>
    <w:p>
      <w:pPr>
        <w:numPr>
          <w:ilvl w:val="0"/>
          <w:numId w:val="10"/>
        </w:numPr>
        <w:spacing w:after="140" w:line="280" w:lineRule="auto"/>
      </w:pPr>
      <w:r>
        <w:rPr>
          <w:rFonts w:ascii="Calibri" w:hAnsi="Calibri"/>
          <w:b/>
          <w:i w:val="0"/>
          <w:color w:val="1E7A46"/>
          <w:sz w:val="22"/>
        </w:rPr>
        <w:t xml:space="preserve">Cumplido: </w:t>
      </w:r>
      <w:r>
        <w:rPr>
          <w:rFonts w:ascii="Calibri" w:hAnsi="Calibri"/>
          <w:b w:val="0"/>
          <w:i w:val="0"/>
          <w:color w:val="2A1336"/>
          <w:sz w:val="22"/>
        </w:rPr>
        <w:t>Presentar contenido restringido y llamadas a suscripción.</w:t>
      </w:r>
    </w:p>
    <w:p>
      <w:pPr>
        <w:numPr>
          <w:ilvl w:val="0"/>
          <w:numId w:val="10"/>
        </w:numPr>
        <w:spacing w:after="140" w:line="280" w:lineRule="auto"/>
      </w:pPr>
      <w:r>
        <w:rPr>
          <w:rFonts w:ascii="Calibri" w:hAnsi="Calibri"/>
          <w:b/>
          <w:i w:val="0"/>
          <w:color w:val="8A6300"/>
          <w:sz w:val="22"/>
        </w:rPr>
        <w:t xml:space="preserve">Parcial: </w:t>
      </w:r>
      <w:r>
        <w:rPr>
          <w:rFonts w:ascii="Calibri" w:hAnsi="Calibri"/>
          <w:b w:val="0"/>
          <w:i w:val="0"/>
          <w:color w:val="2A1336"/>
          <w:sz w:val="22"/>
        </w:rPr>
        <w:t>Aplicar permisos de forma consistente en servidor y base de datos.</w:t>
      </w:r>
    </w:p>
    <w:p>
      <w:pPr>
        <w:spacing w:before="0" w:after="120" w:line="264" w:lineRule="auto"/>
      </w:pPr>
      <w:r>
        <w:rPr>
          <w:rFonts w:ascii="Calibri" w:hAnsi="Calibri"/>
          <w:b/>
          <w:i w:val="0"/>
          <w:color w:val="2A1336"/>
          <w:sz w:val="22"/>
        </w:rPr>
        <w:t xml:space="preserve">Evidencia. </w:t>
      </w:r>
      <w:r>
        <w:rPr>
          <w:rFonts w:ascii="Calibri" w:hAnsi="Calibri"/>
          <w:b w:val="0"/>
          <w:i w:val="0"/>
          <w:color w:val="2A1336"/>
          <w:sz w:val="22"/>
        </w:rPr>
        <w:t>Vistas de cuenta y planes, muro freemium, intereses de plan y checkout de demostración.</w:t>
      </w:r>
    </w:p>
    <w:p>
      <w:pPr>
        <w:spacing w:before="0" w:after="120" w:line="264" w:lineRule="auto"/>
      </w:pPr>
      <w:r>
        <w:rPr>
          <w:rFonts w:ascii="Calibri" w:hAnsi="Calibri"/>
          <w:b/>
          <w:i w:val="0"/>
          <w:color w:val="2A1336"/>
          <w:sz w:val="22"/>
        </w:rPr>
        <w:t xml:space="preserve">Para cerrar. </w:t>
      </w:r>
      <w:r>
        <w:rPr>
          <w:rFonts w:ascii="Calibri" w:hAnsi="Calibri"/>
          <w:b w:val="0"/>
          <w:i w:val="0"/>
          <w:color w:val="2A1336"/>
          <w:sz w:val="22"/>
        </w:rPr>
        <w:t>Validar entitlements, políticas RLS y activación/cancelación del plan.</w:t>
      </w:r>
    </w:p>
    <w:p>
      <w:r>
        <w:br w:type="page"/>
      </w:r>
    </w:p>
    <w:p>
      <w:pPr>
        <w:pStyle w:val="Heading2"/>
        <w:keepNext/>
      </w:pPr>
      <w:r>
        <w:t>HU-F2-03 — Alertas por correo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7860"/>
      </w:tblGrid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6EF" w:val="clear"/>
            <w:tcBorders>
              <w:top w:val="single" w:sz="4" w:color="EAF6EF"/>
              <w:bottom w:val="single" w:sz="4" w:color="EAF6EF"/>
              <w:start w:val="single" w:sz="4" w:color="EAF6EF"/>
              <w:end w:val="single" w:sz="4" w:color="EAF6EF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E7A46"/>
                <w:sz w:val="24"/>
              </w:rPr>
              <w:t>85%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6EF" w:val="clear"/>
            <w:tcBorders>
              <w:top w:val="single" w:sz="4" w:color="EAF6EF"/>
              <w:bottom w:val="single" w:sz="4" w:color="EAF6EF"/>
              <w:start w:val="single" w:sz="4" w:color="EAF6EF"/>
              <w:end w:val="single" w:sz="4" w:color="EAF6EF"/>
            </w:tcBorders>
          </w:tcPr>
          <w:p>
            <w:r>
              <w:rPr>
                <w:rFonts w:ascii="Calibri" w:hAnsi="Calibri"/>
                <w:b/>
                <w:i w:val="0"/>
                <w:color w:val="1E7A46"/>
                <w:sz w:val="21"/>
              </w:rPr>
              <w:t>Operativa — endurecimiento pendiente</w:t>
            </w:r>
          </w:p>
        </w:tc>
      </w:tr>
    </w:tbl>
    <w:p>
      <w:pPr>
        <w:spacing w:after="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shd w:fill="F4EFF7" w:val="clear"/>
            <w:tcBorders>
              <w:start w:val="single" w:sz="22" w:color="4F2868" w:space="0"/>
              <w:top w:val="nil"/>
              <w:bottom w:val="nil"/>
              <w:end w:val="nil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4F2868"/>
                <w:sz w:val="22"/>
              </w:rPr>
              <w:t xml:space="preserve">Historia de usuario: </w:t>
            </w:r>
            <w:r>
              <w:rPr>
                <w:rFonts w:ascii="Calibri" w:hAnsi="Calibri"/>
                <w:b w:val="0"/>
                <w:i w:val="0"/>
                <w:color w:val="2A1336"/>
                <w:sz w:val="22"/>
              </w:rPr>
              <w:t>Como usuario, quiero recibir alertas por correo cuando aparezcan oportunidades compatibles para reaccionar a tiempo.</w:t>
            </w:r>
          </w:p>
        </w:tc>
      </w:tr>
    </w:tbl>
    <w:p>
      <w:pPr>
        <w:spacing w:after="40"/>
      </w:pPr>
    </w:p>
    <w:p>
      <w:pPr>
        <w:numPr>
          <w:ilvl w:val="0"/>
          <w:numId w:val="10"/>
        </w:numPr>
        <w:spacing w:after="140" w:line="280" w:lineRule="auto"/>
      </w:pPr>
      <w:r>
        <w:rPr>
          <w:rFonts w:ascii="Calibri" w:hAnsi="Calibri"/>
          <w:b/>
          <w:i w:val="0"/>
          <w:color w:val="1E7A46"/>
          <w:sz w:val="22"/>
        </w:rPr>
        <w:t xml:space="preserve">Cumplido: </w:t>
      </w:r>
      <w:r>
        <w:rPr>
          <w:rFonts w:ascii="Calibri" w:hAnsi="Calibri"/>
          <w:b w:val="0"/>
          <w:i w:val="0"/>
          <w:color w:val="2A1336"/>
          <w:sz w:val="22"/>
        </w:rPr>
        <w:t>Crear alertas asociadas a preferencias del usuario.</w:t>
      </w:r>
    </w:p>
    <w:p>
      <w:pPr>
        <w:numPr>
          <w:ilvl w:val="0"/>
          <w:numId w:val="10"/>
        </w:numPr>
        <w:spacing w:after="140" w:line="280" w:lineRule="auto"/>
      </w:pPr>
      <w:r>
        <w:rPr>
          <w:rFonts w:ascii="Calibri" w:hAnsi="Calibri"/>
          <w:b/>
          <w:i w:val="0"/>
          <w:color w:val="1E7A46"/>
          <w:sz w:val="22"/>
        </w:rPr>
        <w:t xml:space="preserve">Cumplido: </w:t>
      </w:r>
      <w:r>
        <w:rPr>
          <w:rFonts w:ascii="Calibri" w:hAnsi="Calibri"/>
          <w:b w:val="0"/>
          <w:i w:val="0"/>
          <w:color w:val="2A1336"/>
          <w:sz w:val="22"/>
        </w:rPr>
        <w:t>Enviar un correo profesional mediante Resend.</w:t>
      </w:r>
    </w:p>
    <w:p>
      <w:pPr>
        <w:numPr>
          <w:ilvl w:val="0"/>
          <w:numId w:val="10"/>
        </w:numPr>
        <w:spacing w:after="140" w:line="280" w:lineRule="auto"/>
      </w:pPr>
      <w:r>
        <w:rPr>
          <w:rFonts w:ascii="Calibri" w:hAnsi="Calibri"/>
          <w:b/>
          <w:i w:val="0"/>
          <w:color w:val="8A6300"/>
          <w:sz w:val="22"/>
        </w:rPr>
        <w:t xml:space="preserve">Parcial: </w:t>
      </w:r>
      <w:r>
        <w:rPr>
          <w:rFonts w:ascii="Calibri" w:hAnsi="Calibri"/>
          <w:b w:val="0"/>
          <w:i w:val="0"/>
          <w:color w:val="2A1336"/>
          <w:sz w:val="22"/>
        </w:rPr>
        <w:t>Ejecutar la agenda con idempotencia, métricas y control de rebotes.</w:t>
      </w:r>
    </w:p>
    <w:p>
      <w:pPr>
        <w:spacing w:before="0" w:after="120" w:line="264" w:lineRule="auto"/>
      </w:pPr>
      <w:r>
        <w:rPr>
          <w:rFonts w:ascii="Calibri" w:hAnsi="Calibri"/>
          <w:b/>
          <w:i w:val="0"/>
          <w:color w:val="2A1336"/>
          <w:sz w:val="22"/>
        </w:rPr>
        <w:t xml:space="preserve">Evidencia. </w:t>
      </w:r>
      <w:r>
        <w:rPr>
          <w:rFonts w:ascii="Calibri" w:hAnsi="Calibri"/>
          <w:b w:val="0"/>
          <w:i w:val="0"/>
          <w:color w:val="2A1336"/>
          <w:sz w:val="22"/>
        </w:rPr>
        <w:t>Despacho de alertas, plantilla brandeada y prueba real de correo.</w:t>
      </w:r>
    </w:p>
    <w:p>
      <w:pPr>
        <w:spacing w:before="0" w:after="120" w:line="264" w:lineRule="auto"/>
      </w:pPr>
      <w:r>
        <w:rPr>
          <w:rFonts w:ascii="Calibri" w:hAnsi="Calibri"/>
          <w:b/>
          <w:i w:val="0"/>
          <w:color w:val="2A1336"/>
          <w:sz w:val="22"/>
        </w:rPr>
        <w:t xml:space="preserve">Para cerrar. </w:t>
      </w:r>
      <w:r>
        <w:rPr>
          <w:rFonts w:ascii="Calibri" w:hAnsi="Calibri"/>
          <w:b w:val="0"/>
          <w:i w:val="0"/>
          <w:color w:val="2A1336"/>
          <w:sz w:val="22"/>
        </w:rPr>
        <w:t>Verificar dominio, activar agenda controlada y medir entrega, rebotes y duplicados.</w:t>
      </w:r>
    </w:p>
    <w:p>
      <w:pPr>
        <w:pStyle w:val="Heading2"/>
        <w:keepNext/>
      </w:pPr>
      <w:r>
        <w:t>HU-F2-04 — Administración y operación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7860"/>
      </w:tblGrid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5D6" w:val="clear"/>
            <w:tcBorders>
              <w:top w:val="single" w:sz="4" w:color="FFF5D6"/>
              <w:bottom w:val="single" w:sz="4" w:color="FFF5D6"/>
              <w:start w:val="single" w:sz="4" w:color="FFF5D6"/>
              <w:end w:val="single" w:sz="4" w:color="FFF5D6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8A6300"/>
                <w:sz w:val="24"/>
              </w:rPr>
              <w:t>70%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5D6" w:val="clear"/>
            <w:tcBorders>
              <w:top w:val="single" w:sz="4" w:color="FFF5D6"/>
              <w:bottom w:val="single" w:sz="4" w:color="FFF5D6"/>
              <w:start w:val="single" w:sz="4" w:color="FFF5D6"/>
              <w:end w:val="single" w:sz="4" w:color="FFF5D6"/>
            </w:tcBorders>
          </w:tcPr>
          <w:p>
            <w:r>
              <w:rPr>
                <w:rFonts w:ascii="Calibri" w:hAnsi="Calibri"/>
                <w:b/>
                <w:i w:val="0"/>
                <w:color w:val="8A6300"/>
                <w:sz w:val="21"/>
              </w:rPr>
              <w:t>Parcial — apta para piloto interno</w:t>
            </w:r>
          </w:p>
        </w:tc>
      </w:tr>
    </w:tbl>
    <w:p>
      <w:pPr>
        <w:spacing w:after="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shd w:fill="F4EFF7" w:val="clear"/>
            <w:tcBorders>
              <w:start w:val="single" w:sz="22" w:color="4F2868" w:space="0"/>
              <w:top w:val="nil"/>
              <w:bottom w:val="nil"/>
              <w:end w:val="nil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4F2868"/>
                <w:sz w:val="22"/>
              </w:rPr>
              <w:t xml:space="preserve">Historia de usuario: </w:t>
            </w:r>
            <w:r>
              <w:rPr>
                <w:rFonts w:ascii="Calibri" w:hAnsi="Calibri"/>
                <w:b w:val="0"/>
                <w:i w:val="0"/>
                <w:color w:val="2A1336"/>
                <w:sz w:val="22"/>
              </w:rPr>
              <w:t>Como administrador, quiero revisar usuarios, intereses y estado operativo para controlar el servicio.</w:t>
            </w:r>
          </w:p>
        </w:tc>
      </w:tr>
    </w:tbl>
    <w:p>
      <w:pPr>
        <w:spacing w:after="40"/>
      </w:pPr>
    </w:p>
    <w:p>
      <w:pPr>
        <w:numPr>
          <w:ilvl w:val="0"/>
          <w:numId w:val="10"/>
        </w:numPr>
        <w:spacing w:after="140" w:line="280" w:lineRule="auto"/>
      </w:pPr>
      <w:r>
        <w:rPr>
          <w:rFonts w:ascii="Calibri" w:hAnsi="Calibri"/>
          <w:b/>
          <w:i w:val="0"/>
          <w:color w:val="1E7A46"/>
          <w:sz w:val="22"/>
        </w:rPr>
        <w:t xml:space="preserve">Cumplido: </w:t>
      </w:r>
      <w:r>
        <w:rPr>
          <w:rFonts w:ascii="Calibri" w:hAnsi="Calibri"/>
          <w:b w:val="0"/>
          <w:i w:val="0"/>
          <w:color w:val="2A1336"/>
          <w:sz w:val="22"/>
        </w:rPr>
        <w:t>Consultar información de cuenta e intereses de plan.</w:t>
      </w:r>
    </w:p>
    <w:p>
      <w:pPr>
        <w:numPr>
          <w:ilvl w:val="0"/>
          <w:numId w:val="10"/>
        </w:numPr>
        <w:spacing w:after="140" w:line="280" w:lineRule="auto"/>
      </w:pPr>
      <w:r>
        <w:rPr>
          <w:rFonts w:ascii="Calibri" w:hAnsi="Calibri"/>
          <w:b/>
          <w:i w:val="0"/>
          <w:color w:val="8A6300"/>
          <w:sz w:val="22"/>
        </w:rPr>
        <w:t xml:space="preserve">Parcial: </w:t>
      </w:r>
      <w:r>
        <w:rPr>
          <w:rFonts w:ascii="Calibri" w:hAnsi="Calibri"/>
          <w:b w:val="0"/>
          <w:i w:val="0"/>
          <w:color w:val="2A1336"/>
          <w:sz w:val="22"/>
        </w:rPr>
        <w:t>Restringir las funciones administrativas por rol.</w:t>
      </w:r>
    </w:p>
    <w:p>
      <w:pPr>
        <w:numPr>
          <w:ilvl w:val="0"/>
          <w:numId w:val="10"/>
        </w:numPr>
        <w:spacing w:after="140" w:line="280" w:lineRule="auto"/>
      </w:pPr>
      <w:r>
        <w:rPr>
          <w:rFonts w:ascii="Calibri" w:hAnsi="Calibri"/>
          <w:b/>
          <w:i w:val="0"/>
          <w:color w:val="8A6300"/>
          <w:sz w:val="22"/>
        </w:rPr>
        <w:t xml:space="preserve">Parcial: </w:t>
      </w:r>
      <w:r>
        <w:rPr>
          <w:rFonts w:ascii="Calibri" w:hAnsi="Calibri"/>
          <w:b w:val="0"/>
          <w:i w:val="0"/>
          <w:color w:val="2A1336"/>
          <w:sz w:val="22"/>
        </w:rPr>
        <w:t>Registrar auditoría de cambios y eventos operativos.</w:t>
      </w:r>
    </w:p>
    <w:p>
      <w:pPr>
        <w:spacing w:before="0" w:after="120" w:line="264" w:lineRule="auto"/>
      </w:pPr>
      <w:r>
        <w:rPr>
          <w:rFonts w:ascii="Calibri" w:hAnsi="Calibri"/>
          <w:b/>
          <w:i w:val="0"/>
          <w:color w:val="2A1336"/>
          <w:sz w:val="22"/>
        </w:rPr>
        <w:t xml:space="preserve">Evidencia. </w:t>
      </w:r>
      <w:r>
        <w:rPr>
          <w:rFonts w:ascii="Calibri" w:hAnsi="Calibri"/>
          <w:b w:val="0"/>
          <w:i w:val="0"/>
          <w:color w:val="2A1336"/>
          <w:sz w:val="22"/>
        </w:rPr>
        <w:t>Servicios de cuenta, administración comercial, estadísticas y logs de scraping.</w:t>
      </w:r>
    </w:p>
    <w:p>
      <w:pPr>
        <w:spacing w:before="0" w:after="120" w:line="264" w:lineRule="auto"/>
      </w:pPr>
      <w:r>
        <w:rPr>
          <w:rFonts w:ascii="Calibri" w:hAnsi="Calibri"/>
          <w:b/>
          <w:i w:val="0"/>
          <w:color w:val="2A1336"/>
          <w:sz w:val="22"/>
        </w:rPr>
        <w:t xml:space="preserve">Para cerrar. </w:t>
      </w:r>
      <w:r>
        <w:rPr>
          <w:rFonts w:ascii="Calibri" w:hAnsi="Calibri"/>
          <w:b w:val="0"/>
          <w:i w:val="0"/>
          <w:color w:val="2A1336"/>
          <w:sz w:val="22"/>
        </w:rPr>
        <w:t>Cerrar roles, auditoría, indicadores operativos y prueba piloto con un administrador.</w:t>
      </w:r>
    </w:p>
    <w:p>
      <w:r>
        <w:br w:type="page"/>
      </w:r>
    </w:p>
    <w:p>
      <w:pPr>
        <w:pStyle w:val="Heading2"/>
        <w:keepNext/>
      </w:pPr>
      <w:r>
        <w:t>HU-F2-05 — Comparables de arriendo y rentabilidad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7860"/>
      </w:tblGrid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5D6" w:val="clear"/>
            <w:tcBorders>
              <w:top w:val="single" w:sz="4" w:color="FFF5D6"/>
              <w:bottom w:val="single" w:sz="4" w:color="FFF5D6"/>
              <w:start w:val="single" w:sz="4" w:color="FFF5D6"/>
              <w:end w:val="single" w:sz="4" w:color="FFF5D6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8A6300"/>
                <w:sz w:val="24"/>
              </w:rPr>
              <w:t>68%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5D6" w:val="clear"/>
            <w:tcBorders>
              <w:top w:val="single" w:sz="4" w:color="FFF5D6"/>
              <w:bottom w:val="single" w:sz="4" w:color="FFF5D6"/>
              <w:start w:val="single" w:sz="4" w:color="FFF5D6"/>
              <w:end w:val="single" w:sz="4" w:color="FFF5D6"/>
            </w:tcBorders>
          </w:tcPr>
          <w:p>
            <w:r>
              <w:rPr>
                <w:rFonts w:ascii="Calibri" w:hAnsi="Calibri"/>
                <w:b/>
                <w:i w:val="0"/>
                <w:color w:val="8A6300"/>
                <w:sz w:val="21"/>
              </w:rPr>
              <w:t>Piloto — cobertura por consolidar</w:t>
            </w:r>
          </w:p>
        </w:tc>
      </w:tr>
    </w:tbl>
    <w:p>
      <w:pPr>
        <w:spacing w:after="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shd w:fill="F4EFF7" w:val="clear"/>
            <w:tcBorders>
              <w:start w:val="single" w:sz="22" w:color="4F2868" w:space="0"/>
              <w:top w:val="nil"/>
              <w:bottom w:val="nil"/>
              <w:end w:val="nil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4F2868"/>
                <w:sz w:val="22"/>
              </w:rPr>
              <w:t xml:space="preserve">Historia de usuario: </w:t>
            </w:r>
            <w:r>
              <w:rPr>
                <w:rFonts w:ascii="Calibri" w:hAnsi="Calibri"/>
                <w:b w:val="0"/>
                <w:i w:val="0"/>
                <w:color w:val="2A1336"/>
                <w:sz w:val="22"/>
              </w:rPr>
              <w:t>Como inversionista, quiero estimar el canon de arriendo de una propiedad y su rentabilidad con comparables similares para tomar una decisión más completa.</w:t>
            </w:r>
          </w:p>
        </w:tc>
      </w:tr>
    </w:tbl>
    <w:p>
      <w:pPr>
        <w:spacing w:after="40"/>
      </w:pPr>
    </w:p>
    <w:p>
      <w:pPr>
        <w:numPr>
          <w:ilvl w:val="0"/>
          <w:numId w:val="10"/>
        </w:numPr>
        <w:spacing w:after="140" w:line="280" w:lineRule="auto"/>
      </w:pPr>
      <w:r>
        <w:rPr>
          <w:rFonts w:ascii="Calibri" w:hAnsi="Calibri"/>
          <w:b/>
          <w:i w:val="0"/>
          <w:color w:val="1E7A46"/>
          <w:sz w:val="22"/>
        </w:rPr>
        <w:t xml:space="preserve">Cumplido: </w:t>
      </w:r>
      <w:r>
        <w:rPr>
          <w:rFonts w:ascii="Calibri" w:hAnsi="Calibri"/>
          <w:b w:val="0"/>
          <w:i w:val="0"/>
          <w:color w:val="2A1336"/>
          <w:sz w:val="22"/>
        </w:rPr>
        <w:t>Separar ofertas de venta y arriendo y almacenar el canon.</w:t>
      </w:r>
    </w:p>
    <w:p>
      <w:pPr>
        <w:numPr>
          <w:ilvl w:val="0"/>
          <w:numId w:val="10"/>
        </w:numPr>
        <w:spacing w:after="140" w:line="280" w:lineRule="auto"/>
      </w:pPr>
      <w:r>
        <w:rPr>
          <w:rFonts w:ascii="Calibri" w:hAnsi="Calibri"/>
          <w:b/>
          <w:i w:val="0"/>
          <w:color w:val="1E7A46"/>
          <w:sz w:val="22"/>
        </w:rPr>
        <w:t xml:space="preserve">Cumplido: </w:t>
      </w:r>
      <w:r>
        <w:rPr>
          <w:rFonts w:ascii="Calibri" w:hAnsi="Calibri"/>
          <w:b w:val="0"/>
          <w:i w:val="0"/>
          <w:color w:val="2A1336"/>
          <w:sz w:val="22"/>
        </w:rPr>
        <w:t>Calcular comparables de alquiler y una estimación de rentabilidad.</w:t>
      </w:r>
    </w:p>
    <w:p>
      <w:pPr>
        <w:numPr>
          <w:ilvl w:val="0"/>
          <w:numId w:val="10"/>
        </w:numPr>
        <w:spacing w:after="140" w:line="280" w:lineRule="auto"/>
      </w:pPr>
      <w:r>
        <w:rPr>
          <w:rFonts w:ascii="Calibri" w:hAnsi="Calibri"/>
          <w:b/>
          <w:i w:val="0"/>
          <w:color w:val="8A6300"/>
          <w:sz w:val="22"/>
        </w:rPr>
        <w:t xml:space="preserve">Parcial: </w:t>
      </w:r>
      <w:r>
        <w:rPr>
          <w:rFonts w:ascii="Calibri" w:hAnsi="Calibri"/>
          <w:b w:val="0"/>
          <w:i w:val="0"/>
          <w:color w:val="2A1336"/>
          <w:sz w:val="22"/>
        </w:rPr>
        <w:t>Mostrar cobertura, muestra mínima y nivel de confianza.</w:t>
      </w:r>
    </w:p>
    <w:p>
      <w:pPr>
        <w:spacing w:before="0" w:after="120" w:line="264" w:lineRule="auto"/>
      </w:pPr>
      <w:r>
        <w:rPr>
          <w:rFonts w:ascii="Calibri" w:hAnsi="Calibri"/>
          <w:b/>
          <w:i w:val="0"/>
          <w:color w:val="2A1336"/>
          <w:sz w:val="22"/>
        </w:rPr>
        <w:t xml:space="preserve">Evidencia. </w:t>
      </w:r>
      <w:r>
        <w:rPr>
          <w:rFonts w:ascii="Calibri" w:hAnsi="Calibri"/>
          <w:b w:val="0"/>
          <w:i w:val="0"/>
          <w:color w:val="2A1336"/>
          <w:sz w:val="22"/>
        </w:rPr>
        <w:t>Piloto para Medellín —seis barrios—, Bucaramanga, Pereira y Manizales; recorrido E2E de rentabilidad aprobado.</w:t>
      </w:r>
    </w:p>
    <w:p>
      <w:pPr>
        <w:spacing w:before="0" w:after="120" w:line="264" w:lineRule="auto"/>
      </w:pPr>
      <w:r>
        <w:rPr>
          <w:rFonts w:ascii="Calibri" w:hAnsi="Calibri"/>
          <w:b/>
          <w:i w:val="0"/>
          <w:color w:val="2A1336"/>
          <w:sz w:val="22"/>
        </w:rPr>
        <w:t xml:space="preserve">Para cerrar. </w:t>
      </w:r>
      <w:r>
        <w:rPr>
          <w:rFonts w:ascii="Calibri" w:hAnsi="Calibri"/>
          <w:b w:val="0"/>
          <w:i w:val="0"/>
          <w:color w:val="2A1336"/>
          <w:sz w:val="22"/>
        </w:rPr>
        <w:t>Ejecutar ingestas recurrentes, medir cobertura y aprobar reglas de muestra y confianza.</w:t>
      </w:r>
    </w:p>
    <w:p>
      <w:pPr>
        <w:pStyle w:val="Heading2"/>
        <w:keepNext/>
      </w:pPr>
      <w:r>
        <w:t>HU-F2-06 — Pago y activación de plan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7860"/>
      </w:tblGrid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5D6" w:val="clear"/>
            <w:tcBorders>
              <w:top w:val="single" w:sz="4" w:color="FFF5D6"/>
              <w:bottom w:val="single" w:sz="4" w:color="FFF5D6"/>
              <w:start w:val="single" w:sz="4" w:color="FFF5D6"/>
              <w:end w:val="single" w:sz="4" w:color="FFF5D6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8A6300"/>
                <w:sz w:val="24"/>
              </w:rPr>
              <w:t>35%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5D6" w:val="clear"/>
            <w:tcBorders>
              <w:top w:val="single" w:sz="4" w:color="FFF5D6"/>
              <w:bottom w:val="single" w:sz="4" w:color="FFF5D6"/>
              <w:start w:val="single" w:sz="4" w:color="FFF5D6"/>
              <w:end w:val="single" w:sz="4" w:color="FFF5D6"/>
            </w:tcBorders>
          </w:tcPr>
          <w:p>
            <w:r>
              <w:rPr>
                <w:rFonts w:ascii="Calibri" w:hAnsi="Calibri"/>
                <w:b/>
                <w:i w:val="0"/>
                <w:color w:val="8A6300"/>
                <w:sz w:val="21"/>
              </w:rPr>
              <w:t>Preparada — bloqueada por datos del comercio</w:t>
            </w:r>
          </w:p>
        </w:tc>
      </w:tr>
    </w:tbl>
    <w:p>
      <w:pPr>
        <w:spacing w:after="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shd w:fill="F4EFF7" w:val="clear"/>
            <w:tcBorders>
              <w:start w:val="single" w:sz="22" w:color="4F2868" w:space="0"/>
              <w:top w:val="nil"/>
              <w:bottom w:val="nil"/>
              <w:end w:val="nil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4F2868"/>
                <w:sz w:val="22"/>
              </w:rPr>
              <w:t xml:space="preserve">Historia de usuario: </w:t>
            </w:r>
            <w:r>
              <w:rPr>
                <w:rFonts w:ascii="Calibri" w:hAnsi="Calibri"/>
                <w:b w:val="0"/>
                <w:i w:val="0"/>
                <w:color w:val="2A1336"/>
                <w:sz w:val="22"/>
              </w:rPr>
              <w:t>Como usuario, quiero pagar un plan de forma segura para activar los beneficios Pro.</w:t>
            </w:r>
          </w:p>
        </w:tc>
      </w:tr>
    </w:tbl>
    <w:p>
      <w:pPr>
        <w:spacing w:after="40"/>
      </w:pPr>
    </w:p>
    <w:p>
      <w:pPr>
        <w:numPr>
          <w:ilvl w:val="0"/>
          <w:numId w:val="10"/>
        </w:numPr>
        <w:spacing w:after="140" w:line="280" w:lineRule="auto"/>
      </w:pPr>
      <w:r>
        <w:rPr>
          <w:rFonts w:ascii="Calibri" w:hAnsi="Calibri"/>
          <w:b/>
          <w:i w:val="0"/>
          <w:color w:val="1E7A46"/>
          <w:sz w:val="22"/>
        </w:rPr>
        <w:t xml:space="preserve">Cumplido: </w:t>
      </w:r>
      <w:r>
        <w:rPr>
          <w:rFonts w:ascii="Calibri" w:hAnsi="Calibri"/>
          <w:b w:val="0"/>
          <w:i w:val="0"/>
          <w:color w:val="2A1336"/>
          <w:sz w:val="22"/>
        </w:rPr>
        <w:t>Preparar la experiencia de checkout y el flujo de demostración.</w:t>
      </w:r>
    </w:p>
    <w:p>
      <w:pPr>
        <w:numPr>
          <w:ilvl w:val="0"/>
          <w:numId w:val="10"/>
        </w:numPr>
        <w:spacing w:after="140" w:line="280" w:lineRule="auto"/>
      </w:pPr>
      <w:r>
        <w:rPr>
          <w:rFonts w:ascii="Calibri" w:hAnsi="Calibri"/>
          <w:b/>
          <w:i w:val="0"/>
          <w:color w:val="8A6300"/>
          <w:sz w:val="22"/>
        </w:rPr>
        <w:t xml:space="preserve">Parcial: </w:t>
      </w:r>
      <w:r>
        <w:rPr>
          <w:rFonts w:ascii="Calibri" w:hAnsi="Calibri"/>
          <w:b w:val="0"/>
          <w:i w:val="0"/>
          <w:color w:val="2A1336"/>
          <w:sz w:val="22"/>
        </w:rPr>
        <w:t>Integrar Wompi Sandbox con credenciales legítimas.</w:t>
      </w:r>
    </w:p>
    <w:p>
      <w:pPr>
        <w:numPr>
          <w:ilvl w:val="0"/>
          <w:numId w:val="10"/>
        </w:numPr>
        <w:spacing w:after="140" w:line="280" w:lineRule="auto"/>
      </w:pPr>
      <w:r>
        <w:rPr>
          <w:rFonts w:ascii="Calibri" w:hAnsi="Calibri"/>
          <w:b/>
          <w:i w:val="0"/>
          <w:color w:val="9B1C1C"/>
          <w:sz w:val="22"/>
        </w:rPr>
        <w:t xml:space="preserve">Pendiente: </w:t>
      </w:r>
      <w:r>
        <w:rPr>
          <w:rFonts w:ascii="Calibri" w:hAnsi="Calibri"/>
          <w:b w:val="0"/>
          <w:i w:val="0"/>
          <w:color w:val="2A1336"/>
          <w:sz w:val="22"/>
        </w:rPr>
        <w:t>Validar webhook, conciliación y activación idempotente del plan.</w:t>
      </w:r>
    </w:p>
    <w:p>
      <w:pPr>
        <w:spacing w:before="0" w:after="120" w:line="264" w:lineRule="auto"/>
      </w:pPr>
      <w:r>
        <w:rPr>
          <w:rFonts w:ascii="Calibri" w:hAnsi="Calibri"/>
          <w:b/>
          <w:i w:val="0"/>
          <w:color w:val="2A1336"/>
          <w:sz w:val="22"/>
        </w:rPr>
        <w:t xml:space="preserve">Evidencia. </w:t>
      </w:r>
      <w:r>
        <w:rPr>
          <w:rFonts w:ascii="Calibri" w:hAnsi="Calibri"/>
          <w:b w:val="0"/>
          <w:i w:val="0"/>
          <w:color w:val="2A1336"/>
          <w:sz w:val="22"/>
        </w:rPr>
        <w:t>Pantalla y flujo de checkout de demostración listos.</w:t>
      </w:r>
    </w:p>
    <w:p>
      <w:pPr>
        <w:spacing w:before="0" w:after="120" w:line="264" w:lineRule="auto"/>
      </w:pPr>
      <w:r>
        <w:rPr>
          <w:rFonts w:ascii="Calibri" w:hAnsi="Calibri"/>
          <w:b/>
          <w:i w:val="0"/>
          <w:color w:val="2A1336"/>
          <w:sz w:val="22"/>
        </w:rPr>
        <w:t xml:space="preserve">Para cerrar. </w:t>
      </w:r>
      <w:r>
        <w:rPr>
          <w:rFonts w:ascii="Calibri" w:hAnsi="Calibri"/>
          <w:b w:val="0"/>
          <w:i w:val="0"/>
          <w:color w:val="2A1336"/>
          <w:sz w:val="22"/>
        </w:rPr>
        <w:t>Retomar únicamente cuando existan datos reales del comercio; completar transacción Sandbox y webhook firmado.</w:t>
      </w:r>
    </w:p>
    <w:p>
      <w:r>
        <w:br w:type="page"/>
      </w:r>
    </w:p>
    <w:p>
      <w:pPr>
        <w:pStyle w:val="Heading2"/>
        <w:keepNext/>
      </w:pPr>
      <w:r>
        <w:t>HU-F2-07 — Filtros y navegación responsive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7860"/>
      </w:tblGrid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6EF" w:val="clear"/>
            <w:tcBorders>
              <w:top w:val="single" w:sz="4" w:color="EAF6EF"/>
              <w:bottom w:val="single" w:sz="4" w:color="EAF6EF"/>
              <w:start w:val="single" w:sz="4" w:color="EAF6EF"/>
              <w:end w:val="single" w:sz="4" w:color="EAF6EF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E7A46"/>
                <w:sz w:val="24"/>
              </w:rPr>
              <w:t>95%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6EF" w:val="clear"/>
            <w:tcBorders>
              <w:top w:val="single" w:sz="4" w:color="EAF6EF"/>
              <w:bottom w:val="single" w:sz="4" w:color="EAF6EF"/>
              <w:start w:val="single" w:sz="4" w:color="EAF6EF"/>
              <w:end w:val="single" w:sz="4" w:color="EAF6EF"/>
            </w:tcBorders>
          </w:tcPr>
          <w:p>
            <w:r>
              <w:rPr>
                <w:rFonts w:ascii="Calibri" w:hAnsi="Calibri"/>
                <w:b/>
                <w:i w:val="0"/>
                <w:color w:val="1E7A46"/>
                <w:sz w:val="21"/>
              </w:rPr>
              <w:t>Desplegada — validación con usuarios pendiente</w:t>
            </w:r>
          </w:p>
        </w:tc>
      </w:tr>
    </w:tbl>
    <w:p>
      <w:pPr>
        <w:spacing w:after="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shd w:fill="F4EFF7" w:val="clear"/>
            <w:tcBorders>
              <w:start w:val="single" w:sz="22" w:color="4F2868" w:space="0"/>
              <w:top w:val="nil"/>
              <w:bottom w:val="nil"/>
              <w:end w:val="nil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4F2868"/>
                <w:sz w:val="22"/>
              </w:rPr>
              <w:t xml:space="preserve">Historia de usuario: </w:t>
            </w:r>
            <w:r>
              <w:rPr>
                <w:rFonts w:ascii="Calibri" w:hAnsi="Calibri"/>
                <w:b w:val="0"/>
                <w:i w:val="0"/>
                <w:color w:val="2A1336"/>
                <w:sz w:val="22"/>
              </w:rPr>
              <w:t>Como usuario, quiero filtrar oportunidades con controles claros en desktop y móvil para encontrar propiedades con menos esfuerzo.</w:t>
            </w:r>
          </w:p>
        </w:tc>
      </w:tr>
    </w:tbl>
    <w:p>
      <w:pPr>
        <w:spacing w:after="40"/>
      </w:pPr>
    </w:p>
    <w:p>
      <w:pPr>
        <w:numPr>
          <w:ilvl w:val="0"/>
          <w:numId w:val="10"/>
        </w:numPr>
        <w:spacing w:after="140" w:line="280" w:lineRule="auto"/>
      </w:pPr>
      <w:r>
        <w:rPr>
          <w:rFonts w:ascii="Calibri" w:hAnsi="Calibri"/>
          <w:b/>
          <w:i w:val="0"/>
          <w:color w:val="1E7A46"/>
          <w:sz w:val="22"/>
        </w:rPr>
        <w:t xml:space="preserve">Cumplido: </w:t>
      </w:r>
      <w:r>
        <w:rPr>
          <w:rFonts w:ascii="Calibri" w:hAnsi="Calibri"/>
          <w:b w:val="0"/>
          <w:i w:val="0"/>
          <w:color w:val="2A1336"/>
          <w:sz w:val="22"/>
        </w:rPr>
        <w:t>Usar un panel lateral de filtros en desktop aprovechando el espacio disponible.</w:t>
      </w:r>
    </w:p>
    <w:p>
      <w:pPr>
        <w:numPr>
          <w:ilvl w:val="0"/>
          <w:numId w:val="10"/>
        </w:numPr>
        <w:spacing w:after="140" w:line="280" w:lineRule="auto"/>
      </w:pPr>
      <w:r>
        <w:rPr>
          <w:rFonts w:ascii="Calibri" w:hAnsi="Calibri"/>
          <w:b/>
          <w:i w:val="0"/>
          <w:color w:val="1E7A46"/>
          <w:sz w:val="22"/>
        </w:rPr>
        <w:t xml:space="preserve">Cumplido: </w:t>
      </w:r>
      <w:r>
        <w:rPr>
          <w:rFonts w:ascii="Calibri" w:hAnsi="Calibri"/>
          <w:b w:val="0"/>
          <w:i w:val="0"/>
          <w:color w:val="2A1336"/>
          <w:sz w:val="22"/>
        </w:rPr>
        <w:t>Adaptar los filtros y resultados a móvil sin perder el contexto.</w:t>
      </w:r>
    </w:p>
    <w:p>
      <w:pPr>
        <w:numPr>
          <w:ilvl w:val="0"/>
          <w:numId w:val="10"/>
        </w:numPr>
        <w:spacing w:after="140" w:line="280" w:lineRule="auto"/>
      </w:pPr>
      <w:r>
        <w:rPr>
          <w:rFonts w:ascii="Calibri" w:hAnsi="Calibri"/>
          <w:b/>
          <w:i w:val="0"/>
          <w:color w:val="8A6300"/>
          <w:sz w:val="22"/>
        </w:rPr>
        <w:t xml:space="preserve">Parcial: </w:t>
      </w:r>
      <w:r>
        <w:rPr>
          <w:rFonts w:ascii="Calibri" w:hAnsi="Calibri"/>
          <w:b w:val="0"/>
          <w:i w:val="0"/>
          <w:color w:val="2A1336"/>
          <w:sz w:val="22"/>
        </w:rPr>
        <w:t>Validar accesibilidad y comprensión con usuarios representativos.</w:t>
      </w:r>
    </w:p>
    <w:p>
      <w:pPr>
        <w:spacing w:before="0" w:after="120" w:line="264" w:lineRule="auto"/>
      </w:pPr>
      <w:r>
        <w:rPr>
          <w:rFonts w:ascii="Calibri" w:hAnsi="Calibri"/>
          <w:b/>
          <w:i w:val="0"/>
          <w:color w:val="2A1336"/>
          <w:sz w:val="22"/>
        </w:rPr>
        <w:t xml:space="preserve">Evidencia. </w:t>
      </w:r>
      <w:r>
        <w:rPr>
          <w:rFonts w:ascii="Calibri" w:hAnsi="Calibri"/>
          <w:b w:val="0"/>
          <w:i w:val="0"/>
          <w:color w:val="2A1336"/>
          <w:sz w:val="22"/>
        </w:rPr>
        <w:t>Panel lateral ampliado, filtros responsive y recorridos E2E de búsqueda aprobados.</w:t>
      </w:r>
    </w:p>
    <w:p>
      <w:pPr>
        <w:spacing w:before="0" w:after="120" w:line="264" w:lineRule="auto"/>
      </w:pPr>
      <w:r>
        <w:rPr>
          <w:rFonts w:ascii="Calibri" w:hAnsi="Calibri"/>
          <w:b/>
          <w:i w:val="0"/>
          <w:color w:val="2A1336"/>
          <w:sz w:val="22"/>
        </w:rPr>
        <w:t xml:space="preserve">Para cerrar. </w:t>
      </w:r>
      <w:r>
        <w:rPr>
          <w:rFonts w:ascii="Calibri" w:hAnsi="Calibri"/>
          <w:b w:val="0"/>
          <w:i w:val="0"/>
          <w:color w:val="2A1336"/>
          <w:sz w:val="22"/>
        </w:rPr>
        <w:t>Ejecutar una sesión de usabilidad y cerrar hallazgos WCAG prioritarios.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shd w:fill="FFF9D9" w:val="clear"/>
            <w:tcBorders>
              <w:start w:val="single" w:sz="22" w:color="8A6300" w:space="0"/>
              <w:top w:val="nil"/>
              <w:bottom w:val="nil"/>
              <w:end w:val="nil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8A6300"/>
                <w:sz w:val="22"/>
              </w:rPr>
              <w:t xml:space="preserve">Alcance transversal de Fase 2: </w:t>
            </w:r>
            <w:r>
              <w:rPr>
                <w:rFonts w:ascii="Calibri" w:hAnsi="Calibri"/>
                <w:b w:val="0"/>
                <w:i w:val="0"/>
                <w:color w:val="2A1336"/>
                <w:sz w:val="22"/>
              </w:rPr>
              <w:t>El despliegue público, la seguridad de credenciales, la observabilidad y la robustez de producción son habilitadores técnicos de estas HU. Se reportan como condiciones de salida, no como historias independientes, para evitar duplicar el porcentaje.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5. Próximos pasos vinculados a las HU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750"/>
        <w:gridCol w:w="3050"/>
        <w:gridCol w:w="4110"/>
      </w:tblGrid>
      <w:tr>
        <w:trPr>
          <w:tblHeader w:val="true"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A1336" w:val="clea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HU</w:t>
            </w:r>
          </w:p>
        </w:tc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A1336" w:val="clea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Prio.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A1336" w:val="clea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Próxima acción</w:t>
            </w:r>
          </w:p>
        </w:tc>
        <w:tc>
          <w:tcPr>
            <w:tcW w:type="dxa" w:w="4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A1336" w:val="clea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Criterio de cierre</w:t>
            </w:r>
          </w:p>
        </w:tc>
      </w:tr>
      <w:tr>
        <w:tc>
          <w:tcPr>
            <w:tcW w:type="dxa" w:w="145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2A1336"/>
                <w:sz w:val="17"/>
              </w:rPr>
              <w:t>Todas</w:t>
            </w:r>
          </w:p>
        </w:tc>
        <w:tc>
          <w:tcPr>
            <w:tcW w:type="dxa" w:w="750"/>
            <w:shd w:fill="FDECEC" w:val="clea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2A1336"/>
                <w:sz w:val="17"/>
              </w:rPr>
              <w:t>P0</w:t>
            </w:r>
          </w:p>
        </w:tc>
        <w:tc>
          <w:tcPr>
            <w:tcW w:type="dxa" w:w="305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A1336"/>
                <w:sz w:val="17"/>
              </w:rPr>
              <w:t>Validar esta matriz y convertirla en backlog oficial.</w:t>
            </w:r>
          </w:p>
        </w:tc>
        <w:tc>
          <w:tcPr>
            <w:tcW w:type="dxa" w:w="411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A1336"/>
                <w:sz w:val="17"/>
              </w:rPr>
              <w:t>Cada HU tiene redacción, criterios, prioridad y aprobación.</w:t>
            </w:r>
          </w:p>
        </w:tc>
      </w:tr>
      <w:tr>
        <w:tc>
          <w:tcPr>
            <w:tcW w:type="dxa" w:w="145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2A1336"/>
                <w:sz w:val="17"/>
              </w:rPr>
              <w:t>HU-F1-02/03</w:t>
            </w:r>
          </w:p>
        </w:tc>
        <w:tc>
          <w:tcPr>
            <w:tcW w:type="dxa" w:w="750"/>
            <w:shd w:fill="FDECEC" w:val="clea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2A1336"/>
                <w:sz w:val="17"/>
              </w:rPr>
              <w:t>P0</w:t>
            </w:r>
          </w:p>
        </w:tc>
        <w:tc>
          <w:tcPr>
            <w:tcW w:type="dxa" w:w="305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A1336"/>
                <w:sz w:val="17"/>
              </w:rPr>
              <w:t>Uniformar eventos de ciclo de vida Portal y Bancos.</w:t>
            </w:r>
          </w:p>
        </w:tc>
        <w:tc>
          <w:tcPr>
            <w:tcW w:type="dxa" w:w="411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A1336"/>
                <w:sz w:val="17"/>
              </w:rPr>
              <w:t>Las muestras tienen historial completo y reproducible.</w:t>
            </w:r>
          </w:p>
        </w:tc>
      </w:tr>
      <w:tr>
        <w:tc>
          <w:tcPr>
            <w:tcW w:type="dxa" w:w="145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2A1336"/>
                <w:sz w:val="17"/>
              </w:rPr>
              <w:t>HU-F1-04</w:t>
            </w:r>
          </w:p>
        </w:tc>
        <w:tc>
          <w:tcPr>
            <w:tcW w:type="dxa" w:w="750"/>
            <w:shd w:fill="FFF5D6" w:val="clea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2A1336"/>
                <w:sz w:val="17"/>
              </w:rPr>
              <w:t>P1</w:t>
            </w:r>
          </w:p>
        </w:tc>
        <w:tc>
          <w:tcPr>
            <w:tcW w:type="dxa" w:w="305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A1336"/>
                <w:sz w:val="17"/>
              </w:rPr>
              <w:t>Cerrar normalización y comparación de boletines AVAL.</w:t>
            </w:r>
          </w:p>
        </w:tc>
        <w:tc>
          <w:tcPr>
            <w:tcW w:type="dxa" w:w="411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A1336"/>
                <w:sz w:val="17"/>
              </w:rPr>
              <w:t>Ciudades, duplicados y cambios quedan trazables.</w:t>
            </w:r>
          </w:p>
        </w:tc>
      </w:tr>
      <w:tr>
        <w:tc>
          <w:tcPr>
            <w:tcW w:type="dxa" w:w="145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2A1336"/>
                <w:sz w:val="17"/>
              </w:rPr>
              <w:t>HU-F2-05</w:t>
            </w:r>
          </w:p>
        </w:tc>
        <w:tc>
          <w:tcPr>
            <w:tcW w:type="dxa" w:w="750"/>
            <w:shd w:fill="FFF5D6" w:val="clea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2A1336"/>
                <w:sz w:val="17"/>
              </w:rPr>
              <w:t>P1</w:t>
            </w:r>
          </w:p>
        </w:tc>
        <w:tc>
          <w:tcPr>
            <w:tcW w:type="dxa" w:w="305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A1336"/>
                <w:sz w:val="17"/>
              </w:rPr>
              <w:t>Consolidar piloto de arriendos.</w:t>
            </w:r>
          </w:p>
        </w:tc>
        <w:tc>
          <w:tcPr>
            <w:tcW w:type="dxa" w:w="411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A1336"/>
                <w:sz w:val="17"/>
              </w:rPr>
              <w:t>El canon solo aparece con cobertura y confianza acordadas.</w:t>
            </w:r>
          </w:p>
        </w:tc>
      </w:tr>
      <w:tr>
        <w:tc>
          <w:tcPr>
            <w:tcW w:type="dxa" w:w="145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2A1336"/>
                <w:sz w:val="17"/>
              </w:rPr>
              <w:t>HU-F2-03</w:t>
            </w:r>
          </w:p>
        </w:tc>
        <w:tc>
          <w:tcPr>
            <w:tcW w:type="dxa" w:w="750"/>
            <w:shd w:fill="FFF5D6" w:val="clea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2A1336"/>
                <w:sz w:val="17"/>
              </w:rPr>
              <w:t>P1</w:t>
            </w:r>
          </w:p>
        </w:tc>
        <w:tc>
          <w:tcPr>
            <w:tcW w:type="dxa" w:w="305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A1336"/>
                <w:sz w:val="17"/>
              </w:rPr>
              <w:t>Operar alertas recurrentes con canary.</w:t>
            </w:r>
          </w:p>
        </w:tc>
        <w:tc>
          <w:tcPr>
            <w:tcW w:type="dxa" w:w="411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A1336"/>
                <w:sz w:val="17"/>
              </w:rPr>
              <w:t>Cada alerta llega una vez y queda registrada.</w:t>
            </w:r>
          </w:p>
        </w:tc>
      </w:tr>
      <w:tr>
        <w:tc>
          <w:tcPr>
            <w:tcW w:type="dxa" w:w="145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2A1336"/>
                <w:sz w:val="17"/>
              </w:rPr>
              <w:t>HU-F2-02/04</w:t>
            </w:r>
          </w:p>
        </w:tc>
        <w:tc>
          <w:tcPr>
            <w:tcW w:type="dxa" w:w="750"/>
            <w:shd w:fill="FFF5D6" w:val="clea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2A1336"/>
                <w:sz w:val="17"/>
              </w:rPr>
              <w:t>P1</w:t>
            </w:r>
          </w:p>
        </w:tc>
        <w:tc>
          <w:tcPr>
            <w:tcW w:type="dxa" w:w="305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A1336"/>
                <w:sz w:val="17"/>
              </w:rPr>
              <w:t>Cerrar permisos, roles y auditoría.</w:t>
            </w:r>
          </w:p>
        </w:tc>
        <w:tc>
          <w:tcPr>
            <w:tcW w:type="dxa" w:w="411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A1336"/>
                <w:sz w:val="17"/>
              </w:rPr>
              <w:t>Cuenta, plan y administración respetan políticas verificables.</w:t>
            </w:r>
          </w:p>
        </w:tc>
      </w:tr>
      <w:tr>
        <w:tc>
          <w:tcPr>
            <w:tcW w:type="dxa" w:w="145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2A1336"/>
                <w:sz w:val="17"/>
              </w:rPr>
              <w:t>HU-F2-06</w:t>
            </w:r>
          </w:p>
        </w:tc>
        <w:tc>
          <w:tcPr>
            <w:tcW w:type="dxa" w:w="750"/>
            <w:shd w:fill="F2F4F7" w:val="clea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2A1336"/>
                <w:sz w:val="17"/>
              </w:rPr>
              <w:t>P2</w:t>
            </w:r>
          </w:p>
        </w:tc>
        <w:tc>
          <w:tcPr>
            <w:tcW w:type="dxa" w:w="305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A1336"/>
                <w:sz w:val="17"/>
              </w:rPr>
              <w:t>Retomar Wompi cuando existan credenciales.</w:t>
            </w:r>
          </w:p>
        </w:tc>
        <w:tc>
          <w:tcPr>
            <w:tcW w:type="dxa" w:w="411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A1336"/>
                <w:sz w:val="17"/>
              </w:rPr>
              <w:t>Una transacción Sandbox aprobada activa Pro correctamente.</w:t>
            </w:r>
          </w:p>
        </w:tc>
      </w:tr>
    </w:tbl>
    <w:p>
      <w:pPr>
        <w:pStyle w:val="Heading1"/>
        <w:keepNext/>
      </w:pPr>
      <w:r>
        <w:t>6. Preguntas de validación por HU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b w:val="0"/>
          <w:i w:val="0"/>
          <w:color w:val="2A1336"/>
          <w:sz w:val="22"/>
        </w:rPr>
        <w:t>HU-F1-01: ¿qué radio o ampliación geográfica debe aceptar el motor de comparables?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b w:val="0"/>
          <w:i w:val="0"/>
          <w:color w:val="2A1336"/>
          <w:sz w:val="22"/>
        </w:rPr>
        <w:t>HU-F1-02: ¿durante cuánto tiempo debe mostrarse el histórico de retirados o expirados?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b w:val="0"/>
          <w:i w:val="0"/>
          <w:color w:val="2A1336"/>
          <w:sz w:val="22"/>
        </w:rPr>
        <w:t>HU-F1-03/HU-F1-04: ¿qué atributos mínimos permiten publicar una ficha incompleta?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b w:val="0"/>
          <w:i w:val="0"/>
          <w:color w:val="2A1336"/>
          <w:sz w:val="22"/>
        </w:rPr>
        <w:t>HU-F1-04: ¿las insignias del boletín AVAL son autoritativas o deben recalcularse?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b w:val="0"/>
          <w:i w:val="0"/>
          <w:color w:val="2A1336"/>
          <w:sz w:val="22"/>
        </w:rPr>
        <w:t>HU-F1-05: ¿qué evidencia es suficiente cuando un remate no tiene imagen original?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b w:val="0"/>
          <w:i w:val="0"/>
          <w:color w:val="2A1336"/>
          <w:sz w:val="22"/>
        </w:rPr>
        <w:t>HU-F2-02: ¿qué funcionalidades exactas pertenecen a cada plan y qué límites aplican?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b w:val="0"/>
          <w:i w:val="0"/>
          <w:color w:val="2A1336"/>
          <w:sz w:val="22"/>
        </w:rPr>
        <w:t>HU-F2-03: ¿con qué frecuencia y bajo qué preferencias deben enviarse alertas?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b w:val="0"/>
          <w:i w:val="0"/>
          <w:color w:val="2A1336"/>
          <w:sz w:val="22"/>
        </w:rPr>
        <w:t>HU-F2-05: ¿qué ciudades, tipos de inmueble y muestra mínima se priorizan para arriendos?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b w:val="0"/>
          <w:i w:val="0"/>
          <w:color w:val="2A1336"/>
          <w:sz w:val="22"/>
        </w:rPr>
        <w:t>HU-F2-06: ¿se confirma que Wompi queda aplazado hasta contar con datos reales del comercio?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b w:val="0"/>
          <w:i w:val="0"/>
          <w:color w:val="2A1336"/>
          <w:sz w:val="22"/>
        </w:rPr>
        <w:t>Fases 1 y 2: ¿qué peso tendrá cada fase para calcular un porcentaje global aceptado?</w:t>
      </w:r>
    </w:p>
    <w:p>
      <w:r>
        <w:br w:type="page"/>
      </w:r>
    </w:p>
    <w:p>
      <w:pPr>
        <w:pStyle w:val="Heading1"/>
        <w:keepNext/>
      </w:pPr>
      <w:r>
        <w:t>7. Guion para presentar el avance por historias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/>
          <w:b w:val="0"/>
          <w:i w:val="0"/>
          <w:color w:val="2A1336"/>
          <w:sz w:val="22"/>
        </w:rPr>
        <w:t>Explicar que se trazaron cinco HU de Fase 1 y siete HU de Fase 2.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/>
          <w:b w:val="0"/>
          <w:i w:val="0"/>
          <w:color w:val="2A1336"/>
          <w:sz w:val="22"/>
        </w:rPr>
        <w:t>Presentar por separado el 84% de Fase 1 y el 75% técnico de Fase 2.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/>
          <w:b w:val="0"/>
          <w:i w:val="0"/>
          <w:color w:val="2A1336"/>
          <w:sz w:val="22"/>
        </w:rPr>
        <w:t>Demostrar HU-F1-01 con una propiedad y sus comparables CRECE.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/>
          <w:b w:val="0"/>
          <w:i w:val="0"/>
          <w:color w:val="2A1336"/>
          <w:sz w:val="22"/>
        </w:rPr>
        <w:t>Demostrar HU-F1-03 y HU-F1-05 con un activo bancario y un remate.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/>
          <w:b w:val="0"/>
          <w:i w:val="0"/>
          <w:color w:val="2A1336"/>
          <w:sz w:val="22"/>
        </w:rPr>
        <w:t>Demostrar HU-F2-01, HU-F2-03 y HU-F2-07 con acceso, alertas y filtros.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/>
          <w:b w:val="0"/>
          <w:i w:val="0"/>
          <w:color w:val="2A1336"/>
          <w:sz w:val="22"/>
        </w:rPr>
        <w:t>Mostrar HU-F2-05 como piloto y HU-F2-06 como integración preparada, no terminada.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/>
          <w:b w:val="0"/>
          <w:i w:val="0"/>
          <w:color w:val="2A1336"/>
          <w:sz w:val="22"/>
        </w:rPr>
        <w:t>Revisar los criterios parciales sin llamarlos terminados.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/>
          <w:b w:val="0"/>
          <w:i w:val="0"/>
          <w:color w:val="2A1336"/>
          <w:sz w:val="22"/>
        </w:rPr>
        <w:t>Cerrar solicitando respuesta a las preguntas de la sección 6.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shd w:fill="F4EFF7" w:val="clear"/>
            <w:tcBorders>
              <w:start w:val="single" w:sz="22" w:color="4F2868" w:space="0"/>
              <w:top w:val="nil"/>
              <w:bottom w:val="nil"/>
              <w:end w:val="nil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4F2868"/>
                <w:sz w:val="22"/>
              </w:rPr>
              <w:t xml:space="preserve">Mensaje central: </w:t>
            </w:r>
            <w:r>
              <w:rPr>
                <w:rFonts w:ascii="Calibri" w:hAnsi="Calibri"/>
                <w:b w:val="0"/>
                <w:i w:val="0"/>
                <w:color w:val="2A1336"/>
                <w:sz w:val="22"/>
              </w:rPr>
              <w:t>Las historias de Fase 1 y Fase 2 se están ejecutando y cuentan con evidencia. El siguiente paso es validar criterios, aprobar el peso de cada fase y convertir esta matriz en el control oficial de alcance y aceptación.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8. Evidencia técnica asociada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b w:val="0"/>
          <w:i w:val="0"/>
          <w:color w:val="2A1336"/>
          <w:sz w:val="22"/>
        </w:rPr>
        <w:t>TypeScript: compilación sin errores.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b w:val="0"/>
          <w:i w:val="0"/>
          <w:color w:val="2A1336"/>
          <w:sz w:val="22"/>
        </w:rPr>
        <w:t>Pruebas unitarias e integración: 122 de 122 aprobadas.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b w:val="0"/>
          <w:i w:val="0"/>
          <w:color w:val="2A1336"/>
          <w:sz w:val="22"/>
        </w:rPr>
        <w:t>Recorridos E2E locales: 9 de 9 aprobados.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b w:val="0"/>
          <w:i w:val="0"/>
          <w:color w:val="2A1336"/>
          <w:sz w:val="22"/>
        </w:rPr>
        <w:t>E2E cubiertos: dashboard, Bancos, Remates, arriendos/rentabilidad, guardados, login, Google OAuth, checkout demo, móvil y filtros.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b w:val="0"/>
          <w:i w:val="0"/>
          <w:color w:val="2A1336"/>
          <w:sz w:val="22"/>
        </w:rPr>
        <w:t>Versión evaluada: e193049.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b w:val="0"/>
          <w:i w:val="0"/>
          <w:color w:val="2A1336"/>
          <w:sz w:val="22"/>
        </w:rPr>
        <w:t>Producción: https://joinsclee-radar.juno8i.easypanel.host/</w:t>
      </w:r>
    </w:p>
    <w:p>
      <w:r>
        <w:br w:type="page"/>
      </w:r>
    </w:p>
    <w:p>
      <w:pPr>
        <w:pStyle w:val="Heading1"/>
        <w:keepNext/>
      </w:pPr>
      <w:r>
        <w:t>9. Documentos fuente de las HU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b w:val="0"/>
          <w:i w:val="0"/>
          <w:color w:val="2A1336"/>
          <w:sz w:val="22"/>
        </w:rPr>
        <w:t>Radar de Oportunidades — Documentación y Propuesta.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b w:val="0"/>
          <w:i w:val="0"/>
          <w:color w:val="2A1336"/>
          <w:sz w:val="22"/>
        </w:rPr>
        <w:t>Radar CRECE — Índice Maestro HU Fase 1.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b w:val="0"/>
          <w:i w:val="0"/>
          <w:color w:val="2A1336"/>
          <w:sz w:val="22"/>
        </w:rPr>
        <w:t>Radar CRECE — Especificación Motor de Comparables v1.2.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b w:val="0"/>
          <w:i w:val="0"/>
          <w:color w:val="2A1336"/>
          <w:sz w:val="22"/>
        </w:rPr>
        <w:t>HU Núcleo Motor de Comparables.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b w:val="0"/>
          <w:i w:val="0"/>
          <w:color w:val="2A1336"/>
          <w:sz w:val="22"/>
        </w:rPr>
        <w:t>HU Rango de Precio y Vigencia del Motor Radar.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b w:val="0"/>
          <w:i w:val="0"/>
          <w:color w:val="2A1336"/>
          <w:sz w:val="22"/>
        </w:rPr>
        <w:t>HU Motor de Activos Bancarios.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b w:val="0"/>
          <w:i w:val="0"/>
          <w:color w:val="2A1336"/>
          <w:sz w:val="22"/>
        </w:rPr>
        <w:t>HU Motor de Activos Bancarios — Grupo AVAL.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b w:val="0"/>
          <w:i w:val="0"/>
          <w:color w:val="2A1336"/>
          <w:sz w:val="22"/>
        </w:rPr>
        <w:t>HU Motor de Remates Judiciales.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b w:val="0"/>
          <w:i w:val="0"/>
          <w:color w:val="2A1336"/>
          <w:sz w:val="22"/>
        </w:rPr>
        <w:t>Hoja de ruta del documento inicial: Google, freemium, alertas, panel, comparador y rentabilidad.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b w:val="0"/>
          <w:i w:val="0"/>
          <w:color w:val="2A1336"/>
          <w:sz w:val="22"/>
        </w:rPr>
        <w:t>Decisiones posteriores del cliente: Resend, Wompi, filtros laterales y comparables de arriendo.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shd w:fill="FFF9D9" w:val="clear"/>
            <w:tcBorders>
              <w:start w:val="single" w:sz="22" w:color="8A6300" w:space="0"/>
              <w:top w:val="nil"/>
              <w:bottom w:val="nil"/>
              <w:end w:val="nil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8A6300"/>
                <w:sz w:val="22"/>
              </w:rPr>
              <w:t xml:space="preserve">Control recomendado: </w:t>
            </w:r>
            <w:r>
              <w:rPr>
                <w:rFonts w:ascii="Calibri" w:hAnsi="Calibri"/>
                <w:b w:val="0"/>
                <w:i w:val="0"/>
                <w:color w:val="2A1336"/>
                <w:sz w:val="22"/>
              </w:rPr>
              <w:t>A partir de la validación, ninguna funcionalidad nueva debería entrar al alcance sin un ID de HU, criterios de aceptación, prioridad y aprobación del cliente.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360"/>
      <w:tblLayout w:type="fixed"/>
      <w:tblLook w:firstColumn="1" w:firstRow="1" w:lastColumn="0" w:lastRow="0" w:noHBand="0" w:noVBand="1" w:val="04A0"/>
      <w:tblInd w:w="0" w:type="dxa"/>
    </w:tblPr>
    <w:tblGrid>
      <w:gridCol w:w="6500"/>
      <w:gridCol w:w="2860"/>
    </w:tblGrid>
    <w:tr>
      <w:tc>
        <w:tcPr>
          <w:tcW w:type="dxa" w:w="6500"/>
          <w:tcMar>
            <w:top w:w="40" w:type="dxa"/>
            <w:start w:w="0" w:type="dxa"/>
            <w:bottom w:w="0" w:type="dxa"/>
            <w:end w:w="0" w:type="dxa"/>
          </w:tcMar>
          <w:vAlign w:val="center"/>
          <w:tcBorders>
            <w:top w:val="single" w:sz="5" w:color="D9DDE3" w:space="0"/>
          </w:tcBorders>
        </w:tcPr>
        <w:p>
          <w:r>
            <w:rPr>
              <w:rFonts w:ascii="Calibri" w:hAnsi="Calibri"/>
              <w:b w:val="0"/>
              <w:i w:val="0"/>
              <w:color w:val="655B69"/>
              <w:sz w:val="17"/>
            </w:rPr>
            <w:t>Corte: 25 de julio de 2026  •  Documento de trabajo para validación</w:t>
          </w:r>
        </w:p>
      </w:tc>
      <w:tc>
        <w:tcPr>
          <w:tcW w:type="dxa" w:w="2860"/>
          <w:tcMar>
            <w:top w:w="40" w:type="dxa"/>
            <w:start w:w="0" w:type="dxa"/>
            <w:bottom w:w="0" w:type="dxa"/>
            <w:end w:w="0" w:type="dxa"/>
          </w:tcMar>
          <w:vAlign w:val="center"/>
          <w:tcBorders>
            <w:top w:val="single" w:sz="5" w:color="D9DDE3" w:space="0"/>
          </w:tcBorders>
        </w:tcPr>
        <w:p>
          <w:pPr>
            <w:jc w:val="right"/>
          </w:pPr>
          <w:r>
            <w:rPr>
              <w:rFonts w:ascii="Calibri" w:hAnsi="Calibri"/>
              <w:b w:val="0"/>
              <w:i w:val="0"/>
              <w:color w:val="655B69"/>
              <w:sz w:val="18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</w:pPr>
  </w:p>
  <w:tbl>
    <w:tblPr>
      <w:tblW w:type="dxa" w:w="9360"/>
      <w:tblLayout w:type="fixed"/>
      <w:tblLook w:firstColumn="1" w:firstRow="1" w:lastColumn="0" w:lastRow="0" w:noHBand="0" w:noVBand="1" w:val="04A0"/>
      <w:tblInd w:w="0" w:type="dxa"/>
    </w:tblPr>
    <w:tblGrid>
      <w:gridCol w:w="5200"/>
      <w:gridCol w:w="4160"/>
    </w:tblGrid>
    <w:tr>
      <w:tc>
        <w:tcPr>
          <w:tcW w:type="dxa" w:w="5200"/>
          <w:tcMar>
            <w:top w:w="0" w:type="dxa"/>
            <w:start w:w="0" w:type="dxa"/>
            <w:bottom w:w="40" w:type="dxa"/>
            <w:end w:w="0" w:type="dxa"/>
          </w:tcMar>
          <w:vAlign w:val="center"/>
          <w:tcBorders>
            <w:bottom w:val="single" w:sz="5" w:color="D9DDE3" w:space="0"/>
          </w:tcBorders>
        </w:tcPr>
        <w:p>
          <w:r>
            <w:rPr>
              <w:rFonts w:ascii="Calibri" w:hAnsi="Calibri"/>
              <w:b/>
              <w:i w:val="0"/>
              <w:color w:val="655B69"/>
              <w:sz w:val="17"/>
            </w:rPr>
            <w:t>RADAR CRECE  |  HISTORIAS DE USUARIO</w:t>
          </w:r>
        </w:p>
      </w:tc>
      <w:tc>
        <w:tcPr>
          <w:tcW w:type="dxa" w:w="4160"/>
          <w:tcMar>
            <w:top w:w="0" w:type="dxa"/>
            <w:start w:w="0" w:type="dxa"/>
            <w:bottom w:w="40" w:type="dxa"/>
            <w:end w:w="0" w:type="dxa"/>
          </w:tcMar>
          <w:vAlign w:val="center"/>
          <w:tcBorders>
            <w:bottom w:val="single" w:sz="5" w:color="D9DDE3" w:space="0"/>
          </w:tcBorders>
        </w:tcPr>
        <w:p>
          <w:pPr>
            <w:jc w:val="right"/>
          </w:pPr>
          <w:r>
            <w:rPr>
              <w:rFonts w:ascii="Calibri" w:hAnsi="Calibri"/>
              <w:b w:val="0"/>
              <w:i w:val="0"/>
              <w:color w:val="655B69"/>
              <w:sz w:val="17"/>
            </w:rPr>
            <w:t>Documento de avance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nsid w:val="00000009"/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  <w:spacing w:after="160" w:line="280" w:lineRule="auto"/>
      </w:pPr>
      <w:rPr>
        <w:rFonts w:ascii="Calibri" w:hAnsi="Calibri"/>
      </w:rPr>
    </w:lvl>
  </w:abstractNum>
  <w:num w:numId="10">
    <w:abstractNumId w:val="9"/>
  </w:num>
  <w:abstractNum w:abstractNumId="10">
    <w:nsid w:val="0000000A"/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  <w:spacing w:after="160" w:line="280" w:lineRule="auto"/>
      </w:pPr>
      <w:rPr>
        <w:rFonts w:ascii="Calibri" w:hAnsi="Calibri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2A133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4F286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4F286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2A133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Seguimiento de Historias de Usuario — Fases 1 y 2 — Radar de Oportunidades</dc:title>
  <dc:subject>HU de Fase 1 y Fase 2, criterios de aceptación, evidencia y próximos pasos</dc:subject>
  <dc:creator>Equipo de desarrollo Radar CRECE</dc:creator>
  <cp:keywords>Radar, CRECE, historias de usuario, trazabilidad, avance, fase 1, fase 2</cp:keywords>
  <dc:description>Documento preparado para revisión y validación con el cliente.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