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</w:pPr>
      <w:r>
        <w:rPr>
          <w:rFonts w:ascii="Calibri" w:hAnsi="Calibri"/>
          <w:b/>
          <w:i w:val="0"/>
          <w:color w:val="2E74B5"/>
          <w:sz w:val="20"/>
        </w:rPr>
        <w:t>INFORME DE AVANCE DE PRODUCTO</w:t>
      </w:r>
    </w:p>
    <w:p>
      <w:pPr>
        <w:spacing w:after="120"/>
      </w:pPr>
      <w:r>
        <w:rPr>
          <w:rFonts w:ascii="Calibri" w:hAnsi="Calibri"/>
          <w:b/>
          <w:i w:val="0"/>
          <w:color w:val="17365D"/>
          <w:sz w:val="52"/>
        </w:rPr>
        <w:t>Radar de Oportunidades</w:t>
        <w:br/>
        <w:t>Fase 2</w:t>
      </w:r>
    </w:p>
    <w:p>
      <w:pPr>
        <w:spacing w:after="360"/>
      </w:pPr>
      <w:r>
        <w:rPr>
          <w:rFonts w:ascii="Calibri" w:hAnsi="Calibri"/>
          <w:b w:val="0"/>
          <w:i w:val="0"/>
          <w:color w:val="5F6368"/>
          <w:sz w:val="26"/>
        </w:rPr>
        <w:t>Base comercial, alertas, comparador, rentabilidad y operación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800"/>
        <w:gridCol w:w="7560"/>
      </w:tblGrid>
      <w:tr>
        <w:trPr/>
        <w:tc>
          <w:tcPr>
            <w:tcW w:type="dxa" w:w="1800"/>
            <w:shd w:fill="17365D"/>
            <w:tcBorders>
              <w:top w:val="single" w:sz="4" w:color="EAF2F8"/>
              <w:left w:val="single" w:sz="4" w:color="EAF2F8"/>
              <w:bottom w:val="single" w:sz="4" w:color="EAF2F8"/>
              <w:right w:val="single" w:sz="4" w:color="EAF2F8"/>
              <w:insideH w:val="single" w:sz="4" w:color="EAF2F8"/>
              <w:insideV w:val="single" w:sz="4" w:color="EAF2F8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8"/>
              </w:rPr>
              <w:t>73%</w:t>
            </w:r>
          </w:p>
        </w:tc>
        <w:tc>
          <w:tcPr>
            <w:tcW w:type="dxa" w:w="7560"/>
            <w:shd w:fill="EAF2F8"/>
            <w:tcBorders>
              <w:top w:val="single" w:sz="4" w:color="EAF2F8"/>
              <w:left w:val="single" w:sz="4" w:color="EAF2F8"/>
              <w:bottom w:val="single" w:sz="4" w:color="EAF2F8"/>
              <w:right w:val="single" w:sz="4" w:color="EAF2F8"/>
              <w:insideH w:val="single" w:sz="4" w:color="EAF2F8"/>
              <w:insideV w:val="single" w:sz="4" w:color="EAF2F8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17365D"/>
                <w:sz w:val="22"/>
              </w:rPr>
              <w:t>Conclusión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20"/>
              </w:rPr>
              <w:t>Fase 1 permanece en 84%. La Fase 2 comercial alcanza 73%: Resend, el dominio y ambos servicios están desplegados; pagos, canon observado y la activación del canary todavía requieren decisiones.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00"/>
        <w:gridCol w:w="7060"/>
      </w:tblGrid>
      <w:tr>
        <w:trPr/>
        <w:tc>
          <w:tcPr>
            <w:tcW w:type="dxa" w:w="23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E74B5"/>
                <w:sz w:val="16"/>
              </w:rPr>
              <w:t>PREPARADO PARA</w:t>
            </w:r>
          </w:p>
        </w:tc>
        <w:tc>
          <w:tcPr>
            <w:tcW w:type="dxa" w:w="7060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20"/>
              </w:rPr>
              <w:t>Andrés Giraldo</w:t>
            </w:r>
          </w:p>
        </w:tc>
      </w:tr>
      <w:tr>
        <w:trPr/>
        <w:tc>
          <w:tcPr>
            <w:tcW w:type="dxa" w:w="23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E74B5"/>
                <w:sz w:val="16"/>
              </w:rPr>
              <w:t>CORTE</w:t>
            </w:r>
          </w:p>
        </w:tc>
        <w:tc>
          <w:tcPr>
            <w:tcW w:type="dxa" w:w="7060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20"/>
              </w:rPr>
              <w:t>25 de julio de 2026</w:t>
            </w:r>
          </w:p>
        </w:tc>
      </w:tr>
      <w:tr>
        <w:trPr/>
        <w:tc>
          <w:tcPr>
            <w:tcW w:type="dxa" w:w="23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E74B5"/>
                <w:sz w:val="16"/>
              </w:rPr>
              <w:t>ESTADO</w:t>
            </w:r>
          </w:p>
        </w:tc>
        <w:tc>
          <w:tcPr>
            <w:tcW w:type="dxa" w:w="7060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20"/>
              </w:rPr>
              <w:t>Validado localmente y desplegado</w:t>
            </w:r>
          </w:p>
        </w:tc>
      </w:tr>
      <w:tr>
        <w:trPr/>
        <w:tc>
          <w:tcPr>
            <w:tcW w:type="dxa" w:w="23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E74B5"/>
                <w:sz w:val="16"/>
              </w:rPr>
              <w:t>VERSIÓN DESPLEGADA</w:t>
            </w:r>
          </w:p>
        </w:tc>
        <w:tc>
          <w:tcPr>
            <w:tcW w:type="dxa" w:w="7060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20"/>
              </w:rPr>
              <w:t>PR #2 · b89770c</w:t>
            </w:r>
          </w:p>
        </w:tc>
      </w:tr>
      <w:tr>
        <w:trPr/>
        <w:tc>
          <w:tcPr>
            <w:tcW w:type="dxa" w:w="23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E74B5"/>
                <w:sz w:val="16"/>
              </w:rPr>
              <w:t>PRODUCCIÓN VIGENTE</w:t>
            </w:r>
          </w:p>
        </w:tc>
        <w:tc>
          <w:tcPr>
            <w:tcW w:type="dxa" w:w="7060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20"/>
              </w:rPr>
              <w:t>joinsclee-radar.juno8i.easypanel.host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fill="FFF6DD"/>
            <w:tcBorders>
              <w:top w:val="single" w:sz="4" w:color="FFF6DD"/>
              <w:left w:val="single" w:sz="4" w:color="FFF6DD"/>
              <w:bottom w:val="single" w:sz="4" w:color="FFF6DD"/>
              <w:right w:val="single" w:sz="4" w:color="FFF6DD"/>
              <w:insideH w:val="single" w:sz="4" w:color="FFF6DD"/>
              <w:insideV w:val="single" w:sz="4" w:color="FFF6DD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8A5B00"/>
                <w:sz w:val="22"/>
              </w:rPr>
              <w:t>Lectura honesta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20"/>
              </w:rPr>
              <w:t>El término Fase 2 se usó históricamente para remates y después para la expansión comercial. Este informe separa ambos alcances para no inflar el avance.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Resumen ejecutivo</w:t>
      </w:r>
    </w:p>
    <w:p>
      <w:r>
        <w:rPr>
          <w:rFonts w:ascii="Calibri" w:hAnsi="Calibri"/>
          <w:b w:val="0"/>
          <w:i w:val="0"/>
          <w:color w:val="202124"/>
          <w:sz w:val="22"/>
        </w:rPr>
        <w:t>El compromiso de llegar a por lo menos 80% de la Fase 1 ya se cumplió. El corte defendible de esa fase sigue siendo 84%. La ejecución actual agrega una base comercial y operativa de Fase 2 sin convertir maquetas en promesas.</w:t>
      </w:r>
    </w:p>
    <w:p>
      <w:pPr>
        <w:pStyle w:val="Heading2"/>
      </w:pPr>
      <w:r>
        <w:t>Dos significados de Fase 2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Fase 2 técnica original: motor de remates judiciales, aproximadamente 92%.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Fase 2 comercial/expansión: planes, alertas, rentabilidad, comparador, administración, pagos e integraciones, aproximadamente 73%.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fill="EAF5EF"/>
            <w:tcBorders>
              <w:top w:val="single" w:sz="4" w:color="EAF5EF"/>
              <w:left w:val="single" w:sz="4" w:color="EAF5EF"/>
              <w:bottom w:val="single" w:sz="4" w:color="EAF5EF"/>
              <w:right w:val="single" w:sz="4" w:color="EAF5EF"/>
              <w:insideH w:val="single" w:sz="4" w:color="EAF5EF"/>
              <w:insideV w:val="single" w:sz="4" w:color="EAF5EF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237A57"/>
                <w:sz w:val="22"/>
              </w:rPr>
              <w:t>Dictamen para el cliente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20"/>
              </w:rPr>
              <w:t>El producto supera el 80% comprometido para Fase 1. Resend ya está conectado y desplegado, pero todavía no debe venderse como monetización ni como automatización semanal activa.</w:t>
            </w:r>
          </w:p>
        </w:tc>
      </w:tr>
    </w:tbl>
    <w:p>
      <w:pPr>
        <w:spacing w:after="0"/>
      </w:pPr>
    </w:p>
    <w:p>
      <w:pPr>
        <w:pStyle w:val="Heading2"/>
      </w:pPr>
      <w:r>
        <w:t>Qué puede demostrarse hoy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Planes Free y Pro con límites de acceso reales.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Centro de cuenta, sincronización y alertas persistentes.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Comparador de dos o tres inmuebles guardados.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Rentabilidad bruta y neta a partir de canon declarado.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Panel administrativo agregado y exportación de cuenta.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Resend conectado en producción, con automatización deshabilitada hasta el canary.</w:t>
      </w:r>
    </w:p>
    <w:p>
      <w:r>
        <w:br w:type="page"/>
      </w:r>
    </w:p>
    <w:p>
      <w:pPr>
        <w:pStyle w:val="Heading1"/>
      </w:pPr>
      <w:r>
        <w:t>2. Entregables del corte</w:t>
      </w:r>
    </w:p>
    <w:p>
      <w:pPr>
        <w:pStyle w:val="Heading2"/>
      </w:pPr>
      <w:r>
        <w:t>Planes y acceso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Catálogo API y página pública /planes.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Precio Pro explícitamente por definir; no hay cobro simulado.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Solicitud de plan y compatibilidad con marcas históricas de suscripción.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Estados de prueba, activo, pago pendiente y cancelado con permisos efectivos.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Una alerta para Free y hasta cinco para Pro.</w:t>
      </w:r>
    </w:p>
    <w:p>
      <w:pPr>
        <w:pStyle w:val="Heading2"/>
      </w:pPr>
      <w:r>
        <w:t>Cuenta y alertas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Centro /cuenta y continuidad de preferencias, simulaciones y alertas.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Validación separada de entradas y alertas persistidas.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Historial de entrega, idempotencia y reintentos escalonados.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Resend desplegado y proceso semanal protegido, deshabilitado hasta el canary.</w:t>
      </w:r>
    </w:p>
    <w:p>
      <w:pPr>
        <w:pStyle w:val="Heading2"/>
      </w:pPr>
      <w:r>
        <w:t>Comparación y rentabilidad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Comparador /comparador con criterios homogéneos.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Respeto del muro de acceso al recuperar favoritos.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Rentabilidad bruta y neta con vacancia, mantenimiento y administración.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Exportación CSV y separación entre canon declarado y observado.</w:t>
      </w:r>
    </w:p>
    <w:p>
      <w:pPr>
        <w:pStyle w:val="Heading2"/>
      </w:pPr>
      <w:r>
        <w:t>Administración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Panel /admin protegido por rol.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Usuarios, embudo Pro, alertas, perfiles y estado de entregas.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Cola de solicitudes, cambios de estado con motivo e historial auditable.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Exportación JSON sin contraseñas ni tokens.</w:t>
      </w:r>
    </w:p>
    <w:p>
      <w:r>
        <w:br w:type="page"/>
      </w:r>
    </w:p>
    <w:p>
      <w:pPr>
        <w:pStyle w:val="Heading1"/>
      </w:pPr>
      <w:r>
        <w:t>3. Avance ponderado de Fase 2 comercial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5000"/>
        <w:gridCol w:w="1200"/>
        <w:gridCol w:w="1500"/>
        <w:gridCol w:w="1660"/>
      </w:tblGrid>
      <w:tr>
        <w:trPr>
          <w:tblHeader w:val="true"/>
        </w:trPr>
        <w:tc>
          <w:tcPr>
            <w:tcW w:type="dxa" w:w="5000"/>
            <w:shd w:fill="17365D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Bloque</w:t>
            </w:r>
          </w:p>
        </w:tc>
        <w:tc>
          <w:tcPr>
            <w:tcW w:type="dxa" w:w="1200"/>
            <w:shd w:fill="17365D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Peso</w:t>
            </w:r>
          </w:p>
        </w:tc>
        <w:tc>
          <w:tcPr>
            <w:tcW w:type="dxa" w:w="1500"/>
            <w:shd w:fill="17365D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Cumpl.</w:t>
            </w:r>
          </w:p>
        </w:tc>
        <w:tc>
          <w:tcPr>
            <w:tcW w:type="dxa" w:w="1660"/>
            <w:shd w:fill="17365D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Aporte</w:t>
            </w:r>
          </w:p>
        </w:tc>
      </w:tr>
      <w:tr>
        <w:trPr/>
        <w:tc>
          <w:tcPr>
            <w:tcW w:type="dxa" w:w="50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Base comercial, cuenta y UX</w:t>
            </w:r>
          </w:p>
        </w:tc>
        <w:tc>
          <w:tcPr>
            <w:tcW w:type="dxa" w:w="12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15%</w:t>
            </w:r>
          </w:p>
        </w:tc>
        <w:tc>
          <w:tcPr>
            <w:tcW w:type="dxa" w:w="15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90%</w:t>
            </w:r>
          </w:p>
        </w:tc>
        <w:tc>
          <w:tcPr>
            <w:tcW w:type="dxa" w:w="16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13,5</w:t>
            </w:r>
          </w:p>
        </w:tc>
      </w:tr>
      <w:tr>
        <w:trPr/>
        <w:tc>
          <w:tcPr>
            <w:tcW w:type="dxa" w:w="50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Planes, acceso y suscripción</w:t>
            </w:r>
          </w:p>
        </w:tc>
        <w:tc>
          <w:tcPr>
            <w:tcW w:type="dxa" w:w="12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15%</w:t>
            </w:r>
          </w:p>
        </w:tc>
        <w:tc>
          <w:tcPr>
            <w:tcW w:type="dxa" w:w="15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80%</w:t>
            </w:r>
          </w:p>
        </w:tc>
        <w:tc>
          <w:tcPr>
            <w:tcW w:type="dxa" w:w="16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12,0</w:t>
            </w:r>
          </w:p>
        </w:tc>
      </w:tr>
      <w:tr>
        <w:trPr/>
        <w:tc>
          <w:tcPr>
            <w:tcW w:type="dxa" w:w="50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Alertas y notificaciones</w:t>
            </w:r>
          </w:p>
        </w:tc>
        <w:tc>
          <w:tcPr>
            <w:tcW w:type="dxa" w:w="12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20%</w:t>
            </w:r>
          </w:p>
        </w:tc>
        <w:tc>
          <w:tcPr>
            <w:tcW w:type="dxa" w:w="15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97%</w:t>
            </w:r>
          </w:p>
        </w:tc>
        <w:tc>
          <w:tcPr>
            <w:tcW w:type="dxa" w:w="16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19,4</w:t>
            </w:r>
          </w:p>
        </w:tc>
      </w:tr>
      <w:tr>
        <w:trPr/>
        <w:tc>
          <w:tcPr>
            <w:tcW w:type="dxa" w:w="50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Comparador y exportación</w:t>
            </w:r>
          </w:p>
        </w:tc>
        <w:tc>
          <w:tcPr>
            <w:tcW w:type="dxa" w:w="12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15%</w:t>
            </w:r>
          </w:p>
        </w:tc>
        <w:tc>
          <w:tcPr>
            <w:tcW w:type="dxa" w:w="15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85%</w:t>
            </w:r>
          </w:p>
        </w:tc>
        <w:tc>
          <w:tcPr>
            <w:tcW w:type="dxa" w:w="16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12,8</w:t>
            </w:r>
          </w:p>
        </w:tc>
      </w:tr>
      <w:tr>
        <w:trPr/>
        <w:tc>
          <w:tcPr>
            <w:tcW w:type="dxa" w:w="50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Canon y rentabilidad</w:t>
            </w:r>
          </w:p>
        </w:tc>
        <w:tc>
          <w:tcPr>
            <w:tcW w:type="dxa" w:w="12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15%</w:t>
            </w:r>
          </w:p>
        </w:tc>
        <w:tc>
          <w:tcPr>
            <w:tcW w:type="dxa" w:w="15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35%</w:t>
            </w:r>
          </w:p>
        </w:tc>
        <w:tc>
          <w:tcPr>
            <w:tcW w:type="dxa" w:w="16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5,3</w:t>
            </w:r>
          </w:p>
        </w:tc>
      </w:tr>
      <w:tr>
        <w:trPr/>
        <w:tc>
          <w:tcPr>
            <w:tcW w:type="dxa" w:w="50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Administración</w:t>
            </w:r>
          </w:p>
        </w:tc>
        <w:tc>
          <w:tcPr>
            <w:tcW w:type="dxa" w:w="12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10%</w:t>
            </w:r>
          </w:p>
        </w:tc>
        <w:tc>
          <w:tcPr>
            <w:tcW w:type="dxa" w:w="15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90%</w:t>
            </w:r>
          </w:p>
        </w:tc>
        <w:tc>
          <w:tcPr>
            <w:tcW w:type="dxa" w:w="16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9,0</w:t>
            </w:r>
          </w:p>
        </w:tc>
      </w:tr>
      <w:tr>
        <w:trPr/>
        <w:tc>
          <w:tcPr>
            <w:tcW w:type="dxa" w:w="50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Pagos e integraciones</w:t>
            </w:r>
          </w:p>
        </w:tc>
        <w:tc>
          <w:tcPr>
            <w:tcW w:type="dxa" w:w="12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10%</w:t>
            </w:r>
          </w:p>
        </w:tc>
        <w:tc>
          <w:tcPr>
            <w:tcW w:type="dxa" w:w="15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10%</w:t>
            </w:r>
          </w:p>
        </w:tc>
        <w:tc>
          <w:tcPr>
            <w:tcW w:type="dxa" w:w="16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1,0</w:t>
            </w:r>
          </w:p>
        </w:tc>
      </w:tr>
      <w:tr>
        <w:trPr/>
        <w:tc>
          <w:tcPr>
            <w:tcW w:type="dxa" w:w="50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TOTAL</w:t>
            </w:r>
          </w:p>
        </w:tc>
        <w:tc>
          <w:tcPr>
            <w:tcW w:type="dxa" w:w="12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100%</w:t>
            </w:r>
          </w:p>
        </w:tc>
        <w:tc>
          <w:tcPr>
            <w:tcW w:type="dxa" w:w="15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</w:r>
          </w:p>
        </w:tc>
        <w:tc>
          <w:tcPr>
            <w:tcW w:type="dxa" w:w="16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73,0% ≈ 73%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i w:val="0"/>
          <w:color w:val="202124"/>
          <w:sz w:val="22"/>
        </w:rPr>
        <w:t>Este porcentaje mide alcance adicional y no reduce el 84% de Fase 1. La diferencia hasta 80% se concentra en proveedores, datos autorizados y operación comercial.</w:t>
      </w:r>
    </w:p>
    <w:p>
      <w:pPr>
        <w:pStyle w:val="Heading2"/>
      </w:pPr>
      <w:r>
        <w:t>Evidencia de calidad local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4800"/>
        <w:gridCol w:w="4560"/>
      </w:tblGrid>
      <w:tr>
        <w:trPr>
          <w:tblHeader w:val="true"/>
        </w:trPr>
        <w:tc>
          <w:tcPr>
            <w:tcW w:type="dxa" w:w="4800"/>
            <w:shd w:fill="17365D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Control</w:t>
            </w:r>
          </w:p>
        </w:tc>
        <w:tc>
          <w:tcPr>
            <w:tcW w:type="dxa" w:w="4560"/>
            <w:shd w:fill="17365D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Resultado</w:t>
            </w:r>
          </w:p>
        </w:tc>
      </w:tr>
      <w:tr>
        <w:trPr/>
        <w:tc>
          <w:tcPr>
            <w:tcW w:type="dxa" w:w="48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TypeScript</w:t>
            </w:r>
          </w:p>
        </w:tc>
        <w:tc>
          <w:tcPr>
            <w:tcW w:type="dxa" w:w="45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Sin errores</w:t>
            </w:r>
          </w:p>
        </w:tc>
      </w:tr>
      <w:tr>
        <w:trPr/>
        <w:tc>
          <w:tcPr>
            <w:tcW w:type="dxa" w:w="48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Unitarias/integración</w:t>
            </w:r>
          </w:p>
        </w:tc>
        <w:tc>
          <w:tcPr>
            <w:tcW w:type="dxa" w:w="45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98/98</w:t>
            </w:r>
          </w:p>
        </w:tc>
      </w:tr>
      <w:tr>
        <w:trPr/>
        <w:tc>
          <w:tcPr>
            <w:tcW w:type="dxa" w:w="48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Recorridos E2E</w:t>
            </w:r>
          </w:p>
        </w:tc>
        <w:tc>
          <w:tcPr>
            <w:tcW w:type="dxa" w:w="45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6/6</w:t>
            </w:r>
          </w:p>
        </w:tc>
      </w:tr>
      <w:tr>
        <w:trPr/>
        <w:tc>
          <w:tcPr>
            <w:tcW w:type="dxa" w:w="48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Errores de consola</w:t>
            </w:r>
          </w:p>
        </w:tc>
        <w:tc>
          <w:tcPr>
            <w:tcW w:type="dxa" w:w="45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0</w:t>
            </w:r>
          </w:p>
        </w:tc>
      </w:tr>
      <w:tr>
        <w:trPr/>
        <w:tc>
          <w:tcPr>
            <w:tcW w:type="dxa" w:w="48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QA visual</w:t>
            </w:r>
          </w:p>
        </w:tc>
        <w:tc>
          <w:tcPr>
            <w:tcW w:type="dxa" w:w="45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1440×1000 y 375×812</w:t>
            </w:r>
          </w:p>
        </w:tc>
      </w:tr>
      <w:tr>
        <w:trPr/>
        <w:tc>
          <w:tcPr>
            <w:tcW w:type="dxa" w:w="48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Salud ponderada</w:t>
            </w:r>
          </w:p>
        </w:tc>
        <w:tc>
          <w:tcPr>
            <w:tcW w:type="dxa" w:w="45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98,6/100</w:t>
            </w:r>
          </w:p>
        </w:tc>
      </w:tr>
      <w:tr>
        <w:trPr/>
        <w:tc>
          <w:tcPr>
            <w:tcW w:type="dxa" w:w="48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Usuarios reales alterados</w:t>
            </w:r>
          </w:p>
        </w:tc>
        <w:tc>
          <w:tcPr>
            <w:tcW w:type="dxa" w:w="45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0</w:t>
            </w:r>
          </w:p>
        </w:tc>
      </w:tr>
      <w:tr>
        <w:trPr/>
        <w:tc>
          <w:tcPr>
            <w:tcW w:type="dxa" w:w="48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Resend controlado</w:t>
            </w:r>
          </w:p>
        </w:tc>
        <w:tc>
          <w:tcPr>
            <w:tcW w:type="dxa" w:w="45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Entregado</w:t>
            </w:r>
          </w:p>
        </w:tc>
      </w:tr>
      <w:tr>
        <w:trPr/>
        <w:tc>
          <w:tcPr>
            <w:tcW w:type="dxa" w:w="48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Producción</w:t>
            </w:r>
          </w:p>
        </w:tc>
        <w:tc>
          <w:tcPr>
            <w:tcW w:type="dxa" w:w="45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Correo listo; cron deshabilitado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Stack y arquitectura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17365D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Capa</w:t>
            </w:r>
          </w:p>
        </w:tc>
        <w:tc>
          <w:tcPr>
            <w:tcW w:type="dxa" w:w="6760"/>
            <w:shd w:fill="17365D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Tecnología / decisión</w:t>
            </w:r>
          </w:p>
        </w:tc>
      </w:tr>
      <w:tr>
        <w:trPr/>
        <w:tc>
          <w:tcPr>
            <w:tcW w:type="dxa" w:w="26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Runtime</w:t>
            </w:r>
          </w:p>
        </w:tc>
        <w:tc>
          <w:tcPr>
            <w:tcW w:type="dxa" w:w="67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Node.js 20+, TypeScript, ESM</w:t>
            </w:r>
          </w:p>
        </w:tc>
      </w:tr>
      <w:tr>
        <w:trPr/>
        <w:tc>
          <w:tcPr>
            <w:tcW w:type="dxa" w:w="26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Servidor</w:t>
            </w:r>
          </w:p>
        </w:tc>
        <w:tc>
          <w:tcPr>
            <w:tcW w:type="dxa" w:w="67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HTTP nativo de Node y API JSON</w:t>
            </w:r>
          </w:p>
        </w:tc>
      </w:tr>
      <w:tr>
        <w:trPr/>
        <w:tc>
          <w:tcPr>
            <w:tcW w:type="dxa" w:w="26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Frontend</w:t>
            </w:r>
          </w:p>
        </w:tc>
        <w:tc>
          <w:tcPr>
            <w:tcW w:type="dxa" w:w="67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HTML, CSS y JavaScript nativos</w:t>
            </w:r>
          </w:p>
        </w:tc>
      </w:tr>
      <w:tr>
        <w:trPr/>
        <w:tc>
          <w:tcPr>
            <w:tcW w:type="dxa" w:w="26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Datos</w:t>
            </w:r>
          </w:p>
        </w:tc>
        <w:tc>
          <w:tcPr>
            <w:tcW w:type="dxa" w:w="67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Supabase PostgreSQL, Auth y Storage</w:t>
            </w:r>
          </w:p>
        </w:tc>
      </w:tr>
      <w:tr>
        <w:trPr/>
        <w:tc>
          <w:tcPr>
            <w:tcW w:type="dxa" w:w="26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Correo</w:t>
            </w:r>
          </w:p>
        </w:tc>
        <w:tc>
          <w:tcPr>
            <w:tcW w:type="dxa" w:w="67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Resend y dominio joinsclee.com</w:t>
            </w:r>
          </w:p>
        </w:tc>
      </w:tr>
      <w:tr>
        <w:trPr/>
        <w:tc>
          <w:tcPr>
            <w:tcW w:type="dxa" w:w="26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Validación</w:t>
            </w:r>
          </w:p>
        </w:tc>
        <w:tc>
          <w:tcPr>
            <w:tcW w:type="dxa" w:w="67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Zod</w:t>
            </w:r>
          </w:p>
        </w:tc>
      </w:tr>
      <w:tr>
        <w:trPr/>
        <w:tc>
          <w:tcPr>
            <w:tcW w:type="dxa" w:w="26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Extracción</w:t>
            </w:r>
          </w:p>
        </w:tc>
        <w:tc>
          <w:tcPr>
            <w:tcW w:type="dxa" w:w="67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Firecrawl, Playwright y parsers PDF</w:t>
            </w:r>
          </w:p>
        </w:tc>
      </w:tr>
      <w:tr>
        <w:trPr/>
        <w:tc>
          <w:tcPr>
            <w:tcW w:type="dxa" w:w="26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Motor</w:t>
            </w:r>
          </w:p>
        </w:tc>
        <w:tc>
          <w:tcPr>
            <w:tcW w:type="dxa" w:w="67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Comparables, estadística robusta e Índice CRECE</w:t>
            </w:r>
          </w:p>
        </w:tc>
      </w:tr>
      <w:tr>
        <w:trPr/>
        <w:tc>
          <w:tcPr>
            <w:tcW w:type="dxa" w:w="26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Automatización</w:t>
            </w:r>
          </w:p>
        </w:tc>
        <w:tc>
          <w:tcPr>
            <w:tcW w:type="dxa" w:w="67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node-cron y scheduler persistido</w:t>
            </w:r>
          </w:p>
        </w:tc>
      </w:tr>
      <w:tr>
        <w:trPr/>
        <w:tc>
          <w:tcPr>
            <w:tcW w:type="dxa" w:w="26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QA</w:t>
            </w:r>
          </w:p>
        </w:tc>
        <w:tc>
          <w:tcPr>
            <w:tcW w:type="dxa" w:w="67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node:test, Playwright y Chromium</w:t>
            </w:r>
          </w:p>
        </w:tc>
      </w:tr>
      <w:tr>
        <w:trPr/>
        <w:tc>
          <w:tcPr>
            <w:tcW w:type="dxa" w:w="26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Infraestructura</w:t>
            </w:r>
          </w:p>
        </w:tc>
        <w:tc>
          <w:tcPr>
            <w:tcW w:type="dxa" w:w="67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Docker, VPS y EasyPanel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fill="EAF2F8"/>
            <w:tcBorders>
              <w:top w:val="single" w:sz="4" w:color="EAF2F8"/>
              <w:left w:val="single" w:sz="4" w:color="EAF2F8"/>
              <w:bottom w:val="single" w:sz="4" w:color="EAF2F8"/>
              <w:right w:val="single" w:sz="4" w:color="EAF2F8"/>
              <w:insideH w:val="single" w:sz="4" w:color="EAF2F8"/>
              <w:insideV w:val="single" w:sz="4" w:color="EAF2F8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2E74B5"/>
                <w:sz w:val="22"/>
              </w:rPr>
              <w:t>Arquitectura comercial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20"/>
              </w:rPr>
              <w:t>La cuenta y las alertas reutilizan Supabase Auth para el corte inicial. Cuando el volumen o la analítica lo exijan, deben migrarse a tablas dedicadas con historial de entregas.</w:t>
            </w:r>
          </w:p>
        </w:tc>
      </w:tr>
    </w:tbl>
    <w:p>
      <w:pPr>
        <w:spacing w:after="0"/>
      </w:pPr>
    </w:p>
    <w:p>
      <w:pPr>
        <w:pStyle w:val="Heading2"/>
      </w:pPr>
      <w:r>
        <w:t>Controles incorporados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Autorización Bearer en cuenta, favoritos y administración.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Rol administrativo explícito.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Contenido premium redactado antes de salir del servidor.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Escape de contenido HTML en correos.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Idempotencia de proveedor, historial y reintentos.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Límites de abuso para endpoints sensibles.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Proceso interno cerrado si falta secreto o proveedor.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Límites y validación de payloads.</w:t>
      </w:r>
    </w:p>
    <w:p>
      <w:r>
        <w:br w:type="page"/>
      </w:r>
    </w:p>
    <w:p>
      <w:pPr>
        <w:pStyle w:val="Heading1"/>
      </w:pPr>
      <w:r>
        <w:t>5. Ruta de 73% a 80%</w:t>
      </w:r>
    </w:p>
    <w:p>
      <w:pPr>
        <w:pStyle w:val="Heading2"/>
      </w:pPr>
      <w:r>
        <w:t>Prioridad 1: activar alertas</w:t>
      </w:r>
    </w:p>
    <w:p>
      <w:pPr>
        <w:pStyle w:val="ListNumber"/>
      </w:pPr>
      <w:r>
        <w:rPr>
          <w:rFonts w:ascii="Calibri" w:hAnsi="Calibri"/>
          <w:b w:val="0"/>
          <w:i w:val="0"/>
          <w:color w:val="202124"/>
          <w:sz w:val="22"/>
        </w:rPr>
        <w:t>Ejecutar un canary dirigido a una cuenta autorizada.</w:t>
      </w:r>
    </w:p>
    <w:p>
      <w:pPr>
        <w:pStyle w:val="ListNumber"/>
      </w:pPr>
      <w:r>
        <w:rPr>
          <w:rFonts w:ascii="Calibri" w:hAnsi="Calibri"/>
          <w:b w:val="0"/>
          <w:i w:val="0"/>
          <w:color w:val="202124"/>
          <w:sz w:val="22"/>
        </w:rPr>
        <w:t>Revisar el destinatario y habilitar el trabajo semanal.</w:t>
      </w:r>
    </w:p>
    <w:p>
      <w:pPr>
        <w:pStyle w:val="ListNumber"/>
      </w:pPr>
      <w:r>
        <w:rPr>
          <w:rFonts w:ascii="Calibri" w:hAnsi="Calibri"/>
          <w:b w:val="0"/>
          <w:i w:val="0"/>
          <w:color w:val="202124"/>
          <w:sz w:val="22"/>
        </w:rPr>
        <w:t>Monitorear el primer ciclo automático y su historial de entregas.</w:t>
      </w:r>
    </w:p>
    <w:p>
      <w:pPr>
        <w:pStyle w:val="Heading2"/>
      </w:pPr>
      <w:r>
        <w:t>Prioridad 2: cerrar planes y pago</w:t>
      </w:r>
    </w:p>
    <w:p>
      <w:pPr>
        <w:pStyle w:val="ListNumber"/>
      </w:pPr>
      <w:r>
        <w:rPr>
          <w:rFonts w:ascii="Calibri" w:hAnsi="Calibri"/>
          <w:b w:val="0"/>
          <w:i w:val="0"/>
          <w:color w:val="202124"/>
          <w:sz w:val="22"/>
        </w:rPr>
        <w:t>Aprobar precio, moneda, periodicidad, prueba y cancelación.</w:t>
      </w:r>
    </w:p>
    <w:p>
      <w:pPr>
        <w:pStyle w:val="ListNumber"/>
      </w:pPr>
      <w:r>
        <w:rPr>
          <w:rFonts w:ascii="Calibri" w:hAnsi="Calibri"/>
          <w:b w:val="0"/>
          <w:i w:val="0"/>
          <w:color w:val="202124"/>
          <w:sz w:val="22"/>
        </w:rPr>
        <w:t>Elegir proveedor de pago.</w:t>
      </w:r>
    </w:p>
    <w:p>
      <w:pPr>
        <w:pStyle w:val="ListNumber"/>
      </w:pPr>
      <w:r>
        <w:rPr>
          <w:rFonts w:ascii="Calibri" w:hAnsi="Calibri"/>
          <w:b w:val="0"/>
          <w:i w:val="0"/>
          <w:color w:val="202124"/>
          <w:sz w:val="22"/>
        </w:rPr>
        <w:t>Implementar checkout, webhooks, renovación y fallo de cobro.</w:t>
      </w:r>
    </w:p>
    <w:p>
      <w:pPr>
        <w:pStyle w:val="Heading2"/>
      </w:pPr>
      <w:r>
        <w:t>Prioridad 3: canon observado</w:t>
      </w:r>
    </w:p>
    <w:p>
      <w:pPr>
        <w:pStyle w:val="ListNumber"/>
      </w:pPr>
      <w:r>
        <w:rPr>
          <w:rFonts w:ascii="Calibri" w:hAnsi="Calibri"/>
          <w:b w:val="0"/>
          <w:i w:val="0"/>
          <w:color w:val="202124"/>
          <w:sz w:val="22"/>
        </w:rPr>
        <w:t>Definir una fuente legal/autorizada.</w:t>
      </w:r>
    </w:p>
    <w:p>
      <w:pPr>
        <w:pStyle w:val="ListNumber"/>
      </w:pPr>
      <w:r>
        <w:rPr>
          <w:rFonts w:ascii="Calibri" w:hAnsi="Calibri"/>
          <w:b w:val="0"/>
          <w:i w:val="0"/>
          <w:color w:val="202124"/>
          <w:sz w:val="22"/>
        </w:rPr>
        <w:t>Normalizar y trazar vigencia por ciudad, zona, tipo y área.</w:t>
      </w:r>
    </w:p>
    <w:p>
      <w:pPr>
        <w:pStyle w:val="ListNumber"/>
      </w:pPr>
      <w:r>
        <w:rPr>
          <w:rFonts w:ascii="Calibri" w:hAnsi="Calibri"/>
          <w:b w:val="0"/>
          <w:i w:val="0"/>
          <w:color w:val="202124"/>
          <w:sz w:val="22"/>
        </w:rPr>
        <w:t>Separar rentabilidad declarada de rentabilidad basada en datos.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fill="EAF5EF"/>
            <w:tcBorders>
              <w:top w:val="single" w:sz="4" w:color="EAF5EF"/>
              <w:left w:val="single" w:sz="4" w:color="EAF5EF"/>
              <w:bottom w:val="single" w:sz="4" w:color="EAF5EF"/>
              <w:right w:val="single" w:sz="4" w:color="EAF5EF"/>
              <w:insideH w:val="single" w:sz="4" w:color="EAF5EF"/>
              <w:insideV w:val="single" w:sz="4" w:color="EAF5EF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237A57"/>
                <w:sz w:val="22"/>
              </w:rPr>
              <w:t>Condición para superar 80%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20"/>
              </w:rPr>
              <w:t>Alertas entregadas, checkout funcional y una primera fuente de canon autorizada. Las integraciones Low Ticket/Tradentia pueden quedar después si el tercero no entrega especificación.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 Dependencias externas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500"/>
        <w:gridCol w:w="3600"/>
        <w:gridCol w:w="3260"/>
      </w:tblGrid>
      <w:tr>
        <w:trPr>
          <w:tblHeader w:val="true"/>
        </w:trPr>
        <w:tc>
          <w:tcPr>
            <w:tcW w:type="dxa" w:w="2500"/>
            <w:shd w:fill="17365D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Dependencia</w:t>
            </w:r>
          </w:p>
        </w:tc>
        <w:tc>
          <w:tcPr>
            <w:tcW w:type="dxa" w:w="3600"/>
            <w:shd w:fill="17365D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Decisión</w:t>
            </w:r>
          </w:p>
        </w:tc>
        <w:tc>
          <w:tcPr>
            <w:tcW w:type="dxa" w:w="3260"/>
            <w:shd w:fill="17365D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Código</w:t>
            </w:r>
          </w:p>
        </w:tc>
      </w:tr>
      <w:tr>
        <w:trPr/>
        <w:tc>
          <w:tcPr>
            <w:tcW w:type="dxa" w:w="25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Precio Radar Pro</w:t>
            </w:r>
          </w:p>
        </w:tc>
        <w:tc>
          <w:tcPr>
            <w:tcW w:type="dxa" w:w="36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Tarifa y beneficios</w:t>
            </w:r>
          </w:p>
        </w:tc>
        <w:tc>
          <w:tcPr>
            <w:tcW w:type="dxa" w:w="32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Página y catálogo listos</w:t>
            </w:r>
          </w:p>
        </w:tc>
      </w:tr>
      <w:tr>
        <w:trPr/>
        <w:tc>
          <w:tcPr>
            <w:tcW w:type="dxa" w:w="25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Proveedor de pago</w:t>
            </w:r>
          </w:p>
        </w:tc>
        <w:tc>
          <w:tcPr>
            <w:tcW w:type="dxa" w:w="36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Elegir proveedor</w:t>
            </w:r>
          </w:p>
        </w:tc>
        <w:tc>
          <w:tcPr>
            <w:tcW w:type="dxa" w:w="32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Estados listos; checkout pendiente</w:t>
            </w:r>
          </w:p>
        </w:tc>
      </w:tr>
      <w:tr>
        <w:trPr/>
        <w:tc>
          <w:tcPr>
            <w:tcW w:type="dxa" w:w="25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Resend</w:t>
            </w:r>
          </w:p>
        </w:tc>
        <w:tc>
          <w:tcPr>
            <w:tcW w:type="dxa" w:w="36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Ejecutar canary dirigido</w:t>
            </w:r>
          </w:p>
        </w:tc>
        <w:tc>
          <w:tcPr>
            <w:tcW w:type="dxa" w:w="32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Dominio, secretos y despliegue listos</w:t>
            </w:r>
          </w:p>
        </w:tc>
      </w:tr>
      <w:tr>
        <w:trPr/>
        <w:tc>
          <w:tcPr>
            <w:tcW w:type="dxa" w:w="25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EasyPanel cron</w:t>
            </w:r>
          </w:p>
        </w:tc>
        <w:tc>
          <w:tcPr>
            <w:tcW w:type="dxa" w:w="36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Validar y habilitar</w:t>
            </w:r>
          </w:p>
        </w:tc>
        <w:tc>
          <w:tcPr>
            <w:tcW w:type="dxa" w:w="32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Trabajo semanal desplegado</w:t>
            </w:r>
          </w:p>
        </w:tc>
      </w:tr>
      <w:tr>
        <w:trPr/>
        <w:tc>
          <w:tcPr>
            <w:tcW w:type="dxa" w:w="25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Canon</w:t>
            </w:r>
          </w:p>
        </w:tc>
        <w:tc>
          <w:tcPr>
            <w:tcW w:type="dxa" w:w="36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Fuente autorizada</w:t>
            </w:r>
          </w:p>
        </w:tc>
        <w:tc>
          <w:tcPr>
            <w:tcW w:type="dxa" w:w="32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Cálculo manual listo</w:t>
            </w:r>
          </w:p>
        </w:tc>
      </w:tr>
      <w:tr>
        <w:trPr/>
        <w:tc>
          <w:tcPr>
            <w:tcW w:type="dxa" w:w="25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Low Ticket/Tradentia</w:t>
            </w:r>
          </w:p>
        </w:tc>
        <w:tc>
          <w:tcPr>
            <w:tcW w:type="dxa" w:w="36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API o especificación</w:t>
            </w:r>
          </w:p>
        </w:tc>
        <w:tc>
          <w:tcPr>
            <w:tcW w:type="dxa" w:w="32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Pendiente externo</w:t>
            </w:r>
          </w:p>
        </w:tc>
      </w:tr>
      <w:tr>
        <w:trPr/>
        <w:tc>
          <w:tcPr>
            <w:tcW w:type="dxa" w:w="25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Administrador</w:t>
            </w:r>
          </w:p>
        </w:tc>
        <w:tc>
          <w:tcPr>
            <w:tcW w:type="dxa" w:w="36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Usuario autorizado</w:t>
            </w:r>
          </w:p>
        </w:tc>
        <w:tc>
          <w:tcPr>
            <w:tcW w:type="dxa" w:w="32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Control listo</w:t>
            </w:r>
          </w:p>
        </w:tc>
      </w:tr>
    </w:tbl>
    <w:p>
      <w:pPr>
        <w:spacing w:after="0"/>
      </w:pPr>
    </w:p>
    <w:p>
      <w:pPr>
        <w:pStyle w:val="Heading2"/>
      </w:pPr>
      <w:r>
        <w:t>Variables para alertas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RESEND_API_KEY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ALERTS_FROM_EMAIL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ALERTS_CRON_SECRET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APP_BASE_URL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fill="FFF6DD"/>
            <w:tcBorders>
              <w:top w:val="single" w:sz="4" w:color="FFF6DD"/>
              <w:left w:val="single" w:sz="4" w:color="FFF6DD"/>
              <w:bottom w:val="single" w:sz="4" w:color="FFF6DD"/>
              <w:right w:val="single" w:sz="4" w:color="FFF6DD"/>
              <w:insideH w:val="single" w:sz="4" w:color="FFF6DD"/>
              <w:insideV w:val="single" w:sz="4" w:color="FFF6DD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8A5B00"/>
                <w:sz w:val="22"/>
              </w:rPr>
              <w:t>Comportamiento seguro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20"/>
              </w:rPr>
              <w:t>Las variables ya están guardadas en EasyPanel. El trabajo semanal permanece deshabilitado en Supabase hasta revisar el destinatario y completar el canary.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Límites y endurecimiento</w:t>
      </w:r>
    </w:p>
    <w:p>
      <w:pPr>
        <w:pStyle w:val="Heading2"/>
      </w:pPr>
      <w:r>
        <w:t>No debe afirmarse todavía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Que Radar Pro ya cobra o renueva.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Que las alertas semanales ya están activadas para usuarios reales.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Que el canon proviene de una fuente de mercado.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Que Low Ticket o Tradentia ya están integrados.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Que existe un SLA empresarial.</w:t>
      </w:r>
    </w:p>
    <w:p>
      <w:pPr>
        <w:pStyle w:val="Heading2"/>
      </w:pPr>
      <w:r>
        <w:t>Antes de apertura comercial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00"/>
        <w:gridCol w:w="7060"/>
      </w:tblGrid>
      <w:tr>
        <w:trPr>
          <w:tblHeader w:val="true"/>
        </w:trPr>
        <w:tc>
          <w:tcPr>
            <w:tcW w:type="dxa" w:w="2300"/>
            <w:shd w:fill="17365D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Frente</w:t>
            </w:r>
          </w:p>
        </w:tc>
        <w:tc>
          <w:tcPr>
            <w:tcW w:type="dxa" w:w="7060"/>
            <w:shd w:fill="17365D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Resultado esperado</w:t>
            </w:r>
          </w:p>
        </w:tc>
      </w:tr>
      <w:tr>
        <w:trPr/>
        <w:tc>
          <w:tcPr>
            <w:tcW w:type="dxa" w:w="23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Sesión</w:t>
            </w:r>
          </w:p>
        </w:tc>
        <w:tc>
          <w:tcPr>
            <w:tcW w:type="dxa" w:w="70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Cookies HttpOnly/Secure/SameSite y CSRF</w:t>
            </w:r>
          </w:p>
        </w:tc>
      </w:tr>
      <w:tr>
        <w:trPr/>
        <w:tc>
          <w:tcPr>
            <w:tcW w:type="dxa" w:w="23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Abuso</w:t>
            </w:r>
          </w:p>
        </w:tc>
        <w:tc>
          <w:tcPr>
            <w:tcW w:type="dxa" w:w="70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Contadores compartidos al operar varias réplicas</w:t>
            </w:r>
          </w:p>
        </w:tc>
      </w:tr>
      <w:tr>
        <w:trPr/>
        <w:tc>
          <w:tcPr>
            <w:tcW w:type="dxa" w:w="23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Identidad</w:t>
            </w:r>
          </w:p>
        </w:tc>
        <w:tc>
          <w:tcPr>
            <w:tcW w:type="dxa" w:w="70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Verificación de correo</w:t>
            </w:r>
          </w:p>
        </w:tc>
      </w:tr>
      <w:tr>
        <w:trPr/>
        <w:tc>
          <w:tcPr>
            <w:tcW w:type="dxa" w:w="23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Operación</w:t>
            </w:r>
          </w:p>
        </w:tc>
        <w:tc>
          <w:tcPr>
            <w:tcW w:type="dxa" w:w="70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CI/CD, métricas, alarmas y trazas</w:t>
            </w:r>
          </w:p>
        </w:tc>
      </w:tr>
      <w:tr>
        <w:trPr/>
        <w:tc>
          <w:tcPr>
            <w:tcW w:type="dxa" w:w="23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Recuperación</w:t>
            </w:r>
          </w:p>
        </w:tc>
        <w:tc>
          <w:tcPr>
            <w:tcW w:type="dxa" w:w="70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Restore de backup y rollback</w:t>
            </w:r>
          </w:p>
        </w:tc>
      </w:tr>
      <w:tr>
        <w:trPr/>
        <w:tc>
          <w:tcPr>
            <w:tcW w:type="dxa" w:w="23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Calidad</w:t>
            </w:r>
          </w:p>
        </w:tc>
        <w:tc>
          <w:tcPr>
            <w:tcW w:type="dxa" w:w="70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Carga, canary y auditoría WCAG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Guion de demostración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124"/>
          <w:sz w:val="22"/>
        </w:rPr>
        <w:t>Abrir /planes y explicar por qué no se publica una tarifa no aprobada.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124"/>
          <w:sz w:val="22"/>
        </w:rPr>
        <w:t>Iniciar sesión y abrir /cuenta.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124"/>
          <w:sz w:val="22"/>
        </w:rPr>
        <w:t>Mostrar preferencias sincronizadas y crear una alerta.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124"/>
          <w:sz w:val="22"/>
        </w:rPr>
        <w:t>Guardar dos inmuebles y abrir /comparador.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124"/>
          <w:sz w:val="22"/>
        </w:rPr>
        <w:t>Ingresar canon y administración en una ficha.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124"/>
          <w:sz w:val="22"/>
        </w:rPr>
        <w:t>Descargar la exportación de cuenta.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124"/>
          <w:sz w:val="22"/>
        </w:rPr>
        <w:t>Abrir /admin y procesar una prueba sin presentarla como cobro.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124"/>
          <w:sz w:val="22"/>
        </w:rPr>
        <w:t>Mostrar que pago pendiente pausa el acceso Pro.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124"/>
          <w:sz w:val="22"/>
        </w:rPr>
        <w:t>Cerrar con las dependencias para llegar a 80% de Fase 2.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fill="EAF2F8"/>
            <w:tcBorders>
              <w:top w:val="single" w:sz="4" w:color="EAF2F8"/>
              <w:left w:val="single" w:sz="4" w:color="EAF2F8"/>
              <w:bottom w:val="single" w:sz="4" w:color="EAF2F8"/>
              <w:right w:val="single" w:sz="4" w:color="EAF2F8"/>
              <w:insideH w:val="single" w:sz="4" w:color="EAF2F8"/>
              <w:insideV w:val="single" w:sz="4" w:color="EAF2F8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17365D"/>
                <w:sz w:val="22"/>
              </w:rPr>
              <w:t>Frase de cierre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20"/>
              </w:rPr>
              <w:t>“La Fase 1 ya superó el 80%. En Fase 2 ya existen planes, cuenta, alertas trazables, comparador, exportación y rentabilidad. Lo pendiente son decisiones y servicios externos que no debemos fingir.”</w:t>
            </w:r>
          </w:p>
        </w:tc>
      </w:tr>
    </w:tbl>
    <w:p>
      <w:pPr>
        <w:spacing w:after="0"/>
      </w:pPr>
    </w:p>
    <w:p>
      <w:pPr>
        <w:pStyle w:val="Heading2"/>
      </w:pPr>
      <w:r>
        <w:t>Criterio de publicación</w:t>
      </w:r>
    </w:p>
    <w:p>
      <w:r>
        <w:rPr>
          <w:rFonts w:ascii="Calibri" w:hAnsi="Calibri"/>
          <w:b w:val="0"/>
          <w:i w:val="0"/>
          <w:color w:val="202124"/>
          <w:sz w:val="22"/>
        </w:rPr>
        <w:t>El corte ya está desplegado. El siguiente control es ejecutar un canary dirigido y habilitar el trabajo semanal solo después de revisar el destinatario.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360"/>
      <w:jc w:val="left"/>
      <w:tblLayout w:type="fixed"/>
      <w:tblLook w:firstColumn="1" w:firstRow="1" w:lastColumn="0" w:lastRow="0" w:noHBand="0" w:noVBand="1" w:val="04A0"/>
      <w:tblInd w:type="dxa" w:w="120"/>
    </w:tblPr>
    <w:tblGrid>
      <w:gridCol w:w="7800"/>
      <w:gridCol w:w="1560"/>
    </w:tblGrid>
    <w:tr>
      <w:trPr/>
      <w:tc>
        <w:tcPr>
          <w:tcW w:type="dxa" w:w="7800"/>
          <w:vAlign w:val="center"/>
          <w:tcMar>
            <w:top w:type="dxa" w:w="80"/>
            <w:bottom w:type="dxa" w:w="80"/>
            <w:start w:type="dxa" w:w="120"/>
            <w:end w:type="dxa" w:w="120"/>
          </w:tcMar>
        </w:tcPr>
        <w:p>
          <w:r>
            <w:rPr>
              <w:rFonts w:ascii="Calibri" w:hAnsi="Calibri"/>
              <w:b w:val="0"/>
              <w:i w:val="0"/>
              <w:color w:val="5F6368"/>
              <w:sz w:val="16"/>
            </w:rPr>
            <w:t>Radar CRECE · 25 jul 2026</w:t>
          </w:r>
        </w:p>
      </w:tc>
      <w:tc>
        <w:tcPr>
          <w:tcW w:type="dxa" w:w="1560"/>
          <w:vAlign w:val="center"/>
          <w:tcMar>
            <w:top w:type="dxa" w:w="80"/>
            <w:bottom w:type="dxa" w:w="80"/>
            <w:start w:type="dxa" w:w="120"/>
            <w:end w:type="dxa" w:w="120"/>
          </w:tcMar>
        </w:tcPr>
        <w:p>
          <w:pPr>
            <w:jc w:val="right"/>
          </w:pPr>
          <w:r>
            <w:rPr>
              <w:rFonts w:ascii="Calibri" w:hAnsi="Calibri"/>
              <w:b w:val="0"/>
              <w:i w:val="0"/>
              <w:color w:val="5F6368"/>
              <w:sz w:val="16"/>
            </w:rPr>
            <w:fldChar w:fldCharType="begin"/>
            <w:instrText xml:space="preserve"> PAGE </w:instrText>
            <w:fldChar w:fldCharType="separate"/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color="DADCE0"/>
      </w:pBdr>
    </w:pPr>
    <w:r>
      <w:rPr>
        <w:rFonts w:ascii="Calibri" w:hAnsi="Calibri"/>
        <w:b/>
        <w:i w:val="0"/>
        <w:color w:val="17365D"/>
        <w:sz w:val="16"/>
      </w:rPr>
      <w:t>RADAR DE OPORTUNIDADES  /  FASE 2</w:t>
    </w:r>
    <w:r>
      <w:rPr>
        <w:rFonts w:ascii="Calibri" w:hAnsi="Calibri"/>
        <w:b/>
        <w:i w:val="0"/>
        <w:color w:val="2E74B5"/>
        <w:sz w:val="16"/>
      </w:rPr>
      <w:t xml:space="preserve">     INFORME VERIFICABLE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2021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Radar de Oportunidades - Informe de avance Fase 2</dc:title>
  <dc:subject>Estado funcional, QA, stack y pendientes externos</dc:subject>
  <dc:creator>Equipo Radar CRECE</dc:creator>
  <cp:keywords>Radar CRECE, Fase 2, planes, alertas, comparador, rentabilidad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