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9576"/>
      </w:tblGrid>
      <w:tr>
        <w:tc>
          <w:tcPr>
            <w:tcW w:type="dxa" w:w="5040"/>
            <w:shd w:fill="F2CA04"/>
            <w:tcMar>
              <w:top w:w="70" w:type="dxa"/>
              <w:start w:w="10" w:type="dxa"/>
              <w:bottom w:w="70" w:type="dxa"/>
              <w:end w:w="10" w:type="dxa"/>
            </w:tcMar>
          </w:tcPr>
          <w:p/>
        </w:tc>
        <w:tc>
          <w:tcPr>
            <w:tcW w:type="dxa" w:w="5040"/>
            <w:shd w:fill="12355B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RADAR DE OPORTUNIDADES · SISTEMA CRECE</w:t>
            </w:r>
          </w:p>
        </w:tc>
      </w:tr>
    </w:tbl>
    <w:p>
      <w:pPr>
        <w:spacing w:after="560"/>
      </w:pPr>
    </w:p>
    <w:p>
      <w:pPr>
        <w:spacing w:after="140"/>
      </w:pPr>
      <w:r>
        <w:rPr>
          <w:rFonts w:ascii="Arial" w:hAnsi="Arial" w:eastAsia="Arial"/>
          <w:b/>
          <w:i w:val="0"/>
          <w:color w:val="3D78A8"/>
          <w:sz w:val="20"/>
        </w:rPr>
        <w:t>INFORME DE AVANCE</w:t>
      </w:r>
    </w:p>
    <w:p>
      <w:pPr>
        <w:spacing w:after="160" w:line="228" w:lineRule="auto"/>
      </w:pPr>
      <w:r>
        <w:rPr>
          <w:rFonts w:ascii="Arial" w:hAnsi="Arial" w:eastAsia="Arial"/>
          <w:b/>
          <w:i w:val="0"/>
          <w:color w:val="12355B"/>
          <w:sz w:val="56"/>
        </w:rPr>
        <w:t>Radar de Oportunidades</w:t>
        <w:br/>
        <w:t>Inmobiliarias</w:t>
      </w:r>
    </w:p>
    <w:p>
      <w:pPr>
        <w:spacing w:after="440"/>
      </w:pPr>
      <w:r>
        <w:rPr>
          <w:rFonts w:ascii="Arial" w:hAnsi="Arial" w:eastAsia="Arial"/>
          <w:b w:val="0"/>
          <w:i w:val="0"/>
          <w:color w:val="5B6775"/>
          <w:sz w:val="24"/>
        </w:rPr>
        <w:t>Trazabilidad de Fase 1, stack técnico, evidencia de QA y plan de endurecimiento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2232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52"/>
              </w:rPr>
              <w:t>84%</w:t>
            </w:r>
          </w:p>
        </w:tc>
        <w:tc>
          <w:tcPr>
            <w:tcW w:type="dxa" w:w="7848"/>
            <w:shd w:fill="E9F2FA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12355B"/>
              <w:top w:val="single" w:sz="2" w:color="E9F2FA"/>
              <w:bottom w:val="single" w:sz="2" w:color="E9F2FA"/>
              <w:right w:val="single" w:sz="2" w:color="E9F2F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2355B"/>
                <w:sz w:val="21"/>
              </w:rPr>
              <w:t>Avance real de Fase 1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El MVP supera el objetivo solicitado del 80%. El cálculo excluye explícitamente los elementos aprobados para Fase 2.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c>
          <w:tcPr>
            <w:tcW w:type="dxa" w:w="5040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CBD6E2"/>
            </w:tcBorders>
          </w:tcPr>
          <w:p>
            <w:r>
              <w:rPr>
                <w:rFonts w:ascii="Arial" w:hAnsi="Arial" w:eastAsia="Arial"/>
                <w:b/>
                <w:i w:val="0"/>
                <w:color w:val="3D78A8"/>
                <w:sz w:val="15"/>
              </w:rPr>
              <w:t>PREPARADO PARA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CBD6E2"/>
            </w:tcBorders>
          </w:tcPr>
          <w:p>
            <w:r>
              <w:rPr>
                <w:rFonts w:ascii="Arial" w:hAnsi="Arial" w:eastAsia="Arial"/>
                <w:b/>
                <w:i w:val="0"/>
                <w:color w:val="1F2937"/>
                <w:sz w:val="18"/>
              </w:rPr>
              <w:t>Andrés Giraldo</w:t>
            </w:r>
          </w:p>
        </w:tc>
      </w:tr>
      <w:tr>
        <w:tc>
          <w:tcPr>
            <w:tcW w:type="dxa" w:w="5040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CBD6E2"/>
            </w:tcBorders>
          </w:tcPr>
          <w:p>
            <w:r>
              <w:rPr>
                <w:rFonts w:ascii="Arial" w:hAnsi="Arial" w:eastAsia="Arial"/>
                <w:b/>
                <w:i w:val="0"/>
                <w:color w:val="3D78A8"/>
                <w:sz w:val="15"/>
              </w:rPr>
              <w:t>ESTADO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CBD6E2"/>
            </w:tcBorders>
          </w:tcPr>
          <w:p>
            <w:r>
              <w:rPr>
                <w:rFonts w:ascii="Arial" w:hAnsi="Arial" w:eastAsia="Arial"/>
                <w:b/>
                <w:i w:val="0"/>
                <w:color w:val="1F2937"/>
                <w:sz w:val="18"/>
              </w:rPr>
              <w:t>MVP funcional en producción · apto para demo y piloto controlado</w:t>
            </w:r>
          </w:p>
        </w:tc>
      </w:tr>
      <w:tr>
        <w:tc>
          <w:tcPr>
            <w:tcW w:type="dxa" w:w="5040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CBD6E2"/>
            </w:tcBorders>
          </w:tcPr>
          <w:p>
            <w:r>
              <w:rPr>
                <w:rFonts w:ascii="Arial" w:hAnsi="Arial" w:eastAsia="Arial"/>
                <w:b/>
                <w:i w:val="0"/>
                <w:color w:val="3D78A8"/>
                <w:sz w:val="15"/>
              </w:rPr>
              <w:t>CORTE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CBD6E2"/>
            </w:tcBorders>
          </w:tcPr>
          <w:p>
            <w:r>
              <w:rPr>
                <w:rFonts w:ascii="Arial" w:hAnsi="Arial" w:eastAsia="Arial"/>
                <w:b/>
                <w:i w:val="0"/>
                <w:color w:val="1F2937"/>
                <w:sz w:val="18"/>
              </w:rPr>
              <w:t>24 de julio de 2026</w:t>
            </w:r>
          </w:p>
        </w:tc>
      </w:tr>
      <w:tr>
        <w:tc>
          <w:tcPr>
            <w:tcW w:type="dxa" w:w="5040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CBD6E2"/>
            </w:tcBorders>
          </w:tcPr>
          <w:p>
            <w:r>
              <w:rPr>
                <w:rFonts w:ascii="Arial" w:hAnsi="Arial" w:eastAsia="Arial"/>
                <w:b/>
                <w:i w:val="0"/>
                <w:color w:val="3D78A8"/>
                <w:sz w:val="15"/>
              </w:rPr>
              <w:t>PRODUCCIÓN</w:t>
            </w:r>
          </w:p>
        </w:tc>
        <w:tc>
          <w:tcPr>
            <w:tcW w:type="dxa" w:w="50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CBD6E2"/>
            </w:tcBorders>
          </w:tcPr>
          <w:p>
            <w:r>
              <w:rPr>
                <w:rFonts w:ascii="Arial" w:hAnsi="Arial" w:eastAsia="Arial"/>
                <w:b/>
                <w:i w:val="0"/>
                <w:color w:val="1F2937"/>
                <w:sz w:val="18"/>
              </w:rPr>
              <w:t>joinsclee-radar.juno8i.easypanel.host</w:t>
            </w:r>
          </w:p>
        </w:tc>
      </w:tr>
    </w:tbl>
    <w:p>
      <w:pPr>
        <w:spacing w:after="1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A96700"/>
              <w:top w:val="single" w:sz="2" w:color="FFF3D6"/>
              <w:bottom w:val="single" w:sz="2" w:color="FFF3D6"/>
              <w:right w:val="single" w:sz="2" w:color="FFF3D6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A96700"/>
                <w:sz w:val="21"/>
              </w:rPr>
              <w:t>Lectura honesta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La aplicación está desplegada, usa datos reales y sus recorridos críticos pasan en local y producción. Todavía no debe venderse como un sistema con SLA empresarial ni como 100% endurecido para campañas masivas.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i w:val="0"/>
          <w:color w:val="3D78A8"/>
          <w:sz w:val="20"/>
        </w:rPr>
        <w:t>01</w:t>
      </w:r>
      <w:r>
        <w:t xml:space="preserve">  </w:t>
      </w:r>
      <w:r>
        <w:rPr>
          <w:rFonts w:ascii="Arial" w:hAnsi="Arial" w:eastAsia="Arial"/>
          <w:b/>
          <w:i w:val="0"/>
          <w:color w:val="12355B"/>
          <w:sz w:val="38"/>
        </w:rPr>
        <w:t>Resumen ejecutivo</w:t>
      </w:r>
    </w:p>
    <w:p>
      <w:pPr>
        <w:keepNext/>
        <w:spacing w:after="240"/>
      </w:pPr>
      <w:r>
        <w:rPr>
          <w:rFonts w:ascii="Arial" w:hAnsi="Arial" w:eastAsia="Arial"/>
          <w:b w:val="0"/>
          <w:i w:val="0"/>
          <w:color w:val="5B6775"/>
          <w:sz w:val="19"/>
        </w:rPr>
        <w:t>Qué puede afirmarse hoy — y qué 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2232"/>
            <w:shd w:fill="237A5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52"/>
              </w:rPr>
              <w:t>84%</w:t>
            </w:r>
          </w:p>
        </w:tc>
        <w:tc>
          <w:tcPr>
            <w:tcW w:type="dxa" w:w="7848"/>
            <w:shd w:fill="E8F4EE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237A57"/>
              <w:top w:val="single" w:sz="2" w:color="E8F4EE"/>
              <w:bottom w:val="single" w:sz="2" w:color="E8F4EE"/>
              <w:right w:val="single" w:sz="2" w:color="E8F4EE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237A57"/>
                <w:sz w:val="21"/>
              </w:rPr>
              <w:t>Conclusión para la reunión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Sí hemos superado el 80%: el avance ponderado es 83,6%, comunicado como 84% con un rango razonable de 82–85%.</w:t>
            </w:r>
          </w:p>
        </w:tc>
      </w:tr>
    </w:tbl>
    <w:p>
      <w:pPr>
        <w:spacing w:after="0"/>
      </w:pPr>
    </w:p>
    <w:p>
      <w:pPr>
        <w:spacing w:after="140" w:line="259" w:lineRule="auto"/>
      </w:pPr>
      <w:r>
        <w:rPr>
          <w:rFonts w:ascii="Arial" w:hAnsi="Arial" w:eastAsia="Arial"/>
          <w:b w:val="0"/>
          <w:i w:val="0"/>
          <w:color w:val="1F2937"/>
          <w:sz w:val="19"/>
        </w:rPr>
        <w:t>El Radar ya es un producto demostrable: consulta Supabase en vivo, reúne Portal, activos bancarios y remates, calcula oportunidades, aplica reglas CRECE, permite filtrar, revisar fichas, guardar inmuebles, simular costos e iniciar sesión por correo o Google.</w:t>
      </w: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1F5A94"/>
          <w:sz w:val="23"/>
        </w:rPr>
        <w:t>Qué sí está listo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237A57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Demo completa en el dominio público con datos reales y recorridos coherentes en escritorio y móvil.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237A57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Motor estadístico y reglas de negocio verificadas por pruebas automatizadas.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237A57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Autenticación por correo y Google OAuth; favoritos anónimos y sincronizables.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237A57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Baseline de seguridad HTTP, sanitización de datos y barrera contra valores financieros imposibles.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237A57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Suite E2E reproducible que pasa tanto en local como sobre producción.</w:t>
      </w: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A96700"/>
          <w:sz w:val="23"/>
        </w:rPr>
        <w:t>Qué no debe prometerse todavía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A967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SLA empresarial, alta disponibilidad o recuperación probada ante incidentes.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A967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Protección completa ante abuso masivo de login, registro o análisis IA.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A967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Trazabilidad de eventos cerrada al 100% en todos los scrapers y boletines AVAL.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A96700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Alertas por correo entregadas y observabilidad centralizada.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9F2FA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1F5A94"/>
              <w:top w:val="single" w:sz="2" w:color="E9F2FA"/>
              <w:bottom w:val="single" w:sz="2" w:color="E9F2FA"/>
              <w:right w:val="single" w:sz="2" w:color="E9F2F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F5A94"/>
                <w:sz w:val="21"/>
              </w:rPr>
              <w:t>Posicionamiento recomendado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“MVP funcional en producción, apto para demo y piloto controlado; con un plan de endurecimiento concreto para apertura comercial.”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i w:val="0"/>
          <w:color w:val="3D78A8"/>
          <w:sz w:val="20"/>
        </w:rPr>
        <w:t>02</w:t>
      </w:r>
      <w:r>
        <w:t xml:space="preserve">  </w:t>
      </w:r>
      <w:r>
        <w:rPr>
          <w:rFonts w:ascii="Arial" w:hAnsi="Arial" w:eastAsia="Arial"/>
          <w:b/>
          <w:i w:val="0"/>
          <w:color w:val="12355B"/>
          <w:sz w:val="38"/>
        </w:rPr>
        <w:t>Método de avance</w:t>
      </w:r>
    </w:p>
    <w:p>
      <w:pPr>
        <w:keepNext/>
        <w:spacing w:after="240"/>
      </w:pPr>
      <w:r>
        <w:rPr>
          <w:rFonts w:ascii="Arial" w:hAnsi="Arial" w:eastAsia="Arial"/>
          <w:b w:val="0"/>
          <w:i w:val="0"/>
          <w:color w:val="5B6775"/>
          <w:sz w:val="19"/>
        </w:rPr>
        <w:t>Porcentaje ponderado sobre la Fase 1 acordada</w:t>
      </w:r>
    </w:p>
    <w:p>
      <w:pPr>
        <w:spacing w:after="140" w:line="259" w:lineRule="auto"/>
      </w:pPr>
      <w:r>
        <w:rPr>
          <w:rFonts w:ascii="Arial" w:hAnsi="Arial" w:eastAsia="Arial"/>
          <w:b w:val="0"/>
          <w:i w:val="0"/>
          <w:color w:val="1F2937"/>
          <w:sz w:val="19"/>
        </w:rPr>
        <w:t>El cálculo no es una suma de pantallas. Cada bloque se pondera por su peso en las HU y por su importancia para operar el MVP. Los elementos aprobados para Fase 2 no se cuentan como deuda.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1224"/>
        <w:gridCol w:w="1656"/>
        <w:gridCol w:w="1656"/>
      </w:tblGrid>
      <w:tr>
        <w:trPr>
          <w:tblHeader w:val="true"/>
        </w:trPr>
        <w:tc>
          <w:tcPr>
            <w:tcW w:type="dxa" w:w="5544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Bloque</w:t>
            </w:r>
          </w:p>
        </w:tc>
        <w:tc>
          <w:tcPr>
            <w:tcW w:type="dxa" w:w="1224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Peso</w:t>
            </w:r>
          </w:p>
        </w:tc>
        <w:tc>
          <w:tcPr>
            <w:tcW w:type="dxa" w:w="1656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Cumplimiento</w:t>
            </w:r>
          </w:p>
        </w:tc>
        <w:tc>
          <w:tcPr>
            <w:tcW w:type="dxa" w:w="1656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Aporte</w:t>
            </w:r>
          </w:p>
        </w:tc>
      </w:tr>
      <w:tr>
        <w:tc>
          <w:tcPr>
            <w:tcW w:type="dxa" w:w="554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Núcleo CRECE y comparables</w:t>
            </w:r>
          </w:p>
        </w:tc>
        <w:tc>
          <w:tcPr>
            <w:tcW w:type="dxa" w:w="12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20%</w:t>
            </w:r>
          </w:p>
        </w:tc>
        <w:tc>
          <w:tcPr>
            <w:tcW w:type="dxa" w:w="16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95%</w:t>
            </w:r>
          </w:p>
        </w:tc>
        <w:tc>
          <w:tcPr>
            <w:tcW w:type="dxa" w:w="16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19,0</w:t>
            </w:r>
          </w:p>
        </w:tc>
      </w:tr>
      <w:tr>
        <w:tc>
          <w:tcPr>
            <w:tcW w:type="dxa" w:w="554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Portal, rangos y vigencia</w:t>
            </w:r>
          </w:p>
        </w:tc>
        <w:tc>
          <w:tcPr>
            <w:tcW w:type="dxa" w:w="12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15%</w:t>
            </w:r>
          </w:p>
        </w:tc>
        <w:tc>
          <w:tcPr>
            <w:tcW w:type="dxa" w:w="16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78%</w:t>
            </w:r>
          </w:p>
        </w:tc>
        <w:tc>
          <w:tcPr>
            <w:tcW w:type="dxa" w:w="16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11,7</w:t>
            </w:r>
          </w:p>
        </w:tc>
      </w:tr>
      <w:tr>
        <w:tc>
          <w:tcPr>
            <w:tcW w:type="dxa" w:w="554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Activos bancarios generales</w:t>
            </w:r>
          </w:p>
        </w:tc>
        <w:tc>
          <w:tcPr>
            <w:tcW w:type="dxa" w:w="12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15%</w:t>
            </w:r>
          </w:p>
        </w:tc>
        <w:tc>
          <w:tcPr>
            <w:tcW w:type="dxa" w:w="16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82%</w:t>
            </w:r>
          </w:p>
        </w:tc>
        <w:tc>
          <w:tcPr>
            <w:tcW w:type="dxa" w:w="16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12,3</w:t>
            </w:r>
          </w:p>
        </w:tc>
      </w:tr>
      <w:tr>
        <w:tc>
          <w:tcPr>
            <w:tcW w:type="dxa" w:w="554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Grupo AVAL</w:t>
            </w:r>
          </w:p>
        </w:tc>
        <w:tc>
          <w:tcPr>
            <w:tcW w:type="dxa" w:w="12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10%</w:t>
            </w:r>
          </w:p>
        </w:tc>
        <w:tc>
          <w:tcPr>
            <w:tcW w:type="dxa" w:w="16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72%</w:t>
            </w:r>
          </w:p>
        </w:tc>
        <w:tc>
          <w:tcPr>
            <w:tcW w:type="dxa" w:w="16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7,2</w:t>
            </w:r>
          </w:p>
        </w:tc>
      </w:tr>
      <w:tr>
        <w:tc>
          <w:tcPr>
            <w:tcW w:type="dxa" w:w="554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Remates judiciales</w:t>
            </w:r>
          </w:p>
        </w:tc>
        <w:tc>
          <w:tcPr>
            <w:tcW w:type="dxa" w:w="12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15%</w:t>
            </w:r>
          </w:p>
        </w:tc>
        <w:tc>
          <w:tcPr>
            <w:tcW w:type="dxa" w:w="16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92%</w:t>
            </w:r>
          </w:p>
        </w:tc>
        <w:tc>
          <w:tcPr>
            <w:tcW w:type="dxa" w:w="16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13,8</w:t>
            </w:r>
          </w:p>
        </w:tc>
      </w:tr>
      <w:tr>
        <w:tc>
          <w:tcPr>
            <w:tcW w:type="dxa" w:w="554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Producto, UX, autenticación y freemium</w:t>
            </w:r>
          </w:p>
        </w:tc>
        <w:tc>
          <w:tcPr>
            <w:tcW w:type="dxa" w:w="12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15%</w:t>
            </w:r>
          </w:p>
        </w:tc>
        <w:tc>
          <w:tcPr>
            <w:tcW w:type="dxa" w:w="16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88%</w:t>
            </w:r>
          </w:p>
        </w:tc>
        <w:tc>
          <w:tcPr>
            <w:tcW w:type="dxa" w:w="16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13,2</w:t>
            </w:r>
          </w:p>
        </w:tc>
      </w:tr>
      <w:tr>
        <w:tc>
          <w:tcPr>
            <w:tcW w:type="dxa" w:w="554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Producción, seguridad, QA y operación</w:t>
            </w:r>
          </w:p>
        </w:tc>
        <w:tc>
          <w:tcPr>
            <w:tcW w:type="dxa" w:w="12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10%</w:t>
            </w:r>
          </w:p>
        </w:tc>
        <w:tc>
          <w:tcPr>
            <w:tcW w:type="dxa" w:w="16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64%</w:t>
            </w:r>
          </w:p>
        </w:tc>
        <w:tc>
          <w:tcPr>
            <w:tcW w:type="dxa" w:w="16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6,4</w:t>
            </w:r>
          </w:p>
        </w:tc>
      </w:tr>
      <w:tr>
        <w:tc>
          <w:tcPr>
            <w:tcW w:type="dxa" w:w="554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TOTAL PONDERADO</w:t>
            </w:r>
          </w:p>
        </w:tc>
        <w:tc>
          <w:tcPr>
            <w:tcW w:type="dxa" w:w="12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100%</w:t>
            </w:r>
          </w:p>
        </w:tc>
        <w:tc>
          <w:tcPr>
            <w:tcW w:type="dxa" w:w="16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16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83,6%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1F5A94"/>
          <w:sz w:val="23"/>
        </w:rPr>
        <w:t>Reglas del cálculo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1F5A94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Completo: existe en código, está conectado al flujo y tiene evidencia de prueba.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1F5A94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Parcial: existe la base técnica, pero falta integración total, automatización u operación.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1F5A94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Pendiente: no está conectado al producto o requiere una decisión/autorización del negocio.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1F5A94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Fuera de alcance: fue ubicado explícitamente en Fase 2 y no reduce el 84%.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A96700"/>
              <w:top w:val="single" w:sz="2" w:color="FFF3D6"/>
              <w:bottom w:val="single" w:sz="2" w:color="FFF3D6"/>
              <w:right w:val="single" w:sz="2" w:color="FFF3D6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A96700"/>
                <w:sz w:val="21"/>
              </w:rPr>
              <w:t>Rango defendible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La cifra central es 83,6%. Dependiendo de cuánto peso se asigne al endurecimiento operativo, la evaluación razonable se mueve entre 82% y 85%; por eso 84% es una comunicación equilibrada.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i w:val="0"/>
          <w:color w:val="3D78A8"/>
          <w:sz w:val="20"/>
        </w:rPr>
        <w:t>03</w:t>
      </w:r>
      <w:r>
        <w:t xml:space="preserve">  </w:t>
      </w:r>
      <w:r>
        <w:rPr>
          <w:rFonts w:ascii="Arial" w:hAnsi="Arial" w:eastAsia="Arial"/>
          <w:b/>
          <w:i w:val="0"/>
          <w:color w:val="12355B"/>
          <w:sz w:val="38"/>
        </w:rPr>
        <w:t>Evidencia objetiva</w:t>
      </w:r>
    </w:p>
    <w:p>
      <w:pPr>
        <w:keepNext/>
        <w:spacing w:after="240"/>
      </w:pPr>
      <w:r>
        <w:rPr>
          <w:rFonts w:ascii="Arial" w:hAnsi="Arial" w:eastAsia="Arial"/>
          <w:b w:val="0"/>
          <w:i w:val="0"/>
          <w:color w:val="5B6775"/>
          <w:sz w:val="19"/>
        </w:rPr>
        <w:t>Datos, pruebas y controles verificables al corte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3456"/>
      </w:tblGrid>
      <w:tr>
        <w:trPr>
          <w:tblHeader w:val="true"/>
        </w:trPr>
        <w:tc>
          <w:tcPr>
            <w:tcW w:type="dxa" w:w="6624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3456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66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Portal abierto</w:t>
            </w:r>
          </w:p>
        </w:tc>
        <w:tc>
          <w:tcPr>
            <w:tcW w:type="dxa" w:w="34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104.626 listados</w:t>
            </w:r>
          </w:p>
        </w:tc>
      </w:tr>
      <w:tr>
        <w:tc>
          <w:tcPr>
            <w:tcW w:type="dxa" w:w="66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Oportunidades</w:t>
            </w:r>
          </w:p>
        </w:tc>
        <w:tc>
          <w:tcPr>
            <w:tcW w:type="dxa" w:w="34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18.519 detectadas</w:t>
            </w:r>
          </w:p>
        </w:tc>
      </w:tr>
      <w:tr>
        <w:tc>
          <w:tcPr>
            <w:tcW w:type="dxa" w:w="66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Oportunidades fuertes</w:t>
            </w:r>
          </w:p>
        </w:tc>
        <w:tc>
          <w:tcPr>
            <w:tcW w:type="dxa" w:w="34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1.555</w:t>
            </w:r>
          </w:p>
        </w:tc>
      </w:tr>
      <w:tr>
        <w:tc>
          <w:tcPr>
            <w:tcW w:type="dxa" w:w="66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Activos bancarios</w:t>
            </w:r>
          </w:p>
        </w:tc>
        <w:tc>
          <w:tcPr>
            <w:tcW w:type="dxa" w:w="34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501</w:t>
            </w:r>
          </w:p>
        </w:tc>
      </w:tr>
      <w:tr>
        <w:tc>
          <w:tcPr>
            <w:tcW w:type="dxa" w:w="66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Remates judiciales</w:t>
            </w:r>
          </w:p>
        </w:tc>
        <w:tc>
          <w:tcPr>
            <w:tcW w:type="dxa" w:w="34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688</w:t>
            </w:r>
          </w:p>
        </w:tc>
      </w:tr>
      <w:tr>
        <w:tc>
          <w:tcPr>
            <w:tcW w:type="dxa" w:w="66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Cobertura API</w:t>
            </w:r>
          </w:p>
        </w:tc>
        <w:tc>
          <w:tcPr>
            <w:tcW w:type="dxa" w:w="34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67 ciudades</w:t>
            </w:r>
          </w:p>
        </w:tc>
      </w:tr>
      <w:tr>
        <w:tc>
          <w:tcPr>
            <w:tcW w:type="dxa" w:w="66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Pruebas unitarias/integración</w:t>
            </w:r>
          </w:p>
        </w:tc>
        <w:tc>
          <w:tcPr>
            <w:tcW w:type="dxa" w:w="34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80/80 aprobadas</w:t>
            </w:r>
          </w:p>
        </w:tc>
      </w:tr>
      <w:tr>
        <w:tc>
          <w:tcPr>
            <w:tcW w:type="dxa" w:w="66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E2E local</w:t>
            </w:r>
          </w:p>
        </w:tc>
        <w:tc>
          <w:tcPr>
            <w:tcW w:type="dxa" w:w="34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5/5 aprobadas</w:t>
            </w:r>
          </w:p>
        </w:tc>
      </w:tr>
      <w:tr>
        <w:tc>
          <w:tcPr>
            <w:tcW w:type="dxa" w:w="66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E2E producción</w:t>
            </w:r>
          </w:p>
        </w:tc>
        <w:tc>
          <w:tcPr>
            <w:tcW w:type="dxa" w:w="34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5/5 aprobadas</w:t>
            </w:r>
          </w:p>
        </w:tc>
      </w:tr>
      <w:tr>
        <w:tc>
          <w:tcPr>
            <w:tcW w:type="dxa" w:w="66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TypeScript</w:t>
            </w:r>
          </w:p>
        </w:tc>
        <w:tc>
          <w:tcPr>
            <w:tcW w:type="dxa" w:w="34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Sin errores</w:t>
            </w:r>
          </w:p>
        </w:tc>
      </w:tr>
      <w:tr>
        <w:tc>
          <w:tcPr>
            <w:tcW w:type="dxa" w:w="66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Errores de consola E2E</w:t>
            </w:r>
          </w:p>
        </w:tc>
        <w:tc>
          <w:tcPr>
            <w:tcW w:type="dxa" w:w="34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66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Bloqueantes P0/P1 en flujos probados</w:t>
            </w:r>
          </w:p>
        </w:tc>
        <w:tc>
          <w:tcPr>
            <w:tcW w:type="dxa" w:w="34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1F5A94"/>
          <w:sz w:val="23"/>
        </w:rPr>
        <w:t>Recorridos E2E automatizados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237A57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Carga del dashboard, endpoint de salud y configuración pública.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237A57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Navegación Portal → Bancos → Remates y coherencia de filtros.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237A57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Guardado anónimo, persistencia tras recarga y vista Guardados.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237A57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Reglas distintas de contraseña para registro/login y disponibilidad de Google.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237A57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Navegación y filtros utilizables en viewport móvil de 375 × 812.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4EE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237A57"/>
              <w:top w:val="single" w:sz="2" w:color="E8F4EE"/>
              <w:bottom w:val="single" w:sz="2" w:color="E8F4EE"/>
              <w:right w:val="single" w:sz="2" w:color="E8F4EE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237A57"/>
                <w:sz w:val="21"/>
              </w:rPr>
              <w:t>No se alteraron datos de producción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La suite no crea cuentas, no ejecuta scrapers y no escribe en Supabase. La prueba de guardados anónimos usa un contexto limpio y almacenamiento local del navegador.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i w:val="0"/>
          <w:color w:val="3D78A8"/>
          <w:sz w:val="20"/>
        </w:rPr>
        <w:t>04</w:t>
      </w:r>
      <w:r>
        <w:t xml:space="preserve">  </w:t>
      </w:r>
      <w:r>
        <w:rPr>
          <w:rFonts w:ascii="Arial" w:hAnsi="Arial" w:eastAsia="Arial"/>
          <w:b/>
          <w:i w:val="0"/>
          <w:color w:val="12355B"/>
          <w:sz w:val="38"/>
        </w:rPr>
        <w:t>Trazabilidad de las HU</w:t>
      </w:r>
    </w:p>
    <w:p>
      <w:pPr>
        <w:keepNext/>
        <w:spacing w:after="240"/>
      </w:pPr>
      <w:r>
        <w:rPr>
          <w:rFonts w:ascii="Arial" w:hAnsi="Arial" w:eastAsia="Arial"/>
          <w:b w:val="0"/>
          <w:i w:val="0"/>
          <w:color w:val="5B6775"/>
          <w:sz w:val="19"/>
        </w:rPr>
        <w:t>Núcleo, Portal y vigencia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23"/>
      </w:tblGrid>
      <w:tr>
        <w:tc>
          <w:tcPr>
            <w:tcW w:type="dxa" w:w="5040"/>
            <w:shd w:fill="237A5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95%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AVANCE</w:t>
            </w:r>
          </w:p>
        </w:tc>
        <w:tc>
          <w:tcPr>
            <w:tcW w:type="dxa" w:w="5040"/>
            <w:shd w:fill="E8F4E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2355B"/>
                <w:sz w:val="22"/>
              </w:rPr>
              <w:t>Núcleo del Motor de Comparables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237A57"/>
                <w:sz w:val="17"/>
              </w:rPr>
              <w:t xml:space="preserve">Hecho.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Fórmula CRECE; mediana basada en Portal; exclusión de bancos/remates del universo de referencia; outliers; atributos comparables; cascada; 11 categorías; corte 0,71–0,75 resuelto; persistencia del índice.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A96700"/>
                <w:sz w:val="17"/>
              </w:rPr>
              <w:t xml:space="preserve">Pendiente.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Auditar persistencia del 100% de filas históricas y formalizar la decisión del radio/zonas colindantes.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23"/>
      </w:tblGrid>
      <w:tr>
        <w:tc>
          <w:tcPr>
            <w:tcW w:type="dxa" w:w="5040"/>
            <w:shd w:fill="A967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78%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AVANCE</w:t>
            </w:r>
          </w:p>
        </w:tc>
        <w:tc>
          <w:tcPr>
            <w:tcW w:type="dxa" w:w="5040"/>
            <w:shd w:fill="FFF3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2355B"/>
                <w:sz w:val="22"/>
              </w:rPr>
              <w:t>Rango de precio y vigencia de Portal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237A57"/>
                <w:sz w:val="17"/>
              </w:rPr>
              <w:t xml:space="preserve">Hecho.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Configuración por ciudad en base; niveles 1/2; precios y estratos 2–5; reglas 30/90 días; eventos modelados; cadencia semanal.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A96700"/>
                <w:sz w:val="17"/>
              </w:rPr>
              <w:t xml:space="preserve">Pendiente.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Conectar de forma uniforme la escritura de cada evento de ciclo de vida desde los scrapers y verificar activación/población de ciudades.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1F5A94"/>
          <w:sz w:val="23"/>
        </w:rPr>
        <w:t>Decisiones ya resueltas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3168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Decisión</w:t>
            </w:r>
          </w:p>
        </w:tc>
        <w:tc>
          <w:tcPr>
            <w:tcW w:type="dxa" w:w="6912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Tratamiento vigente</w:t>
            </w:r>
          </w:p>
        </w:tc>
      </w:tr>
      <w:tr>
        <w:tc>
          <w:tcPr>
            <w:tcW w:type="dxa" w:w="3168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Vacío 0,71–0,75</w:t>
            </w:r>
          </w:p>
        </w:tc>
        <w:tc>
          <w:tcPr>
            <w:tcW w:type="dxa" w:w="6912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Se cerró dentro de Oportunidad Fuerte, con corte inclusivo 0,75.</w:t>
            </w:r>
          </w:p>
        </w:tc>
      </w:tr>
      <w:tr>
        <w:tc>
          <w:tcPr>
            <w:tcW w:type="dxa" w:w="3168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Cartagena y Bucaramanga</w:t>
            </w:r>
          </w:p>
        </w:tc>
        <w:tc>
          <w:tcPr>
            <w:tcW w:type="dxa" w:w="6912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Configuradas como Nivel 1 en la migración del 20-jul-2026.</w:t>
            </w:r>
          </w:p>
        </w:tc>
      </w:tr>
      <w:tr>
        <w:tc>
          <w:tcPr>
            <w:tcW w:type="dxa" w:w="3168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Cadencia de bancos</w:t>
            </w:r>
          </w:p>
        </w:tc>
        <w:tc>
          <w:tcPr>
            <w:tcW w:type="dxa" w:w="6912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Unificada a 7 días y aplicada en producción.</w:t>
            </w:r>
          </w:p>
        </w:tc>
      </w:tr>
      <w:tr>
        <w:tc>
          <w:tcPr>
            <w:tcW w:type="dxa" w:w="3168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Datos bancarios sin estrato</w:t>
            </w:r>
          </w:p>
        </w:tc>
        <w:tc>
          <w:tcPr>
            <w:tcW w:type="dxa" w:w="6912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No bloquean ni excluyen el inmueble.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9F2FA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1F5A94"/>
              <w:top w:val="single" w:sz="2" w:color="E9F2FA"/>
              <w:bottom w:val="single" w:sz="2" w:color="E9F2FA"/>
              <w:right w:val="single" w:sz="2" w:color="E9F2F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F5A94"/>
                <w:sz w:val="21"/>
              </w:rPr>
              <w:t>Punto de trazabilidad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La tabla `oportunidades_historial` y los tipos de evento existen; la deuda es asegurar que todas las fuentes escriban allí de forma homogénea, no diseñar el modelo desde cero.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i w:val="0"/>
          <w:color w:val="3D78A8"/>
          <w:sz w:val="20"/>
        </w:rPr>
        <w:t>05</w:t>
      </w:r>
      <w:r>
        <w:t xml:space="preserve">  </w:t>
      </w:r>
      <w:r>
        <w:rPr>
          <w:rFonts w:ascii="Arial" w:hAnsi="Arial" w:eastAsia="Arial"/>
          <w:b/>
          <w:i w:val="0"/>
          <w:color w:val="12355B"/>
          <w:sz w:val="38"/>
        </w:rPr>
        <w:t>Trazabilidad de las HU</w:t>
      </w:r>
    </w:p>
    <w:p>
      <w:pPr>
        <w:keepNext/>
        <w:spacing w:after="240"/>
      </w:pPr>
      <w:r>
        <w:rPr>
          <w:rFonts w:ascii="Arial" w:hAnsi="Arial" w:eastAsia="Arial"/>
          <w:b w:val="0"/>
          <w:i w:val="0"/>
          <w:color w:val="5B6775"/>
          <w:sz w:val="19"/>
        </w:rPr>
        <w:t>Bancos y boletín de Grupo AVAL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23"/>
      </w:tblGrid>
      <w:tr>
        <w:tc>
          <w:tcPr>
            <w:tcW w:type="dxa" w:w="5040"/>
            <w:shd w:fill="A967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82%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AVANCE</w:t>
            </w:r>
          </w:p>
        </w:tc>
        <w:tc>
          <w:tcPr>
            <w:tcW w:type="dxa" w:w="5040"/>
            <w:shd w:fill="FFF3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2355B"/>
                <w:sz w:val="22"/>
              </w:rPr>
              <w:t>Motor de Activos Bancarios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237A57"/>
                <w:sz w:val="17"/>
              </w:rPr>
              <w:t xml:space="preserve">Hecho.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Fuentes normalizadas; estrato opcional; interfaz sin filtro de estrato; clasificación contra mercado abierto; frescura “Verificado hace…”; rotación y cadencia semanal.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A96700"/>
                <w:sz w:val="17"/>
              </w:rPr>
              <w:t xml:space="preserve">Pendiente.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Cerrar identidad secundaria para slugs inestables y uniformar retiro/cambio de precio con historial.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23"/>
      </w:tblGrid>
      <w:tr>
        <w:tc>
          <w:tcPr>
            <w:tcW w:type="dxa" w:w="5040"/>
            <w:shd w:fill="A967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72%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AVANCE</w:t>
            </w:r>
          </w:p>
        </w:tc>
        <w:tc>
          <w:tcPr>
            <w:tcW w:type="dxa" w:w="5040"/>
            <w:shd w:fill="FFF3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2355B"/>
                <w:sz w:val="22"/>
              </w:rPr>
              <w:t>Grupo AVAL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237A57"/>
                <w:sz w:val="17"/>
              </w:rPr>
              <w:t xml:space="preserve">Hecho.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Resolución dinámica del PDF; extracción por página; código estable; precio, tipo, área, dirección y ciudad; `area_tipo`; deduplicación e imagen por ficha.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A96700"/>
                <w:sz w:val="17"/>
              </w:rPr>
              <w:t xml:space="preserve">Pendiente.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Normalización ciudad-departamento; extracción opcional marcada; diff entre boletines; validación de insignias y trazabilidad por versión.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1F5A94"/>
          <w:sz w:val="23"/>
        </w:rPr>
        <w:t>Por qué AVAL no se declara completo</w:t>
      </w:r>
    </w:p>
    <w:p>
      <w:pPr>
        <w:spacing w:after="140" w:line="259" w:lineRule="auto"/>
      </w:pPr>
      <w:r>
        <w:rPr>
          <w:rFonts w:ascii="Arial" w:hAnsi="Arial" w:eastAsia="Arial"/>
          <w:b w:val="0"/>
          <w:i w:val="0"/>
          <w:color w:val="1F2937"/>
          <w:sz w:val="19"/>
        </w:rPr>
        <w:t>El extractor ya produce inventario útil y evita el error crítico de comparar área de terreno contra área construida. Sin embargo, la HU también exige un modelo de snapshot: comparar el boletín completo contra el anterior y registrar NUEVO, VISTO, PRECIO_ACTUALIZADO y RETIRADO. Esa integración aún debe cerrarse.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9F2FA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1F5A94"/>
              <w:top w:val="single" w:sz="2" w:color="E9F2FA"/>
              <w:bottom w:val="single" w:sz="2" w:color="E9F2FA"/>
              <w:right w:val="single" w:sz="2" w:color="E9F2F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F5A94"/>
                <w:sz w:val="21"/>
              </w:rPr>
              <w:t>Dato actual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Producción reporta 501 activos bancarios. El volumen demuestra ingesta real, pero no reemplaza la obligación de cerrar la trazabilidad del ciclo de vida.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i w:val="0"/>
          <w:color w:val="3D78A8"/>
          <w:sz w:val="20"/>
        </w:rPr>
        <w:t>06</w:t>
      </w:r>
      <w:r>
        <w:t xml:space="preserve">  </w:t>
      </w:r>
      <w:r>
        <w:rPr>
          <w:rFonts w:ascii="Arial" w:hAnsi="Arial" w:eastAsia="Arial"/>
          <w:b/>
          <w:i w:val="0"/>
          <w:color w:val="12355B"/>
          <w:sz w:val="38"/>
        </w:rPr>
        <w:t>Trazabilidad de las HU</w:t>
      </w:r>
    </w:p>
    <w:p>
      <w:pPr>
        <w:keepNext/>
        <w:spacing w:after="240"/>
      </w:pPr>
      <w:r>
        <w:rPr>
          <w:rFonts w:ascii="Arial" w:hAnsi="Arial" w:eastAsia="Arial"/>
          <w:b w:val="0"/>
          <w:i w:val="0"/>
          <w:color w:val="5B6775"/>
          <w:sz w:val="19"/>
        </w:rPr>
        <w:t>Remates, producto y experiencia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23"/>
      </w:tblGrid>
      <w:tr>
        <w:tc>
          <w:tcPr>
            <w:tcW w:type="dxa" w:w="5040"/>
            <w:shd w:fill="237A5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92%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AVANCE</w:t>
            </w:r>
          </w:p>
        </w:tc>
        <w:tc>
          <w:tcPr>
            <w:tcW w:type="dxa" w:w="5040"/>
            <w:shd w:fill="E8F4E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2355B"/>
                <w:sz w:val="22"/>
              </w:rPr>
              <w:t>Motor de Remates Judiciales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237A57"/>
                <w:sz w:val="17"/>
              </w:rPr>
              <w:t xml:space="preserve">Hecho.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Origen del demandante, tipo de proceso, cuota-parte, regla conservadora, matriz gratis/pago, alerta visible, barrera de valores imposibles, calculadora y UI responsive.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A96700"/>
                <w:sz w:val="17"/>
              </w:rPr>
              <w:t xml:space="preserve">Pendiente.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Cuarentena de anomalías en ingestión/base y reemplazo de imágenes genéricas por evidencia neutral cuando sea posible.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23"/>
      </w:tblGrid>
      <w:tr>
        <w:tc>
          <w:tcPr>
            <w:tcW w:type="dxa" w:w="5040"/>
            <w:shd w:fill="237A5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88%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AVANCE</w:t>
            </w:r>
          </w:p>
        </w:tc>
        <w:tc>
          <w:tcPr>
            <w:tcW w:type="dxa" w:w="5040"/>
            <w:shd w:fill="E8F4EE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2355B"/>
                <w:sz w:val="22"/>
              </w:rPr>
              <w:t>UX, autenticación y freemium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237A57"/>
                <w:sz w:val="17"/>
              </w:rPr>
              <w:t xml:space="preserve">Hecho.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Navegación responsive; filtros progresivos; foco/teclado; login móvil; favoritos anónimos y sincronización; simulaciones; personalización; correo y Google OAuth.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A96700"/>
                <w:sz w:val="17"/>
              </w:rPr>
              <w:t xml:space="preserve">Pendiente.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Entrega real de alertas por correo, onboarding posterior al registro y auditoría WCAG formal.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1F5A94"/>
          <w:sz w:val="23"/>
        </w:rPr>
        <w:t>Mejoras de experiencia aplicadas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1F5A94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El valor y los resultados aparecen antes de exigir una cuenta.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1F5A94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La jerarquía visual prioriza resultados, filtros y acciones.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1F5A94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Los filtros secundarios se revelan progresivamente y muestran estado.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1F5A94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Los estados de carga, vacío, error y guardado entregan feedback inmediato.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1F5A94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Guardados, simulaciones y preferencias sobreviven antes del registro.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1F5A94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El login separa registro de acceso y Google reduce la fricción.</w:t>
      </w: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i w:val="0"/>
          <w:color w:val="3D78A8"/>
          <w:sz w:val="20"/>
        </w:rPr>
        <w:t>07</w:t>
      </w:r>
      <w:r>
        <w:t xml:space="preserve">  </w:t>
      </w:r>
      <w:r>
        <w:rPr>
          <w:rFonts w:ascii="Arial" w:hAnsi="Arial" w:eastAsia="Arial"/>
          <w:b/>
          <w:i w:val="0"/>
          <w:color w:val="12355B"/>
          <w:sz w:val="38"/>
        </w:rPr>
        <w:t>Stack y arquitectura</w:t>
      </w:r>
    </w:p>
    <w:p>
      <w:pPr>
        <w:keepNext/>
        <w:spacing w:after="240"/>
      </w:pPr>
      <w:r>
        <w:rPr>
          <w:rFonts w:ascii="Arial" w:hAnsi="Arial" w:eastAsia="Arial"/>
          <w:b w:val="0"/>
          <w:i w:val="0"/>
          <w:color w:val="5B6775"/>
          <w:sz w:val="19"/>
        </w:rPr>
        <w:t>Una base simple, auditable y escalable por capas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56"/>
            <w:vAlign w:val="center"/>
            <w:tcMar>
              <w:top w:w="90" w:type="dxa"/>
              <w:start w:w="45" w:type="dxa"/>
              <w:bottom w:w="90" w:type="dxa"/>
              <w:end w:w="45" w:type="dxa"/>
            </w:tcMar>
            <w:shd w:fill="1235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FUENTES</w:t>
            </w:r>
          </w:p>
        </w:tc>
        <w:tc>
          <w:tcPr>
            <w:tcW w:type="dxa" w:w="1656"/>
            <w:vAlign w:val="center"/>
            <w:tcMar>
              <w:top w:w="90" w:type="dxa"/>
              <w:start w:w="45" w:type="dxa"/>
              <w:bottom w:w="90" w:type="dxa"/>
              <w:end w:w="45" w:type="dxa"/>
            </w:tcMar>
            <w:shd w:fill="1235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INGESTA</w:t>
            </w:r>
          </w:p>
        </w:tc>
        <w:tc>
          <w:tcPr>
            <w:tcW w:type="dxa" w:w="1656"/>
            <w:vAlign w:val="center"/>
            <w:tcMar>
              <w:top w:w="90" w:type="dxa"/>
              <w:start w:w="45" w:type="dxa"/>
              <w:bottom w:w="90" w:type="dxa"/>
              <w:end w:w="45" w:type="dxa"/>
            </w:tcMar>
            <w:shd w:fill="1235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SUPABASE</w:t>
            </w:r>
          </w:p>
        </w:tc>
        <w:tc>
          <w:tcPr>
            <w:tcW w:type="dxa" w:w="1656"/>
            <w:vAlign w:val="center"/>
            <w:tcMar>
              <w:top w:w="90" w:type="dxa"/>
              <w:start w:w="45" w:type="dxa"/>
              <w:bottom w:w="90" w:type="dxa"/>
              <w:end w:w="45" w:type="dxa"/>
            </w:tcMar>
            <w:shd w:fill="1235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MOTOR CRECE</w:t>
            </w:r>
          </w:p>
        </w:tc>
        <w:tc>
          <w:tcPr>
            <w:tcW w:type="dxa" w:w="1656"/>
            <w:vAlign w:val="center"/>
            <w:tcMar>
              <w:top w:w="90" w:type="dxa"/>
              <w:start w:w="45" w:type="dxa"/>
              <w:bottom w:w="90" w:type="dxa"/>
              <w:end w:w="45" w:type="dxa"/>
            </w:tcMar>
            <w:shd w:fill="1235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API NODE</w:t>
            </w:r>
          </w:p>
        </w:tc>
        <w:tc>
          <w:tcPr>
            <w:tcW w:type="dxa" w:w="1656"/>
            <w:vAlign w:val="center"/>
            <w:tcMar>
              <w:top w:w="90" w:type="dxa"/>
              <w:start w:w="45" w:type="dxa"/>
              <w:bottom w:w="90" w:type="dxa"/>
              <w:end w:w="45" w:type="dxa"/>
            </w:tcMar>
            <w:shd w:fill="12355B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WEB UX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45" w:type="dxa"/>
              <w:bottom w:w="90" w:type="dxa"/>
              <w:end w:w="45" w:type="dxa"/>
            </w:tcMar>
            <w:shd w:fill="E9F2FA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Portal</w:t>
              <w:br/>
              <w:t>Bancos</w:t>
              <w:br/>
              <w:t>Remates</w:t>
            </w:r>
          </w:p>
        </w:tc>
        <w:tc>
          <w:tcPr>
            <w:tcW w:type="dxa" w:w="1656"/>
            <w:vAlign w:val="center"/>
            <w:tcMar>
              <w:top w:w="90" w:type="dxa"/>
              <w:start w:w="45" w:type="dxa"/>
              <w:bottom w:w="90" w:type="dxa"/>
              <w:end w:w="45" w:type="dxa"/>
            </w:tcMar>
            <w:shd w:fill="E9F2FA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Firecrawl</w:t>
              <w:br/>
              <w:t>PDF</w:t>
              <w:br/>
              <w:t>Playwright</w:t>
            </w:r>
          </w:p>
        </w:tc>
        <w:tc>
          <w:tcPr>
            <w:tcW w:type="dxa" w:w="1656"/>
            <w:vAlign w:val="center"/>
            <w:tcMar>
              <w:top w:w="90" w:type="dxa"/>
              <w:start w:w="45" w:type="dxa"/>
              <w:bottom w:w="90" w:type="dxa"/>
              <w:end w:w="45" w:type="dxa"/>
            </w:tcMar>
            <w:shd w:fill="E9F2FA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PostgreSQL</w:t>
              <w:br/>
              <w:t>Auth</w:t>
              <w:br/>
              <w:t>Storage</w:t>
            </w:r>
          </w:p>
        </w:tc>
        <w:tc>
          <w:tcPr>
            <w:tcW w:type="dxa" w:w="1656"/>
            <w:vAlign w:val="center"/>
            <w:tcMar>
              <w:top w:w="90" w:type="dxa"/>
              <w:start w:w="45" w:type="dxa"/>
              <w:bottom w:w="90" w:type="dxa"/>
              <w:end w:w="45" w:type="dxa"/>
            </w:tcMar>
            <w:shd w:fill="E9F2FA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Mediana</w:t>
              <w:br/>
              <w:t>Cascada</w:t>
              <w:br/>
              <w:t>Reglas</w:t>
            </w:r>
          </w:p>
        </w:tc>
        <w:tc>
          <w:tcPr>
            <w:tcW w:type="dxa" w:w="1656"/>
            <w:vAlign w:val="center"/>
            <w:tcMar>
              <w:top w:w="90" w:type="dxa"/>
              <w:start w:w="45" w:type="dxa"/>
              <w:bottom w:w="90" w:type="dxa"/>
              <w:end w:w="45" w:type="dxa"/>
            </w:tcMar>
            <w:shd w:fill="E9F2FA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JSON</w:t>
              <w:br/>
              <w:t>Seguridad</w:t>
              <w:br/>
              <w:t>Health</w:t>
            </w:r>
          </w:p>
        </w:tc>
        <w:tc>
          <w:tcPr>
            <w:tcW w:type="dxa" w:w="1656"/>
            <w:vAlign w:val="center"/>
            <w:tcMar>
              <w:top w:w="90" w:type="dxa"/>
              <w:start w:w="45" w:type="dxa"/>
              <w:bottom w:w="90" w:type="dxa"/>
              <w:end w:w="45" w:type="dxa"/>
            </w:tcMar>
            <w:shd w:fill="E9F2FA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5"/>
              </w:rPr>
              <w:t>HTML/CSS/JS</w:t>
              <w:br/>
              <w:t>Responsive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tblHeader w:val="true"/>
        </w:trPr>
        <w:tc>
          <w:tcPr>
            <w:tcW w:type="dxa" w:w="3024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Capa</w:t>
            </w:r>
          </w:p>
        </w:tc>
        <w:tc>
          <w:tcPr>
            <w:tcW w:type="dxa" w:w="7056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Tecnología / decisión</w:t>
            </w:r>
          </w:p>
        </w:tc>
      </w:tr>
      <w:tr>
        <w:tc>
          <w:tcPr>
            <w:tcW w:type="dxa" w:w="30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Runtime/backend</w:t>
            </w:r>
          </w:p>
        </w:tc>
        <w:tc>
          <w:tcPr>
            <w:tcW w:type="dxa" w:w="70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Node.js 20+, TypeScript 5.6, ESM</w:t>
            </w:r>
          </w:p>
        </w:tc>
      </w:tr>
      <w:tr>
        <w:tc>
          <w:tcPr>
            <w:tcW w:type="dxa" w:w="30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Servidor/API</w:t>
            </w:r>
          </w:p>
        </w:tc>
        <w:tc>
          <w:tcPr>
            <w:tcW w:type="dxa" w:w="70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HTTP nativo de Node, API JSON y estáticos</w:t>
            </w:r>
          </w:p>
        </w:tc>
      </w:tr>
      <w:tr>
        <w:tc>
          <w:tcPr>
            <w:tcW w:type="dxa" w:w="30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Frontend</w:t>
            </w:r>
          </w:p>
        </w:tc>
        <w:tc>
          <w:tcPr>
            <w:tcW w:type="dxa" w:w="70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HTML, CSS y JavaScript nativos; responsive</w:t>
            </w:r>
          </w:p>
        </w:tc>
      </w:tr>
      <w:tr>
        <w:tc>
          <w:tcPr>
            <w:tcW w:type="dxa" w:w="30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Datos</w:t>
            </w:r>
          </w:p>
        </w:tc>
        <w:tc>
          <w:tcPr>
            <w:tcW w:type="dxa" w:w="70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Supabase PostgreSQL, Auth y Storage</w:t>
            </w:r>
          </w:p>
        </w:tc>
      </w:tr>
      <w:tr>
        <w:tc>
          <w:tcPr>
            <w:tcW w:type="dxa" w:w="30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Extracción</w:t>
            </w:r>
          </w:p>
        </w:tc>
        <w:tc>
          <w:tcPr>
            <w:tcW w:type="dxa" w:w="70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Firecrawl, SSR, parsers PDF y Playwright</w:t>
            </w:r>
          </w:p>
        </w:tc>
      </w:tr>
      <w:tr>
        <w:tc>
          <w:tcPr>
            <w:tcW w:type="dxa" w:w="30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Motor</w:t>
            </w:r>
          </w:p>
        </w:tc>
        <w:tc>
          <w:tcPr>
            <w:tcW w:type="dxa" w:w="70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Estadística robusta, Índice CRECE y reglas TypeScript</w:t>
            </w:r>
          </w:p>
        </w:tc>
      </w:tr>
      <w:tr>
        <w:tc>
          <w:tcPr>
            <w:tcW w:type="dxa" w:w="30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Validación</w:t>
            </w:r>
          </w:p>
        </w:tc>
        <w:tc>
          <w:tcPr>
            <w:tcW w:type="dxa" w:w="70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Zod</w:t>
            </w:r>
          </w:p>
        </w:tc>
      </w:tr>
      <w:tr>
        <w:tc>
          <w:tcPr>
            <w:tcW w:type="dxa" w:w="30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Automatización</w:t>
            </w:r>
          </w:p>
        </w:tc>
        <w:tc>
          <w:tcPr>
            <w:tcW w:type="dxa" w:w="70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node-cron + scheduler persistido y cerrojo</w:t>
            </w:r>
          </w:p>
        </w:tc>
      </w:tr>
      <w:tr>
        <w:tc>
          <w:tcPr>
            <w:tcW w:type="dxa" w:w="30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QA</w:t>
            </w:r>
          </w:p>
        </w:tc>
        <w:tc>
          <w:tcPr>
            <w:tcW w:type="dxa" w:w="70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node:test, TypeScript, Playwright y Chromium</w:t>
            </w:r>
          </w:p>
        </w:tc>
      </w:tr>
      <w:tr>
        <w:tc>
          <w:tcPr>
            <w:tcW w:type="dxa" w:w="302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Infraestructura</w:t>
            </w:r>
          </w:p>
        </w:tc>
        <w:tc>
          <w:tcPr>
            <w:tcW w:type="dxa" w:w="705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Docker, VPS y EasyPanel</w:t>
            </w:r>
          </w:p>
        </w:tc>
      </w:tr>
      <w:tr>
        <w:tc>
          <w:tcPr>
            <w:tcW w:type="dxa" w:w="302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Entrega</w:t>
            </w:r>
          </w:p>
        </w:tc>
        <w:tc>
          <w:tcPr>
            <w:tcW w:type="dxa" w:w="705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Git/GitHub, PR y despliegue controlado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9F2FA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1F5A94"/>
              <w:top w:val="single" w:sz="2" w:color="E9F2FA"/>
              <w:bottom w:val="single" w:sz="2" w:color="E9F2FA"/>
              <w:right w:val="single" w:sz="2" w:color="E9F2F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F5A94"/>
                <w:sz w:val="21"/>
              </w:rPr>
              <w:t>Criterio arquitectónico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FincaRaíz construye la referencia de mercado; bancos y remates se evalúan contra ella. Esta separación evita contaminar la mediana con ventas forzadas.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i w:val="0"/>
          <w:color w:val="3D78A8"/>
          <w:sz w:val="20"/>
        </w:rPr>
        <w:t>08</w:t>
      </w:r>
      <w:r>
        <w:t xml:space="preserve">  </w:t>
      </w:r>
      <w:r>
        <w:rPr>
          <w:rFonts w:ascii="Arial" w:hAnsi="Arial" w:eastAsia="Arial"/>
          <w:b/>
          <w:i w:val="0"/>
          <w:color w:val="12355B"/>
          <w:sz w:val="38"/>
        </w:rPr>
        <w:t>Producción, seguridad y QA</w:t>
      </w:r>
    </w:p>
    <w:p>
      <w:pPr>
        <w:keepNext/>
        <w:spacing w:after="240"/>
      </w:pPr>
      <w:r>
        <w:rPr>
          <w:rFonts w:ascii="Arial" w:hAnsi="Arial" w:eastAsia="Arial"/>
          <w:b w:val="0"/>
          <w:i w:val="0"/>
          <w:color w:val="5B6775"/>
          <w:sz w:val="19"/>
        </w:rPr>
        <w:t>Lo desplegado y los riesgos residuales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23"/>
      </w:tblGrid>
      <w:tr>
        <w:tc>
          <w:tcPr>
            <w:tcW w:type="dxa" w:w="5040"/>
            <w:shd w:fill="A967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64%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AVANCE</w:t>
            </w:r>
          </w:p>
        </w:tc>
        <w:tc>
          <w:tcPr>
            <w:tcW w:type="dxa" w:w="5040"/>
            <w:shd w:fill="FFF3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i w:val="0"/>
                <w:color w:val="12355B"/>
                <w:sz w:val="22"/>
              </w:rPr>
              <w:t>Producción, seguridad y operación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237A57"/>
                <w:sz w:val="17"/>
              </w:rPr>
              <w:t xml:space="preserve">Hecho.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VPS/EasyPanel, Docker, HTTPS, healthcheck, CSP/HSTS, MIME, sanitización, request IDs, errores genéricos, pruebas locales y sobre producción.</w:t>
            </w:r>
          </w:p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A96700"/>
                <w:sz w:val="17"/>
              </w:rPr>
              <w:t xml:space="preserve">Pendiente. </w:t>
            </w: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Cookies seguras, rate limit, verificación de correo, CI/CD, observabilidad, readiness, no-root, backups, carga, canary y rollback.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1944"/>
        <w:gridCol w:w="4464"/>
      </w:tblGrid>
      <w:tr>
        <w:trPr>
          <w:tblHeader w:val="true"/>
        </w:trPr>
        <w:tc>
          <w:tcPr>
            <w:tcW w:type="dxa" w:w="3672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1944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4464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3672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HTTPS / HTTP2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Verificado</w:t>
            </w:r>
          </w:p>
        </w:tc>
        <w:tc>
          <w:tcPr>
            <w:tcW w:type="dxa" w:w="446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Operativo en producción</w:t>
            </w:r>
          </w:p>
        </w:tc>
      </w:tr>
      <w:tr>
        <w:tc>
          <w:tcPr>
            <w:tcW w:type="dxa" w:w="3672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CSP + HSTS + anti-framing</w:t>
            </w:r>
          </w:p>
        </w:tc>
        <w:tc>
          <w:tcPr>
            <w:tcW w:type="dxa" w:w="194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Verificado</w:t>
            </w:r>
          </w:p>
        </w:tc>
        <w:tc>
          <w:tcPr>
            <w:tcW w:type="dxa" w:w="446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Cabeceras presentes</w:t>
            </w:r>
          </w:p>
        </w:tc>
      </w:tr>
      <w:tr>
        <w:tc>
          <w:tcPr>
            <w:tcW w:type="dxa" w:w="3672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MIME y errores 500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Verificado</w:t>
            </w:r>
          </w:p>
        </w:tc>
        <w:tc>
          <w:tcPr>
            <w:tcW w:type="dxa" w:w="446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Pruebas automatizadas</w:t>
            </w:r>
          </w:p>
        </w:tc>
      </w:tr>
      <w:tr>
        <w:tc>
          <w:tcPr>
            <w:tcW w:type="dxa" w:w="3672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Sanitización de datos/URLs</w:t>
            </w:r>
          </w:p>
        </w:tc>
        <w:tc>
          <w:tcPr>
            <w:tcW w:type="dxa" w:w="194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Implementado</w:t>
            </w:r>
          </w:p>
        </w:tc>
        <w:tc>
          <w:tcPr>
            <w:tcW w:type="dxa" w:w="446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Mantener pruebas adversariales</w:t>
            </w:r>
          </w:p>
        </w:tc>
      </w:tr>
      <w:tr>
        <w:tc>
          <w:tcPr>
            <w:tcW w:type="dxa" w:w="3672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Sesión HttpOnly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Pendiente</w:t>
            </w:r>
          </w:p>
        </w:tc>
        <w:tc>
          <w:tcPr>
            <w:tcW w:type="dxa" w:w="446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Prioridad alta</w:t>
            </w:r>
          </w:p>
        </w:tc>
      </w:tr>
      <w:tr>
        <w:tc>
          <w:tcPr>
            <w:tcW w:type="dxa" w:w="3672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Rate limiting</w:t>
            </w:r>
          </w:p>
        </w:tc>
        <w:tc>
          <w:tcPr>
            <w:tcW w:type="dxa" w:w="194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Pendiente</w:t>
            </w:r>
          </w:p>
        </w:tc>
        <w:tc>
          <w:tcPr>
            <w:tcW w:type="dxa" w:w="446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Login, registro y análisis IA</w:t>
            </w:r>
          </w:p>
        </w:tc>
      </w:tr>
      <w:tr>
        <w:tc>
          <w:tcPr>
            <w:tcW w:type="dxa" w:w="3672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CI/CD</w:t>
            </w:r>
          </w:p>
        </w:tc>
        <w:tc>
          <w:tcPr>
            <w:tcW w:type="dxa" w:w="194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Pendiente</w:t>
            </w:r>
          </w:p>
        </w:tc>
        <w:tc>
          <w:tcPr>
            <w:tcW w:type="dxa" w:w="446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Suite lista para integrarse</w:t>
            </w:r>
          </w:p>
        </w:tc>
      </w:tr>
      <w:tr>
        <w:tc>
          <w:tcPr>
            <w:tcW w:type="dxa" w:w="3672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Backups/rollback ensayados</w:t>
            </w:r>
          </w:p>
        </w:tc>
        <w:tc>
          <w:tcPr>
            <w:tcW w:type="dxa" w:w="194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Pendiente</w:t>
            </w:r>
          </w:p>
        </w:tc>
        <w:tc>
          <w:tcPr>
            <w:tcW w:type="dxa" w:w="446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Requisito para SLA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A96700"/>
              <w:top w:val="single" w:sz="2" w:color="FFF3D6"/>
              <w:bottom w:val="single" w:sz="2" w:color="FFF3D6"/>
              <w:right w:val="single" w:sz="2" w:color="FFF3D6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A96700"/>
                <w:sz w:val="21"/>
              </w:rPr>
              <w:t>Dependencias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No hay vulnerabilidades críticas ni altas en el audit de producción. Quedan dos moderadas en `node-cron@3 → uuid`; resolverlas requiere migrar y probar `node-cron@4`, no ejecutar un `--force` antes de la demo.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i w:val="0"/>
          <w:color w:val="3D78A8"/>
          <w:sz w:val="20"/>
        </w:rPr>
        <w:t>09</w:t>
      </w:r>
      <w:r>
        <w:t xml:space="preserve">  </w:t>
      </w:r>
      <w:r>
        <w:rPr>
          <w:rFonts w:ascii="Arial" w:hAnsi="Arial" w:eastAsia="Arial"/>
          <w:b/>
          <w:i w:val="0"/>
          <w:color w:val="12355B"/>
          <w:sz w:val="38"/>
        </w:rPr>
        <w:t>Ruta de 84% a 100%</w:t>
      </w:r>
    </w:p>
    <w:p>
      <w:pPr>
        <w:keepNext/>
        <w:spacing w:after="240"/>
      </w:pPr>
      <w:r>
        <w:rPr>
          <w:rFonts w:ascii="Arial" w:hAnsi="Arial" w:eastAsia="Arial"/>
          <w:b w:val="0"/>
          <w:i w:val="0"/>
          <w:color w:val="5B6775"/>
          <w:sz w:val="19"/>
        </w:rPr>
        <w:t>Prioridades concretas, no una lista abierta</w:t>
      </w: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1F5A94"/>
          <w:sz w:val="23"/>
        </w:rPr>
        <w:t>84% → 90% · cierre inmediato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Sesión segura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Migrar tokens a cookies HttpOnly/Secure/SameSite y añadir protección CSRF.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Control de abuso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Rate limiting y cuotas para autenticación y análisis 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Ciclo de vida AVAL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Diff de boletines y escritura uniforme de historial.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Activación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Enviar alertas por correo y completar onboarding registrado.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Calidad continua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CI con typecheck, 80 pruebas y los 5 recorridos E2E.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1F5A94"/>
          <w:sz w:val="23"/>
        </w:rPr>
        <w:t>90% → 100% · endurecimiento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tblHeader w:val="true"/>
        </w:trPr>
        <w:tc>
          <w:tcPr>
            <w:tcW w:type="dxa" w:w="2592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Frente</w:t>
            </w:r>
          </w:p>
        </w:tc>
        <w:tc>
          <w:tcPr>
            <w:tcW w:type="dxa" w:w="7488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592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Observabilidad</w:t>
            </w:r>
          </w:p>
        </w:tc>
        <w:tc>
          <w:tcPr>
            <w:tcW w:type="dxa" w:w="7488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Métricas, errores, alarmas y presupuesto de latencia.</w:t>
            </w:r>
          </w:p>
        </w:tc>
      </w:tr>
      <w:tr>
        <w:tc>
          <w:tcPr>
            <w:tcW w:type="dxa" w:w="2592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Contenedor</w:t>
            </w:r>
          </w:p>
        </w:tc>
        <w:tc>
          <w:tcPr>
            <w:tcW w:type="dxa" w:w="7488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Multi-stage, usuario no-root, readiness y SIGTERM.</w:t>
            </w:r>
          </w:p>
        </w:tc>
      </w:tr>
      <w:tr>
        <w:tc>
          <w:tcPr>
            <w:tcW w:type="dxa" w:w="2592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Recuperación</w:t>
            </w:r>
          </w:p>
        </w:tc>
        <w:tc>
          <w:tcPr>
            <w:tcW w:type="dxa" w:w="7488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Backups restaurados en ensayo y runbook de incidentes.</w:t>
            </w:r>
          </w:p>
        </w:tc>
      </w:tr>
      <w:tr>
        <w:tc>
          <w:tcPr>
            <w:tcW w:type="dxa" w:w="2592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Validación</w:t>
            </w:r>
          </w:p>
        </w:tc>
        <w:tc>
          <w:tcPr>
            <w:tcW w:type="dxa" w:w="7488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Carga, navegadores/dispositivos, WCAG y revisión legal.</w:t>
            </w:r>
          </w:p>
        </w:tc>
      </w:tr>
      <w:tr>
        <w:tc>
          <w:tcPr>
            <w:tcW w:type="dxa" w:w="2592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Entrega</w:t>
            </w:r>
          </w:p>
        </w:tc>
        <w:tc>
          <w:tcPr>
            <w:tcW w:type="dxa" w:w="7488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Canary, rollback probado y aprobación de lanzamiento.</w:t>
            </w:r>
          </w:p>
        </w:tc>
      </w:tr>
      <w:tr>
        <w:tc>
          <w:tcPr>
            <w:tcW w:type="dxa" w:w="2592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Calidad de datos</w:t>
            </w:r>
          </w:p>
        </w:tc>
        <w:tc>
          <w:tcPr>
            <w:tcW w:type="dxa" w:w="7488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Cuarentena de anomalías desde ingestión.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4EE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237A57"/>
              <w:top w:val="single" w:sz="2" w:color="E8F4EE"/>
              <w:bottom w:val="single" w:sz="2" w:color="E8F4EE"/>
              <w:right w:val="single" w:sz="2" w:color="E8F4EE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237A57"/>
                <w:sz w:val="21"/>
              </w:rPr>
              <w:t>Orden recomendado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Las cinco acciones del tramo 84→90 reducen riesgos reales y son más valiosas que añadir nuevas pantallas antes de la presentación comercial.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i w:val="0"/>
          <w:color w:val="3D78A8"/>
          <w:sz w:val="20"/>
        </w:rPr>
        <w:t>10</w:t>
      </w:r>
      <w:r>
        <w:t xml:space="preserve">  </w:t>
      </w:r>
      <w:r>
        <w:rPr>
          <w:rFonts w:ascii="Arial" w:hAnsi="Arial" w:eastAsia="Arial"/>
          <w:b/>
          <w:i w:val="0"/>
          <w:color w:val="12355B"/>
          <w:sz w:val="38"/>
        </w:rPr>
        <w:t>Alcance, riesgos y exclusiones</w:t>
      </w:r>
    </w:p>
    <w:p>
      <w:pPr>
        <w:keepNext/>
        <w:spacing w:after="240"/>
      </w:pPr>
      <w:r>
        <w:rPr>
          <w:rFonts w:ascii="Arial" w:hAnsi="Arial" w:eastAsia="Arial"/>
          <w:b w:val="0"/>
          <w:i w:val="0"/>
          <w:color w:val="5B6775"/>
          <w:sz w:val="19"/>
        </w:rPr>
        <w:t>Evitar que Fase 2 se convierta en deuda ficticia</w:t>
      </w: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1F5A94"/>
          <w:sz w:val="23"/>
        </w:rPr>
        <w:t>Fuera de Fase 1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Scraping y filtro de canon de arriendo.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Comparador de oportunidades estilo Habímetro.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Aplicación móvil nativa.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Banners comerciales Low Ticket / Tradentia.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Página de planes y pasarela de pago.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Nuevas fuentes no acordadas.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Herramientas adicionales distintas de las ya implementadas.</w:t>
      </w: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A96700"/>
          <w:sz w:val="23"/>
        </w:rPr>
        <w:t>Riesgos que sí pertenecen al cierre de Fase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1152"/>
        <w:gridCol w:w="5688"/>
      </w:tblGrid>
      <w:tr>
        <w:trPr>
          <w:tblHeader w:val="true"/>
        </w:trPr>
        <w:tc>
          <w:tcPr>
            <w:tcW w:type="dxa" w:w="3240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Riesgo</w:t>
            </w:r>
          </w:p>
        </w:tc>
        <w:tc>
          <w:tcPr>
            <w:tcW w:type="dxa" w:w="1152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Nivel</w:t>
            </w:r>
          </w:p>
        </w:tc>
        <w:tc>
          <w:tcPr>
            <w:tcW w:type="dxa" w:w="5688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Tratamiento</w:t>
            </w:r>
          </w:p>
        </w:tc>
      </w:tr>
      <w:tr>
        <w:tc>
          <w:tcPr>
            <w:tcW w:type="dxa" w:w="3240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Sesión en localStorage</w:t>
            </w:r>
          </w:p>
        </w:tc>
        <w:tc>
          <w:tcPr>
            <w:tcW w:type="dxa" w:w="1152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Alta</w:t>
            </w:r>
          </w:p>
        </w:tc>
        <w:tc>
          <w:tcPr>
            <w:tcW w:type="dxa" w:w="5688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CSP mitiga XSS, pero no reemplaza HttpOnly.</w:t>
            </w:r>
          </w:p>
        </w:tc>
      </w:tr>
      <w:tr>
        <w:tc>
          <w:tcPr>
            <w:tcW w:type="dxa" w:w="3240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Abuso de IA/autenticación</w:t>
            </w:r>
          </w:p>
        </w:tc>
        <w:tc>
          <w:tcPr>
            <w:tcW w:type="dxa" w:w="1152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Alta</w:t>
            </w:r>
          </w:p>
        </w:tc>
        <w:tc>
          <w:tcPr>
            <w:tcW w:type="dxa" w:w="5688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Faltan límites por usuario/IP y concurrencia.</w:t>
            </w:r>
          </w:p>
        </w:tc>
      </w:tr>
      <w:tr>
        <w:tc>
          <w:tcPr>
            <w:tcW w:type="dxa" w:w="3240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Historial incompleto</w:t>
            </w:r>
          </w:p>
        </w:tc>
        <w:tc>
          <w:tcPr>
            <w:tcW w:type="dxa" w:w="1152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Media</w:t>
            </w:r>
          </w:p>
        </w:tc>
        <w:tc>
          <w:tcPr>
            <w:tcW w:type="dxa" w:w="5688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Modelo existe; falta escritura uniforme.</w:t>
            </w:r>
          </w:p>
        </w:tc>
      </w:tr>
      <w:tr>
        <w:tc>
          <w:tcPr>
            <w:tcW w:type="dxa" w:w="3240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Operación manual</w:t>
            </w:r>
          </w:p>
        </w:tc>
        <w:tc>
          <w:tcPr>
            <w:tcW w:type="dxa" w:w="1152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Media</w:t>
            </w:r>
          </w:p>
        </w:tc>
        <w:tc>
          <w:tcPr>
            <w:tcW w:type="dxa" w:w="5688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Despliegue automático EasyPanel está deshabilitado.</w:t>
            </w:r>
          </w:p>
        </w:tc>
      </w:tr>
      <w:tr>
        <w:tc>
          <w:tcPr>
            <w:tcW w:type="dxa" w:w="3240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Dependencias moderadas</w:t>
            </w:r>
          </w:p>
        </w:tc>
        <w:tc>
          <w:tcPr>
            <w:tcW w:type="dxa" w:w="1152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Media</w:t>
            </w:r>
          </w:p>
        </w:tc>
        <w:tc>
          <w:tcPr>
            <w:tcW w:type="dxa" w:w="5688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Migración controlada a node-cron 4.</w:t>
            </w:r>
          </w:p>
        </w:tc>
      </w:tr>
      <w:tr>
        <w:tc>
          <w:tcPr>
            <w:tcW w:type="dxa" w:w="3240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Datos de terceros</w:t>
            </w:r>
          </w:p>
        </w:tc>
        <w:tc>
          <w:tcPr>
            <w:tcW w:type="dxa" w:w="1152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Media</w:t>
            </w:r>
          </w:p>
        </w:tc>
        <w:tc>
          <w:tcPr>
            <w:tcW w:type="dxa" w:w="5688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6"/>
              </w:rPr>
              <w:t>Los volúmenes y formatos cambian por fuente.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D6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A96700"/>
              <w:top w:val="single" w:sz="2" w:color="FFF3D6"/>
              <w:bottom w:val="single" w:sz="2" w:color="FFF3D6"/>
              <w:right w:val="single" w:sz="2" w:color="FFF3D6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A96700"/>
                <w:sz w:val="21"/>
              </w:rPr>
              <w:t>Mensaje de alcance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No se está vendiendo un producto terminado al 100%; se está entregando un MVP real al 84%, con brechas identificadas, priorizadas y medibles.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i w:val="0"/>
          <w:color w:val="3D78A8"/>
          <w:sz w:val="20"/>
        </w:rPr>
        <w:t>11</w:t>
      </w:r>
      <w:r>
        <w:t xml:space="preserve">  </w:t>
      </w:r>
      <w:r>
        <w:rPr>
          <w:rFonts w:ascii="Arial" w:hAnsi="Arial" w:eastAsia="Arial"/>
          <w:b/>
          <w:i w:val="0"/>
          <w:color w:val="12355B"/>
          <w:sz w:val="38"/>
        </w:rPr>
        <w:t>Guion para la demostración</w:t>
      </w:r>
    </w:p>
    <w:p>
      <w:pPr>
        <w:keepNext/>
        <w:spacing w:after="240"/>
      </w:pPr>
      <w:r>
        <w:rPr>
          <w:rFonts w:ascii="Arial" w:hAnsi="Arial" w:eastAsia="Arial"/>
          <w:b w:val="0"/>
          <w:i w:val="0"/>
          <w:color w:val="5B6775"/>
          <w:sz w:val="19"/>
        </w:rPr>
        <w:t>Una reunión de 12–15 minutos basada en evidencia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Cifras en vivo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Abrir producción y mostrar Portal, Bancos y Remates.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Oportunidad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Filtrar Portal por ciudad/tipo y explicar descuento/comparables.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Regla bancaria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Mostrar que Bancos no excluye por estrato.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Riesgo judicial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Abrir Remates y explicar postura, avalúo y cuota-parte.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Valor antes del registro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Guardar un inmueble sin cuenta y recargar.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Persistencia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Entrar a Guardados y mostrar que el inmueble sigue allí.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Activación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Mostrar personalización del Radar y simulador.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8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Acceso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Abrir Login y enseñar correo + Google.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9389"/>
      </w:tblGrid>
      <w:tr>
        <w:tc>
          <w:tcPr>
            <w:tcW w:type="dxa" w:w="5040"/>
            <w:shd w:fill="12355B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9</w:t>
            </w:r>
          </w:p>
        </w:tc>
        <w:tc>
          <w:tcPr>
            <w:tcW w:type="dxa" w:w="5040"/>
            <w:shd w:fill="F5F8FB"/>
            <w:tcMar>
              <w:top w:w="80" w:type="dxa"/>
              <w:start w:w="130" w:type="dxa"/>
              <w:bottom w:w="80" w:type="dxa"/>
              <w:end w:w="130" w:type="dxa"/>
            </w:tcMar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12355B"/>
                <w:sz w:val="19"/>
              </w:rPr>
              <w:t>Cierre ejecutivo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5B6775"/>
                <w:sz w:val="17"/>
              </w:rPr>
              <w:t>Presentar el 84% y las cinco acciones para llegar al 90%.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9F2FA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1F5A94"/>
              <w:top w:val="single" w:sz="2" w:color="E9F2FA"/>
              <w:bottom w:val="single" w:sz="2" w:color="E9F2FA"/>
              <w:right w:val="single" w:sz="2" w:color="E9F2FA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1F5A94"/>
                <w:sz w:val="21"/>
              </w:rPr>
              <w:t>Frase de cierre sugerida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“El producto ya encuentra y presenta oportunidades reales. El siguiente tramo no es rehacerlo: es endurecer sesión, operación y trazabilidad para escalar con seguridad.”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100"/>
      </w:pPr>
      <w:r>
        <w:rPr>
          <w:rFonts w:ascii="Arial" w:hAnsi="Arial" w:eastAsia="Arial"/>
          <w:b/>
          <w:i w:val="0"/>
          <w:color w:val="3D78A8"/>
          <w:sz w:val="20"/>
        </w:rPr>
        <w:t>12</w:t>
      </w:r>
      <w:r>
        <w:t xml:space="preserve">  </w:t>
      </w:r>
      <w:r>
        <w:rPr>
          <w:rFonts w:ascii="Arial" w:hAnsi="Arial" w:eastAsia="Arial"/>
          <w:b/>
          <w:i w:val="0"/>
          <w:color w:val="12355B"/>
          <w:sz w:val="38"/>
        </w:rPr>
        <w:t>Dictamen y fuentes</w:t>
      </w:r>
    </w:p>
    <w:p>
      <w:pPr>
        <w:keepNext/>
        <w:spacing w:after="240"/>
      </w:pPr>
      <w:r>
        <w:rPr>
          <w:rFonts w:ascii="Arial" w:hAnsi="Arial" w:eastAsia="Arial"/>
          <w:b w:val="0"/>
          <w:i w:val="0"/>
          <w:color w:val="5B6775"/>
          <w:sz w:val="19"/>
        </w:rPr>
        <w:t>Conclusión verificable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2232"/>
            <w:shd w:fill="237A5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52"/>
              </w:rPr>
              <w:t>84%</w:t>
            </w:r>
          </w:p>
        </w:tc>
        <w:tc>
          <w:tcPr>
            <w:tcW w:type="dxa" w:w="7848"/>
            <w:shd w:fill="E8F4EE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left w:val="single" w:sz="20" w:color="237A57"/>
              <w:top w:val="single" w:sz="2" w:color="E8F4EE"/>
              <w:bottom w:val="single" w:sz="2" w:color="E8F4EE"/>
              <w:right w:val="single" w:sz="2" w:color="E8F4EE"/>
            </w:tcBorders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i w:val="0"/>
                <w:color w:val="237A57"/>
                <w:sz w:val="21"/>
              </w:rPr>
              <w:t>DICTAMEN</w:t>
            </w:r>
          </w:p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8"/>
              </w:rPr>
              <w:t>El proyecto sí ha alcanzado más del 80% de la Fase 1. La evidencia permite defender un 84% real, sin contar funcionalidades de Fase 2 como deuda. Está listo para presentación y piloto controlado.</w:t>
            </w:r>
          </w:p>
        </w:tc>
      </w:tr>
    </w:tbl>
    <w:p>
      <w:pPr>
        <w:spacing w:after="0"/>
      </w:pP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1F5A94"/>
          <w:sz w:val="23"/>
        </w:rPr>
        <w:t>Fuentes contractuales y técnicas revisadas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Radar de Oportunidades — Documentación y Propuesta v1.0.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Especificación Técnica del Motor de Comparables v1.2.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Índice Maestro de HU Fase 1.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HU Núcleo del Motor de Comparables.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HU Rango de Precio y Vigencia del Motor Radar.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HU Motor de Activos Bancarios.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HU Motor de Activos Bancarios — Grupo AVAL.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HU Motor de Remates Judiciales.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Código, migraciones y pruebas del repositorio radar-mvp.</w:t>
      </w:r>
    </w:p>
    <w:p>
      <w:pPr>
        <w:spacing w:after="80" w:line="252" w:lineRule="auto"/>
        <w:ind w:left="259" w:hanging="216"/>
      </w:pPr>
      <w:r>
        <w:rPr>
          <w:rFonts w:ascii="Arial" w:hAnsi="Arial" w:eastAsia="Arial"/>
          <w:b/>
          <w:i w:val="0"/>
          <w:color w:val="3D78A8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1F2937"/>
          <w:sz w:val="18"/>
        </w:rPr>
        <w:t>APIs y cabeceras del despliegue público verificadas el 24-jul-2026.</w:t>
      </w:r>
    </w:p>
    <w:p>
      <w:pPr>
        <w:keepNext/>
        <w:spacing w:before="160" w:after="100"/>
      </w:pPr>
      <w:r>
        <w:rPr>
          <w:rFonts w:ascii="Arial" w:hAnsi="Arial" w:eastAsia="Arial"/>
          <w:b/>
          <w:i w:val="0"/>
          <w:color w:val="1F5A94"/>
          <w:sz w:val="23"/>
        </w:rPr>
        <w:t>Trazas de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tblHeader w:val="true"/>
        </w:trPr>
        <w:tc>
          <w:tcPr>
            <w:tcW w:type="dxa" w:w="2376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Elemento</w:t>
            </w:r>
          </w:p>
        </w:tc>
        <w:tc>
          <w:tcPr>
            <w:tcW w:type="dxa" w:w="7704"/>
            <w:vAlign w:val="center"/>
            <w:shd w:fill="1235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Referencia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Producción</w:t>
            </w:r>
          </w:p>
        </w:tc>
        <w:tc>
          <w:tcPr>
            <w:tcW w:type="dxa" w:w="770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https://joinsclee-radar.juno8i.easypanel.host/</w:t>
            </w:r>
          </w:p>
        </w:tc>
      </w:tr>
      <w:tr>
        <w:tc>
          <w:tcPr>
            <w:tcW w:type="dxa" w:w="237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Versión desplegada</w:t>
            </w:r>
          </w:p>
        </w:tc>
        <w:tc>
          <w:tcPr>
            <w:tcW w:type="dxa" w:w="770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38d3a878b52504b23cfae5238e621d67e318420d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Pruebas</w:t>
            </w:r>
          </w:p>
        </w:tc>
        <w:tc>
          <w:tcPr>
            <w:tcW w:type="dxa" w:w="770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80 unitarias/integración + 5 E2E local + 5 E2E producción</w:t>
            </w:r>
          </w:p>
        </w:tc>
      </w:tr>
      <w:tr>
        <w:tc>
          <w:tcPr>
            <w:tcW w:type="dxa" w:w="2376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Informe QA</w:t>
            </w:r>
          </w:p>
        </w:tc>
        <w:tc>
          <w:tcPr>
            <w:tcW w:type="dxa" w:w="7704"/>
            <w:vAlign w:val="top"/>
            <w:shd w:fill="F5F8FB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.gstack/qa-reports/qa-report-joinsclee-radar-2026-07-24.md</w:t>
            </w:r>
          </w:p>
        </w:tc>
      </w:tr>
      <w:tr>
        <w:tc>
          <w:tcPr>
            <w:tcW w:type="dxa" w:w="2376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Informe fuente</w:t>
            </w:r>
          </w:p>
        </w:tc>
        <w:tc>
          <w:tcPr>
            <w:tcW w:type="dxa" w:w="7704"/>
            <w:vAlign w:val="top"/>
            <w:shd w:fill="FFFFFF"/>
            <w:tcMar>
              <w:top w:w="75" w:type="dxa"/>
              <w:start w:w="90" w:type="dxa"/>
              <w:bottom w:w="75" w:type="dxa"/>
              <w:end w:w="90" w:type="dxa"/>
            </w:tcMar>
            <w:tcBorders>
              <w:bottom w:val="single" w:sz="4" w:color="CBD6E2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1F2937"/>
                <w:sz w:val="17"/>
              </w:rPr>
              <w:t>docs/INFORME_AVANCE_FASE1_2026-07-24.md</w:t>
            </w:r>
          </w:p>
        </w:tc>
      </w:tr>
    </w:tbl>
    <w:p>
      <w:pPr>
        <w:spacing w:after="0"/>
      </w:pPr>
    </w:p>
    <w:p>
      <w:pPr>
        <w:spacing w:after="140" w:line="259" w:lineRule="auto"/>
      </w:pPr>
      <w:r>
        <w:rPr>
          <w:rFonts w:ascii="Arial" w:hAnsi="Arial" w:eastAsia="Arial"/>
          <w:b w:val="0"/>
          <w:i w:val="0"/>
          <w:color w:val="5B6775"/>
          <w:sz w:val="17"/>
        </w:rPr>
        <w:t>Nota: los volúmenes son una fotografía del corte y cambian cuando las fuentes se actualizan. El porcentaje se recalculará cuando se cierren los pendientes del tramo 84→90.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037" w:right="1080" w:bottom="979" w:left="1080" w:header="403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8496"/>
      <w:gridCol w:w="1584"/>
    </w:tblGrid>
    <w:tr>
      <w:tc>
        <w:tcPr>
          <w:tcW w:type="dxa" w:w="8496"/>
        </w:tcPr>
        <w:p>
          <w:pPr>
            <w:spacing w:after="0"/>
          </w:pPr>
          <w:r>
            <w:rPr>
              <w:rFonts w:ascii="Arial" w:hAnsi="Arial" w:eastAsia="Arial"/>
              <w:b w:val="0"/>
              <w:i w:val="0"/>
              <w:color w:val="5B6775"/>
              <w:sz w:val="14"/>
            </w:rPr>
            <w:t>Documento de estado verificable · MVP funcional / piloto controlado</w:t>
          </w:r>
        </w:p>
      </w:tc>
      <w:tc>
        <w:tcPr>
          <w:tcW w:type="dxa" w:w="1584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5B6775"/>
              <w:sz w:val="14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6775"/>
        <w:sz w:val="14"/>
      </w:rPr>
      <w:t>Información verificada al 24 de julio de 2026 · Confidencial para presentación al cliente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color="CBD6E2"/>
      </w:pBdr>
    </w:pPr>
    <w:r>
      <w:rPr>
        <w:rFonts w:ascii="Arial" w:hAnsi="Arial" w:eastAsia="Arial"/>
        <w:b/>
        <w:i w:val="0"/>
        <w:color w:val="12355B"/>
        <w:sz w:val="15"/>
      </w:rPr>
      <w:t>RADAR DE OPORTUNIDADES  /  INFORME DE AVANCE FASE 1</w:t>
    </w:r>
    <w:r>
      <w:rPr>
        <w:rFonts w:ascii="Arial" w:hAnsi="Arial" w:eastAsia="Arial"/>
        <w:b/>
        <w:i w:val="0"/>
        <w:color w:val="3D78A8"/>
        <w:sz w:val="15"/>
      </w:rPr>
      <w:t xml:space="preserve">     24 JUL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Radar de Oportunidades — Informe de avance Fase 1</dc:title>
  <dc:subject>Trazabilidad, stack, QA, riesgos y hoja de ruta</dc:subject>
  <dc:creator>Equipo Radar CRECE</dc:creator>
  <cp:keywords>Radar CRECE, inmuebles, avance, Fase 1, producción, QA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