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0"/>
      </w:pPr>
      <w:r>
        <w:rPr>
          <w:rFonts w:ascii="Calibri" w:hAnsi="Calibri"/>
          <w:b/>
          <w:i w:val="0"/>
          <w:color w:val="8A6300"/>
          <w:sz w:val="19"/>
        </w:rPr>
        <w:t>INFORME DE AVANCE Y TRAZABILIDAD</w:t>
      </w:r>
    </w:p>
    <w:p>
      <w:pPr>
        <w:spacing w:after="120"/>
      </w:pPr>
      <w:r>
        <w:rPr>
          <w:rFonts w:ascii="Calibri" w:hAnsi="Calibri"/>
          <w:b/>
          <w:i w:val="0"/>
          <w:color w:val="2A1336"/>
          <w:sz w:val="56"/>
        </w:rPr>
        <w:t>Radar de Oportunidades Inmobiliarias</w:t>
      </w:r>
    </w:p>
    <w:p>
      <w:pPr>
        <w:spacing w:after="360"/>
      </w:pPr>
      <w:r>
        <w:rPr>
          <w:rFonts w:ascii="Calibri" w:hAnsi="Calibri"/>
          <w:b/>
          <w:i w:val="0"/>
          <w:color w:val="4F2868"/>
          <w:sz w:val="28"/>
        </w:rPr>
        <w:t>Matriz de historias de usuario, evidencia y próximos pasos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  <w:tcBorders>
              <w:top w:val="single" w:sz="4" w:color="D9DDE3"/>
              <w:bottom w:val="single" w:sz="4" w:color="D9DDE3"/>
              <w:start w:val="single" w:sz="4" w:color="D9DDE3"/>
              <w:end w:val="single" w:sz="4" w:color="D9DDE3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655B69"/>
                <w:sz w:val="16"/>
              </w:rPr>
              <w:t>PREPARADO PARA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A1336"/>
                <w:sz w:val="21"/>
              </w:rPr>
              <w:t>Validación con el cliente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  <w:tcBorders>
              <w:top w:val="single" w:sz="4" w:color="D9DDE3"/>
              <w:bottom w:val="single" w:sz="4" w:color="D9DDE3"/>
              <w:start w:val="single" w:sz="4" w:color="D9DDE3"/>
              <w:end w:val="single" w:sz="4" w:color="D9DDE3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655B69"/>
                <w:sz w:val="16"/>
              </w:rPr>
              <w:t>CORTE FUNCIONAL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A1336"/>
                <w:sz w:val="21"/>
              </w:rPr>
              <w:t>25 de julio de 2026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  <w:tcBorders>
              <w:top w:val="single" w:sz="4" w:color="D9DDE3"/>
              <w:bottom w:val="single" w:sz="4" w:color="D9DDE3"/>
              <w:start w:val="single" w:sz="4" w:color="D9DDE3"/>
              <w:end w:val="single" w:sz="4" w:color="D9DDE3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655B69"/>
                <w:sz w:val="16"/>
              </w:rPr>
              <w:t>VERSIÓN DE CÓDIGO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A1336"/>
                <w:sz w:val="21"/>
              </w:rPr>
              <w:t>bbd704c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  <w:tcBorders>
              <w:top w:val="single" w:sz="4" w:color="D9DDE3"/>
              <w:bottom w:val="single" w:sz="4" w:color="D9DDE3"/>
              <w:start w:val="single" w:sz="4" w:color="D9DDE3"/>
              <w:end w:val="single" w:sz="4" w:color="D9DDE3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655B69"/>
                <w:sz w:val="16"/>
              </w:rPr>
              <w:t>ENTORNO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A1336"/>
                <w:sz w:val="21"/>
              </w:rPr>
              <w:t>Local validado y producción activa</w:t>
            </w:r>
          </w:p>
        </w:tc>
      </w:tr>
    </w:tbl>
    <w:p/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9D9" w:val="clear"/>
            <w:tcBorders>
              <w:top w:val="single" w:sz="12" w:color="F2CA04" w:space="0"/>
              <w:bottom w:val="single" w:sz="4" w:color="D9DDE3" w:space="0"/>
              <w:start w:val="single" w:sz="4" w:color="D9DDE3" w:space="0"/>
              <w:end w:val="single" w:sz="4" w:color="D9DDE3" w:space="0"/>
            </w:tcBorders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32"/>
              </w:rPr>
              <w:t>84%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5B69"/>
                <w:sz w:val="17"/>
              </w:rPr>
              <w:t>Fase 1 defendible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EFF7" w:val="clear"/>
            <w:tcBorders>
              <w:top w:val="single" w:sz="12" w:color="4F2868" w:space="0"/>
              <w:bottom w:val="single" w:sz="4" w:color="D9DDE3" w:space="0"/>
              <w:start w:val="single" w:sz="4" w:color="D9DDE3" w:space="0"/>
              <w:end w:val="single" w:sz="4" w:color="D9DDE3" w:space="0"/>
            </w:tcBorders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32"/>
              </w:rPr>
              <w:t>129 / 129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5B69"/>
                <w:sz w:val="17"/>
              </w:rPr>
              <w:t>Pruebas aprobadas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EFF7" w:val="clear"/>
            <w:tcBorders>
              <w:top w:val="single" w:sz="12" w:color="4F2868" w:space="0"/>
              <w:bottom w:val="single" w:sz="4" w:color="D9DDE3" w:space="0"/>
              <w:start w:val="single" w:sz="4" w:color="D9DDE3" w:space="0"/>
              <w:end w:val="single" w:sz="4" w:color="D9DDE3" w:space="0"/>
            </w:tcBorders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32"/>
              </w:rPr>
              <w:t>10 / 10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5B69"/>
                <w:sz w:val="17"/>
              </w:rPr>
              <w:t>Recorridos E2E locales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EFF7" w:val="clear"/>
            <w:tcBorders>
              <w:top w:val="single" w:sz="12" w:color="4F2868" w:space="0"/>
              <w:bottom w:val="single" w:sz="4" w:color="D9DDE3" w:space="0"/>
              <w:start w:val="single" w:sz="4" w:color="D9DDE3" w:space="0"/>
              <w:end w:val="single" w:sz="4" w:color="D9DDE3" w:space="0"/>
            </w:tcBorders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32"/>
              </w:rPr>
              <w:t>0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5B69"/>
                <w:sz w:val="17"/>
              </w:rPr>
              <w:t>Errores TypeScript</w:t>
            </w:r>
          </w:p>
        </w:tc>
      </w:tr>
    </w:tbl>
    <w:p/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50" w:type="dxa"/>
              <w:start w:w="180" w:type="dxa"/>
              <w:bottom w:w="150" w:type="dxa"/>
              <w:end w:w="180" w:type="dxa"/>
            </w:tcMar>
            <w:vAlign w:val="center"/>
            <w:shd w:fill="F4EFF7" w:val="clear"/>
            <w:tcBorders>
              <w:start w:val="single" w:sz="22" w:color="4F2868" w:space="0"/>
              <w:top w:val="nil"/>
              <w:bottom w:val="nil"/>
              <w:end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4F2868"/>
                <w:sz w:val="22"/>
              </w:rPr>
              <w:t xml:space="preserve">Conclusión ejecutiva: </w:t>
            </w:r>
            <w:r>
              <w:rPr>
                <w:rFonts w:ascii="Calibri" w:hAnsi="Calibri"/>
                <w:b w:val="0"/>
                <w:i w:val="0"/>
                <w:color w:val="2A1336"/>
                <w:sz w:val="22"/>
              </w:rPr>
              <w:t>Las historias de usuario originales sí han sido la base del motor y de las reglas de negocio. La Fase 1 alcanza un 83,6%, comunicado como 84%. El producto es un MVP funcional y demostrable; los pendientes están identificados y se concentran en trazabilidad completa del ciclo de vida, normalización de fuentes, operación de producción y decisiones de alcance.</w:t>
            </w:r>
          </w:p>
        </w:tc>
      </w:tr>
    </w:tbl>
    <w:p>
      <w:pPr>
        <w:spacing w:after="40"/>
      </w:pPr>
    </w:p>
    <w:p>
      <w:pPr>
        <w:spacing w:before="0" w:after="120" w:line="264" w:lineRule="auto"/>
      </w:pPr>
      <w:r>
        <w:rPr>
          <w:rFonts w:ascii="Calibri" w:hAnsi="Calibri"/>
          <w:b w:val="0"/>
          <w:i/>
          <w:color w:val="655B69"/>
          <w:sz w:val="22"/>
        </w:rPr>
        <w:t>Este documento separa deliberadamente las historias originales de las funcionalidades solicitadas después. Así se evita presentar ampliaciones como requisitos cerrados o sumar trabajo adicional al porcentaje base sin aprobación del cliente.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URL de referencia: </w:t>
      </w:r>
      <w:r>
        <w:rPr>
          <w:rFonts w:ascii="Calibri" w:hAnsi="Calibri"/>
          <w:b w:val="0"/>
          <w:i w:val="0"/>
          <w:color w:val="2A1336"/>
          <w:sz w:val="22"/>
        </w:rPr>
        <w:t>https://joinsclee-radar.juno8i.easypanel.host/</w:t>
      </w:r>
    </w:p>
    <w:p>
      <w:r>
        <w:br w:type="page"/>
      </w:r>
    </w:p>
    <w:p>
      <w:pPr>
        <w:pStyle w:val="Heading1"/>
        <w:keepNext/>
      </w:pPr>
      <w:r>
        <w:t>1. Cómo leer esta matriz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2A1336"/>
          <w:sz w:val="22"/>
        </w:rPr>
        <w:t>La evaluación se realiza por bloque funcional documentado. El porcentaje representa cumplimiento del alcance de la Fase 1 y no significa que cada fuente o proceso esté al 100% de madurez operativa.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Implementado: existe comportamiento funcional verificable en código o interfaz.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Evidencia: existen pruebas, rutas, reglas o datos que permiten demostrar el resultado.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Pendiente: falta una condición de aceptación, cobertura de datos o control operativo.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Decisión del cliente: definición de negocio necesaria para cerrar la historia sin asumir reglas.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Alcance adicional: funcionalidad solicitada después de la línea base y que debe versionarse como nueva HU o extensión.</w:t>
      </w:r>
    </w:p>
    <w:p>
      <w:pPr>
        <w:pStyle w:val="Heading1"/>
        <w:keepNext/>
      </w:pPr>
      <w:r>
        <w:t>2. Resumen de cumplimiento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4050"/>
        <w:gridCol w:w="1000"/>
        <w:gridCol w:w="2860"/>
      </w:tblGrid>
      <w:tr>
        <w:trPr>
          <w:tblHeader w:val="true"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2A1336" w:val="clea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ID</w:t>
            </w:r>
          </w:p>
        </w:tc>
        <w:tc>
          <w:tcPr>
            <w:tcW w:type="dxa" w:w="4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2A1336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Historia / bloque funcional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2A1336" w:val="clea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Avance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2A1336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Lectura ejecutiva</w:t>
            </w:r>
          </w:p>
        </w:tc>
      </w:tr>
      <w:tr>
        <w:tc>
          <w:tcPr>
            <w:tcW w:type="dxa" w:w="145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8"/>
              </w:rPr>
              <w:t>HU-F1-01</w:t>
            </w:r>
          </w:p>
        </w:tc>
        <w:tc>
          <w:tcPr>
            <w:tcW w:type="dxa" w:w="405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8"/>
              </w:rPr>
              <w:t>Núcleo de comparables e Índice CRECE</w:t>
            </w:r>
          </w:p>
        </w:tc>
        <w:tc>
          <w:tcPr>
            <w:tcW w:type="dxa" w:w="1000"/>
            <w:shd w:fill="EAF6EF" w:val="clea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8"/>
              </w:rPr>
              <w:t>95%</w:t>
            </w:r>
          </w:p>
        </w:tc>
        <w:tc>
          <w:tcPr>
            <w:tcW w:type="dxa" w:w="286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8"/>
              </w:rPr>
              <w:t>Prácticamente cerrada; requiere auditoría histórica y definición geográfica.</w:t>
            </w:r>
          </w:p>
        </w:tc>
      </w:tr>
      <w:tr>
        <w:tc>
          <w:tcPr>
            <w:tcW w:type="dxa" w:w="145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8"/>
              </w:rPr>
              <w:t>HU-F1-02</w:t>
            </w:r>
          </w:p>
        </w:tc>
        <w:tc>
          <w:tcPr>
            <w:tcW w:type="dxa" w:w="405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8"/>
              </w:rPr>
              <w:t>Rango de precio y vigencia del Portal</w:t>
            </w:r>
          </w:p>
        </w:tc>
        <w:tc>
          <w:tcPr>
            <w:tcW w:type="dxa" w:w="1000"/>
            <w:shd w:fill="FFF5D6" w:val="clea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8"/>
              </w:rPr>
              <w:t>78%</w:t>
            </w:r>
          </w:p>
        </w:tc>
        <w:tc>
          <w:tcPr>
            <w:tcW w:type="dxa" w:w="286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8"/>
              </w:rPr>
              <w:t>Reglas implementadas; falta uniformar eventos del ciclo de vida.</w:t>
            </w:r>
          </w:p>
        </w:tc>
      </w:tr>
      <w:tr>
        <w:tc>
          <w:tcPr>
            <w:tcW w:type="dxa" w:w="145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8"/>
              </w:rPr>
              <w:t>HU-F1-03</w:t>
            </w:r>
          </w:p>
        </w:tc>
        <w:tc>
          <w:tcPr>
            <w:tcW w:type="dxa" w:w="405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8"/>
              </w:rPr>
              <w:t>Motor de activos bancarios</w:t>
            </w:r>
          </w:p>
        </w:tc>
        <w:tc>
          <w:tcPr>
            <w:tcW w:type="dxa" w:w="1000"/>
            <w:shd w:fill="FFF5D6" w:val="clea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8"/>
              </w:rPr>
              <w:t>82%</w:t>
            </w:r>
          </w:p>
        </w:tc>
        <w:tc>
          <w:tcPr>
            <w:tcW w:type="dxa" w:w="286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8"/>
              </w:rPr>
              <w:t>Operativo; falta identidad secundaria e historial uniforme.</w:t>
            </w:r>
          </w:p>
        </w:tc>
      </w:tr>
      <w:tr>
        <w:tc>
          <w:tcPr>
            <w:tcW w:type="dxa" w:w="145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8"/>
              </w:rPr>
              <w:t>HU-F1-04</w:t>
            </w:r>
          </w:p>
        </w:tc>
        <w:tc>
          <w:tcPr>
            <w:tcW w:type="dxa" w:w="405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8"/>
              </w:rPr>
              <w:t>Motor de activos Grupo AVAL</w:t>
            </w:r>
          </w:p>
        </w:tc>
        <w:tc>
          <w:tcPr>
            <w:tcW w:type="dxa" w:w="1000"/>
            <w:shd w:fill="FFF5D6" w:val="clea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8"/>
              </w:rPr>
              <w:t>72%</w:t>
            </w:r>
          </w:p>
        </w:tc>
        <w:tc>
          <w:tcPr>
            <w:tcW w:type="dxa" w:w="286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8"/>
              </w:rPr>
              <w:t>Ingesta PDF funcional; normalización y comparación entre boletines pendientes.</w:t>
            </w:r>
          </w:p>
        </w:tc>
      </w:tr>
      <w:tr>
        <w:tc>
          <w:tcPr>
            <w:tcW w:type="dxa" w:w="145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8"/>
              </w:rPr>
              <w:t>HU-F1-05</w:t>
            </w:r>
          </w:p>
        </w:tc>
        <w:tc>
          <w:tcPr>
            <w:tcW w:type="dxa" w:w="405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8"/>
              </w:rPr>
              <w:t>Motor de remates judiciales</w:t>
            </w:r>
          </w:p>
        </w:tc>
        <w:tc>
          <w:tcPr>
            <w:tcW w:type="dxa" w:w="1000"/>
            <w:shd w:fill="EAF6EF" w:val="clea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8"/>
              </w:rPr>
              <w:t>92%</w:t>
            </w:r>
          </w:p>
        </w:tc>
        <w:tc>
          <w:tcPr>
            <w:tcW w:type="dxa" w:w="286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8"/>
              </w:rPr>
              <w:t>Reglas jurídicas y comerciales sólidas; falta cuarentena de anomalías.</w:t>
            </w:r>
          </w:p>
        </w:tc>
      </w:tr>
      <w:tr>
        <w:tc>
          <w:tcPr>
            <w:tcW w:type="dxa" w:w="145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8"/>
              </w:rPr>
              <w:t>PRD-01</w:t>
            </w:r>
          </w:p>
        </w:tc>
        <w:tc>
          <w:tcPr>
            <w:tcW w:type="dxa" w:w="405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8"/>
              </w:rPr>
              <w:t>UX, autenticación y modelo freemium</w:t>
            </w:r>
          </w:p>
        </w:tc>
        <w:tc>
          <w:tcPr>
            <w:tcW w:type="dxa" w:w="1000"/>
            <w:shd w:fill="EAF6EF" w:val="clea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8"/>
              </w:rPr>
              <w:t>88%</w:t>
            </w:r>
          </w:p>
        </w:tc>
        <w:tc>
          <w:tcPr>
            <w:tcW w:type="dxa" w:w="286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8"/>
              </w:rPr>
              <w:t>Experiencia funcional y responsive; quedan controles de activación.</w:t>
            </w:r>
          </w:p>
        </w:tc>
      </w:tr>
      <w:tr>
        <w:tc>
          <w:tcPr>
            <w:tcW w:type="dxa" w:w="145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8"/>
              </w:rPr>
              <w:t>OPS-01</w:t>
            </w:r>
          </w:p>
        </w:tc>
        <w:tc>
          <w:tcPr>
            <w:tcW w:type="dxa" w:w="405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8"/>
              </w:rPr>
              <w:t>Producción, seguridad y operación</w:t>
            </w:r>
          </w:p>
        </w:tc>
        <w:tc>
          <w:tcPr>
            <w:tcW w:type="dxa" w:w="1000"/>
            <w:shd w:fill="FDECEC" w:val="clea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8"/>
              </w:rPr>
              <w:t>64%</w:t>
            </w:r>
          </w:p>
        </w:tc>
        <w:tc>
          <w:tcPr>
            <w:tcW w:type="dxa" w:w="286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8"/>
              </w:rPr>
              <w:t>Producción activa; endurecimiento y recuperación aún en curso.</w:t>
            </w:r>
          </w:p>
        </w:tc>
      </w:tr>
      <w:tr>
        <w:tc>
          <w:tcPr>
            <w:tcW w:type="dxa" w:w="145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8"/>
              </w:rPr>
              <w:t>TOTAL</w:t>
            </w:r>
          </w:p>
        </w:tc>
        <w:tc>
          <w:tcPr>
            <w:tcW w:type="dxa" w:w="405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8"/>
              </w:rPr>
              <w:t>Fase 1 ponderada</w:t>
            </w:r>
          </w:p>
        </w:tc>
        <w:tc>
          <w:tcPr>
            <w:tcW w:type="dxa" w:w="1000"/>
            <w:shd w:fill="FFF5D6" w:val="clea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8"/>
              </w:rPr>
              <w:t>83,6%</w:t>
            </w:r>
          </w:p>
        </w:tc>
        <w:tc>
          <w:tcPr>
            <w:tcW w:type="dxa" w:w="286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8"/>
              </w:rPr>
              <w:t>Se comunica como 84%; supera el objetivo de demostración del 80%.</w:t>
            </w:r>
          </w:p>
        </w:tc>
      </w:tr>
    </w:tbl>
    <w:p>
      <w:pPr>
        <w:spacing w:before="0" w:after="120" w:line="264" w:lineRule="auto"/>
      </w:pPr>
      <w:r>
        <w:rPr>
          <w:rFonts w:ascii="Calibri" w:hAnsi="Calibri"/>
          <w:b/>
          <w:i w:val="0"/>
          <w:color w:val="655B69"/>
          <w:sz w:val="22"/>
        </w:rPr>
        <w:t xml:space="preserve">Nota metodológica. </w:t>
      </w:r>
      <w:r>
        <w:rPr>
          <w:rFonts w:ascii="Calibri" w:hAnsi="Calibri"/>
          <w:b w:val="0"/>
          <w:i w:val="0"/>
          <w:color w:val="655B69"/>
          <w:sz w:val="22"/>
        </w:rPr>
        <w:t>Los porcentajes son una ponderación por bloques funcionales. No se deben promediar de forma simple ni usar como certificado de producción masiva.</w:t>
      </w:r>
    </w:p>
    <w:p>
      <w:r>
        <w:br w:type="page"/>
      </w:r>
    </w:p>
    <w:p>
      <w:pPr>
        <w:pStyle w:val="Heading1"/>
        <w:keepNext/>
      </w:pPr>
      <w:r>
        <w:t>3. Trazabilidad detallada de las historias originales</w:t>
      </w:r>
    </w:p>
    <w:p>
      <w:pPr>
        <w:pStyle w:val="Heading2"/>
        <w:keepNext/>
      </w:pPr>
      <w:r>
        <w:t>HU-F1-01 — Núcleo de comparables e Índice CRECE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7860"/>
      </w:tblGrid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6EF" w:val="clear"/>
            <w:tcBorders>
              <w:top w:val="single" w:sz="4" w:color="EAF6EF"/>
              <w:bottom w:val="single" w:sz="4" w:color="EAF6EF"/>
              <w:start w:val="single" w:sz="4" w:color="EAF6EF"/>
              <w:end w:val="single" w:sz="4" w:color="EAF6EF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E7A46"/>
                <w:sz w:val="24"/>
              </w:rPr>
              <w:t>95%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6EF" w:val="clear"/>
            <w:tcBorders>
              <w:top w:val="single" w:sz="4" w:color="EAF6EF"/>
              <w:bottom w:val="single" w:sz="4" w:color="EAF6EF"/>
              <w:start w:val="single" w:sz="4" w:color="EAF6EF"/>
              <w:end w:val="single" w:sz="4" w:color="EAF6EF"/>
            </w:tcBorders>
          </w:tcPr>
          <w:p>
            <w:r>
              <w:rPr>
                <w:rFonts w:ascii="Calibri" w:hAnsi="Calibri"/>
                <w:b/>
                <w:i w:val="0"/>
                <w:color w:val="1E7A46"/>
                <w:sz w:val="21"/>
              </w:rPr>
              <w:t>Avanzada — en cierre funcional</w:t>
            </w:r>
          </w:p>
        </w:tc>
      </w:tr>
    </w:tbl>
    <w:p>
      <w:pPr>
        <w:spacing w:after="0"/>
      </w:pP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Objetivo. </w:t>
      </w:r>
      <w:r>
        <w:rPr>
          <w:rFonts w:ascii="Calibri" w:hAnsi="Calibri"/>
          <w:b w:val="0"/>
          <w:i w:val="0"/>
          <w:color w:val="2A1336"/>
          <w:sz w:val="22"/>
        </w:rPr>
        <w:t>Comparar cada inmueble contra una muestra de mercado abierto equivalente y traducir el resultado a una categoría CRECE comprensible.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>Implementado:</w:t>
      </w:r>
      <w:r>
        <w:rPr>
          <w:rFonts w:ascii="Calibri" w:hAnsi="Calibri"/>
          <w:b w:val="0"/>
          <w:i w:val="0"/>
          <w:color w:val="2A1336"/>
          <w:sz w:val="22"/>
        </w:rPr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Mediana robusta por precio por metro cuadrado y recorte de valores atípicos.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Comparación por tipo, área, atributos y cascada geográfica; muestra mínima controlada.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Exclusión de bancos y remates del universo de referencia del mercado abierto.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Tabla maestra de once categorías CRECE y tratamiento definido del rango 0,71–0,75.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Persistencia de índice/categoría y control de acceso desde el servidor.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Evidencia verificable. </w:t>
      </w:r>
      <w:r>
        <w:rPr>
          <w:rFonts w:ascii="Calibri" w:hAnsi="Calibri"/>
          <w:b w:val="0"/>
          <w:i w:val="0"/>
          <w:color w:val="2A1336"/>
          <w:sz w:val="22"/>
        </w:rPr>
        <w:t>Motor TypeScript de comparables y clasificación, criterios trazables mostrados al usuario y pruebas de límites de categoría y casos de referencia.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Pendiente para cierre. </w:t>
      </w:r>
      <w:r>
        <w:rPr>
          <w:rFonts w:ascii="Calibri" w:hAnsi="Calibri"/>
          <w:b w:val="0"/>
          <w:i w:val="0"/>
          <w:color w:val="2A1336"/>
          <w:sz w:val="22"/>
        </w:rPr>
        <w:t>Auditar la persistencia del Índice CRECE en el 100% del histórico y documentar el criterio definitivo de radio o zonas colindantes.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50" w:type="dxa"/>
              <w:start w:w="180" w:type="dxa"/>
              <w:bottom w:w="150" w:type="dxa"/>
              <w:end w:w="180" w:type="dxa"/>
            </w:tcMar>
            <w:vAlign w:val="center"/>
            <w:shd w:fill="FFF9D9" w:val="clear"/>
            <w:tcBorders>
              <w:start w:val="single" w:sz="22" w:color="8A6300" w:space="0"/>
              <w:top w:val="nil"/>
              <w:bottom w:val="nil"/>
              <w:end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8A6300"/>
                <w:sz w:val="22"/>
              </w:rPr>
              <w:t xml:space="preserve">Decisión o validación del cliente: </w:t>
            </w:r>
            <w:r>
              <w:rPr>
                <w:rFonts w:ascii="Calibri" w:hAnsi="Calibri"/>
                <w:b w:val="0"/>
                <w:i w:val="0"/>
                <w:color w:val="2A1336"/>
                <w:sz w:val="22"/>
              </w:rPr>
              <w:t>Aprobar cuándo el motor puede ampliar de barrio a zona/ciudad y cuál debe ser el radio máximo aceptable.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  <w:keepNext/>
      </w:pPr>
      <w:r>
        <w:t>HU-F1-02 — Rango de precio y vigencia del Portal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7860"/>
      </w:tblGrid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5D6" w:val="clear"/>
            <w:tcBorders>
              <w:top w:val="single" w:sz="4" w:color="FFF5D6"/>
              <w:bottom w:val="single" w:sz="4" w:color="FFF5D6"/>
              <w:start w:val="single" w:sz="4" w:color="FFF5D6"/>
              <w:end w:val="single" w:sz="4" w:color="FFF5D6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8A6300"/>
                <w:sz w:val="24"/>
              </w:rPr>
              <w:t>78%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5D6" w:val="clear"/>
            <w:tcBorders>
              <w:top w:val="single" w:sz="4" w:color="FFF5D6"/>
              <w:bottom w:val="single" w:sz="4" w:color="FFF5D6"/>
              <w:start w:val="single" w:sz="4" w:color="FFF5D6"/>
              <w:end w:val="single" w:sz="4" w:color="FFF5D6"/>
            </w:tcBorders>
          </w:tcPr>
          <w:p>
            <w:r>
              <w:rPr>
                <w:rFonts w:ascii="Calibri" w:hAnsi="Calibri"/>
                <w:b/>
                <w:i w:val="0"/>
                <w:color w:val="8A6300"/>
                <w:sz w:val="21"/>
              </w:rPr>
              <w:t>Parcial — reglas listas, trazabilidad incompleta</w:t>
            </w:r>
          </w:p>
        </w:tc>
      </w:tr>
    </w:tbl>
    <w:p>
      <w:pPr>
        <w:spacing w:after="0"/>
      </w:pP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Objetivo. </w:t>
      </w:r>
      <w:r>
        <w:rPr>
          <w:rFonts w:ascii="Calibri" w:hAnsi="Calibri"/>
          <w:b w:val="0"/>
          <w:i w:val="0"/>
          <w:color w:val="2A1336"/>
          <w:sz w:val="22"/>
        </w:rPr>
        <w:t>Controlar qué ciudades y rangos se monitorean, identificar cambios y evitar que publicaciones antiguas parezcan inventario vigente.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>Implementado:</w:t>
      </w:r>
      <w:r>
        <w:rPr>
          <w:rFonts w:ascii="Calibri" w:hAnsi="Calibri"/>
          <w:b w:val="0"/>
          <w:i w:val="0"/>
          <w:color w:val="2A1336"/>
          <w:sz w:val="22"/>
        </w:rPr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Zonas monitoreadas configurables por ciudad y filtros de precio, área, estrato y fecha.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Reglas de 30 y 90 días implementadas y probadas.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Modelo de eventos de vigencia y cadencia semanal disponible.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Filtros de interfaz coherentes con los atributos capturados.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Evidencia verificable. </w:t>
      </w:r>
      <w:r>
        <w:rPr>
          <w:rFonts w:ascii="Calibri" w:hAnsi="Calibri"/>
          <w:b w:val="0"/>
          <w:i w:val="0"/>
          <w:color w:val="2A1336"/>
          <w:sz w:val="22"/>
        </w:rPr>
        <w:t>Configuración persistente de zonas, motor de vigencia y pruebas sobre estados temporales.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Pendiente para cierre. </w:t>
      </w:r>
      <w:r>
        <w:rPr>
          <w:rFonts w:ascii="Calibri" w:hAnsi="Calibri"/>
          <w:b w:val="0"/>
          <w:i w:val="0"/>
          <w:color w:val="2A1336"/>
          <w:sz w:val="22"/>
        </w:rPr>
        <w:t>Conectar uniformemente los eventos NUEVO, VISTO, PRECIO_ACTUALIZADO, RETIRADO, EXPIRADO y DESCARTADO desde todos los scrapers; verificar activación y población de ciudades.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50" w:type="dxa"/>
              <w:start w:w="180" w:type="dxa"/>
              <w:bottom w:w="150" w:type="dxa"/>
              <w:end w:w="180" w:type="dxa"/>
            </w:tcMar>
            <w:vAlign w:val="center"/>
            <w:shd w:fill="FFF9D9" w:val="clear"/>
            <w:tcBorders>
              <w:start w:val="single" w:sz="22" w:color="8A6300" w:space="0"/>
              <w:top w:val="nil"/>
              <w:bottom w:val="nil"/>
              <w:end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8A6300"/>
                <w:sz w:val="22"/>
              </w:rPr>
              <w:t xml:space="preserve">Decisión o validación del cliente: </w:t>
            </w:r>
            <w:r>
              <w:rPr>
                <w:rFonts w:ascii="Calibri" w:hAnsi="Calibri"/>
                <w:b w:val="0"/>
                <w:i w:val="0"/>
                <w:color w:val="2A1336"/>
                <w:sz w:val="22"/>
              </w:rPr>
              <w:t>Definir si un inmueble retirado debe conservarse visible como histórico y durante cuánto tiempo.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  <w:keepNext/>
      </w:pPr>
      <w:r>
        <w:t>HU-F1-03 — Motor de activos bancarios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7860"/>
      </w:tblGrid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5D6" w:val="clear"/>
            <w:tcBorders>
              <w:top w:val="single" w:sz="4" w:color="FFF5D6"/>
              <w:bottom w:val="single" w:sz="4" w:color="FFF5D6"/>
              <w:start w:val="single" w:sz="4" w:color="FFF5D6"/>
              <w:end w:val="single" w:sz="4" w:color="FFF5D6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8A6300"/>
                <w:sz w:val="24"/>
              </w:rPr>
              <w:t>82%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5D6" w:val="clear"/>
            <w:tcBorders>
              <w:top w:val="single" w:sz="4" w:color="FFF5D6"/>
              <w:bottom w:val="single" w:sz="4" w:color="FFF5D6"/>
              <w:start w:val="single" w:sz="4" w:color="FFF5D6"/>
              <w:end w:val="single" w:sz="4" w:color="FFF5D6"/>
            </w:tcBorders>
          </w:tcPr>
          <w:p>
            <w:r>
              <w:rPr>
                <w:rFonts w:ascii="Calibri" w:hAnsi="Calibri"/>
                <w:b/>
                <w:i w:val="0"/>
                <w:color w:val="8A6300"/>
                <w:sz w:val="21"/>
              </w:rPr>
              <w:t>Avanzada — cierre de identidad e historial</w:t>
            </w:r>
          </w:p>
        </w:tc>
      </w:tr>
    </w:tbl>
    <w:p>
      <w:pPr>
        <w:spacing w:after="0"/>
      </w:pP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Objetivo. </w:t>
      </w:r>
      <w:r>
        <w:rPr>
          <w:rFonts w:ascii="Calibri" w:hAnsi="Calibri"/>
          <w:b w:val="0"/>
          <w:i w:val="0"/>
          <w:color w:val="2A1336"/>
          <w:sz w:val="22"/>
        </w:rPr>
        <w:t>Normalizar activos de diferentes bancos y determinar si son oportunidades contra el mercado abierto sin depender de campos que algunas fuentes no publican.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>Implementado:</w:t>
      </w:r>
      <w:r>
        <w:rPr>
          <w:rFonts w:ascii="Calibri" w:hAnsi="Calibri"/>
          <w:b w:val="0"/>
          <w:i w:val="0"/>
          <w:color w:val="2A1336"/>
          <w:sz w:val="22"/>
        </w:rPr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Fuentes bancarias normalizadas y clasificación contra comparables del mercado abierto.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Ausencia de estrato tratada como dato opcional, no como bloqueo.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Mensaje de última verificación y rotación semanal determinista del inventario.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Interfaz y filtros adaptados a la calidad real de los datos bancarios.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Evidencia verificable. </w:t>
      </w:r>
      <w:r>
        <w:rPr>
          <w:rFonts w:ascii="Calibri" w:hAnsi="Calibri"/>
          <w:b w:val="0"/>
          <w:i w:val="0"/>
          <w:color w:val="2A1336"/>
          <w:sz w:val="22"/>
        </w:rPr>
        <w:t>Scrapers bancarios, motor de comparables, rotación semanal y pruebas de frescura.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Pendiente para cierre. </w:t>
      </w:r>
      <w:r>
        <w:rPr>
          <w:rFonts w:ascii="Calibri" w:hAnsi="Calibri"/>
          <w:b w:val="0"/>
          <w:i w:val="0"/>
          <w:color w:val="2A1336"/>
          <w:sz w:val="22"/>
        </w:rPr>
        <w:t>Cerrar la identidad secundaria para enlaces o slugs inestables; uniformar detección de retiro, cambio de precio e historial entre bancos.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50" w:type="dxa"/>
              <w:start w:w="180" w:type="dxa"/>
              <w:bottom w:w="150" w:type="dxa"/>
              <w:end w:w="180" w:type="dxa"/>
            </w:tcMar>
            <w:vAlign w:val="center"/>
            <w:shd w:fill="FFF9D9" w:val="clear"/>
            <w:tcBorders>
              <w:start w:val="single" w:sz="22" w:color="8A6300" w:space="0"/>
              <w:top w:val="nil"/>
              <w:bottom w:val="nil"/>
              <w:end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8A6300"/>
                <w:sz w:val="22"/>
              </w:rPr>
              <w:t xml:space="preserve">Decisión o validación del cliente: </w:t>
            </w:r>
            <w:r>
              <w:rPr>
                <w:rFonts w:ascii="Calibri" w:hAnsi="Calibri"/>
                <w:b w:val="0"/>
                <w:i w:val="0"/>
                <w:color w:val="2A1336"/>
                <w:sz w:val="22"/>
              </w:rPr>
              <w:t>Confirmar qué atributos mínimos debe tener un activo bancario para publicarse aun cuando la fuente no entregue estrato, habitaciones o baños.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  <w:keepNext/>
      </w:pPr>
      <w:r>
        <w:t>HU-F1-04 — Motor de activos Grupo AVAL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7860"/>
      </w:tblGrid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5D6" w:val="clear"/>
            <w:tcBorders>
              <w:top w:val="single" w:sz="4" w:color="FFF5D6"/>
              <w:bottom w:val="single" w:sz="4" w:color="FFF5D6"/>
              <w:start w:val="single" w:sz="4" w:color="FFF5D6"/>
              <w:end w:val="single" w:sz="4" w:color="FFF5D6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8A6300"/>
                <w:sz w:val="24"/>
              </w:rPr>
              <w:t>72%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5D6" w:val="clear"/>
            <w:tcBorders>
              <w:top w:val="single" w:sz="4" w:color="FFF5D6"/>
              <w:bottom w:val="single" w:sz="4" w:color="FFF5D6"/>
              <w:start w:val="single" w:sz="4" w:color="FFF5D6"/>
              <w:end w:val="single" w:sz="4" w:color="FFF5D6"/>
            </w:tcBorders>
          </w:tcPr>
          <w:p>
            <w:r>
              <w:rPr>
                <w:rFonts w:ascii="Calibri" w:hAnsi="Calibri"/>
                <w:b/>
                <w:i w:val="0"/>
                <w:color w:val="8A6300"/>
                <w:sz w:val="21"/>
              </w:rPr>
              <w:t>Parcial — ingesta funcional, normalización pendiente</w:t>
            </w:r>
          </w:p>
        </w:tc>
      </w:tr>
    </w:tbl>
    <w:p>
      <w:pPr>
        <w:spacing w:after="0"/>
      </w:pP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Objetivo. </w:t>
      </w:r>
      <w:r>
        <w:rPr>
          <w:rFonts w:ascii="Calibri" w:hAnsi="Calibri"/>
          <w:b w:val="0"/>
          <w:i w:val="0"/>
          <w:color w:val="2A1336"/>
          <w:sz w:val="22"/>
        </w:rPr>
        <w:t>Extraer y comparar activos publicados en boletines PDF de AVAL conservando trazabilidad del documento fuente.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>Implementado:</w:t>
      </w:r>
      <w:r>
        <w:rPr>
          <w:rFonts w:ascii="Calibri" w:hAnsi="Calibri"/>
          <w:b w:val="0"/>
          <w:i w:val="0"/>
          <w:color w:val="2A1336"/>
          <w:sz w:val="22"/>
        </w:rPr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Resolución dinámica, descarga y lectura por página del boletín PDF.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Deduplicación por código y extracción de precio, tipo, área, dirección y ciudad.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Campo area_tipo para evitar comparaciones inválidas entre lotes y vivienda.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Imagen por ficha y soporte de almacenamiento.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Evidencia verificable. </w:t>
      </w:r>
      <w:r>
        <w:rPr>
          <w:rFonts w:ascii="Calibri" w:hAnsi="Calibri"/>
          <w:b w:val="0"/>
          <w:i w:val="0"/>
          <w:color w:val="2A1336"/>
          <w:sz w:val="22"/>
        </w:rPr>
        <w:t>Parser PDF, deduplicación, modelo normalizado y representación en la aplicación.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Pendiente para cierre. </w:t>
      </w:r>
      <w:r>
        <w:rPr>
          <w:rFonts w:ascii="Calibri" w:hAnsi="Calibri"/>
          <w:b w:val="0"/>
          <w:i w:val="0"/>
          <w:color w:val="2A1336"/>
          <w:sz w:val="22"/>
        </w:rPr>
        <w:t>Normalización ciudad–departamento con bandera de revisión; campos opcionales de habitaciones/baños; comparación entre boletines e insignias de novedad/cambio; trazabilidad completa del boletín.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50" w:type="dxa"/>
              <w:start w:w="180" w:type="dxa"/>
              <w:bottom w:w="150" w:type="dxa"/>
              <w:end w:w="180" w:type="dxa"/>
            </w:tcMar>
            <w:vAlign w:val="center"/>
            <w:shd w:fill="FFF9D9" w:val="clear"/>
            <w:tcBorders>
              <w:start w:val="single" w:sz="22" w:color="8A6300" w:space="0"/>
              <w:top w:val="nil"/>
              <w:bottom w:val="nil"/>
              <w:end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8A6300"/>
                <w:sz w:val="22"/>
              </w:rPr>
              <w:t xml:space="preserve">Decisión o validación del cliente: </w:t>
            </w:r>
            <w:r>
              <w:rPr>
                <w:rFonts w:ascii="Calibri" w:hAnsi="Calibri"/>
                <w:b w:val="0"/>
                <w:i w:val="0"/>
                <w:color w:val="2A1336"/>
                <w:sz w:val="22"/>
              </w:rPr>
              <w:t>Aprobar si las insignias “Nuevo inmueble” y “Nuevo valor” son fuente suficiente o deben recalcularse comparando boletines.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  <w:keepNext/>
      </w:pPr>
      <w:r>
        <w:t>HU-F1-05 — Motor de remates judiciales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7860"/>
      </w:tblGrid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6EF" w:val="clear"/>
            <w:tcBorders>
              <w:top w:val="single" w:sz="4" w:color="EAF6EF"/>
              <w:bottom w:val="single" w:sz="4" w:color="EAF6EF"/>
              <w:start w:val="single" w:sz="4" w:color="EAF6EF"/>
              <w:end w:val="single" w:sz="4" w:color="EAF6EF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E7A46"/>
                <w:sz w:val="24"/>
              </w:rPr>
              <w:t>92%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6EF" w:val="clear"/>
            <w:tcBorders>
              <w:top w:val="single" w:sz="4" w:color="EAF6EF"/>
              <w:bottom w:val="single" w:sz="4" w:color="EAF6EF"/>
              <w:start w:val="single" w:sz="4" w:color="EAF6EF"/>
              <w:end w:val="single" w:sz="4" w:color="EAF6EF"/>
            </w:tcBorders>
          </w:tcPr>
          <w:p>
            <w:r>
              <w:rPr>
                <w:rFonts w:ascii="Calibri" w:hAnsi="Calibri"/>
                <w:b/>
                <w:i w:val="0"/>
                <w:color w:val="1E7A46"/>
                <w:sz w:val="21"/>
              </w:rPr>
              <w:t>Avanzada — cierre de calidad de datos</w:t>
            </w:r>
          </w:p>
        </w:tc>
      </w:tr>
    </w:tbl>
    <w:p>
      <w:pPr>
        <w:spacing w:after="0"/>
      </w:pP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Objetivo. </w:t>
      </w:r>
      <w:r>
        <w:rPr>
          <w:rFonts w:ascii="Calibri" w:hAnsi="Calibri"/>
          <w:b w:val="0"/>
          <w:i w:val="0"/>
          <w:color w:val="2A1336"/>
          <w:sz w:val="22"/>
        </w:rPr>
        <w:t>Clasificar el riesgo y el acceso comercial de cada remate sin confundir postura mínima, avalúo y porcentaje real del bien.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>Implementado:</w:t>
      </w:r>
      <w:r>
        <w:rPr>
          <w:rFonts w:ascii="Calibri" w:hAnsi="Calibri"/>
          <w:b w:val="0"/>
          <w:i w:val="0"/>
          <w:color w:val="2A1336"/>
          <w:sz w:val="22"/>
        </w:rPr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Identificación del origen del demandante, tipo de proceso y cuota-parte.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Regla conservadora cuando el origen es incierto.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Matriz gratis/suscripción y alerta visible para riesgos jurídicos.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Diferenciación entre porcentaje de postura y porcentaje de dominio rematado.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Barreras contra valores financieros y porcentajes imposibles antes de mostrarlos.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Evidencia verificable. </w:t>
      </w:r>
      <w:r>
        <w:rPr>
          <w:rFonts w:ascii="Calibri" w:hAnsi="Calibri"/>
          <w:b w:val="0"/>
          <w:i w:val="0"/>
          <w:color w:val="2A1336"/>
          <w:sz w:val="22"/>
        </w:rPr>
        <w:t>Motor jurídico, matriz de acceso, sanitización de datos y pruebas específicas sobre avisos y porcentajes.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Pendiente para cierre. </w:t>
      </w:r>
      <w:r>
        <w:rPr>
          <w:rFonts w:ascii="Calibri" w:hAnsi="Calibri"/>
          <w:b w:val="0"/>
          <w:i w:val="0"/>
          <w:color w:val="2A1336"/>
          <w:sz w:val="22"/>
        </w:rPr>
        <w:t>Enviar anomalías a cuarentena desde ingestión/base de datos y reemplazar imágenes genéricas por evidencia neutral y trazable cuando la fuente no entregue imagen.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50" w:type="dxa"/>
              <w:start w:w="180" w:type="dxa"/>
              <w:bottom w:w="150" w:type="dxa"/>
              <w:end w:w="180" w:type="dxa"/>
            </w:tcMar>
            <w:vAlign w:val="center"/>
            <w:shd w:fill="FFF9D9" w:val="clear"/>
            <w:tcBorders>
              <w:start w:val="single" w:sz="22" w:color="8A6300" w:space="0"/>
              <w:top w:val="nil"/>
              <w:bottom w:val="nil"/>
              <w:end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8A6300"/>
                <w:sz w:val="22"/>
              </w:rPr>
              <w:t xml:space="preserve">Decisión o validación del cliente: </w:t>
            </w:r>
            <w:r>
              <w:rPr>
                <w:rFonts w:ascii="Calibri" w:hAnsi="Calibri"/>
                <w:b w:val="0"/>
                <w:i w:val="0"/>
                <w:color w:val="2A1336"/>
                <w:sz w:val="22"/>
              </w:rPr>
              <w:t>Definir qué evidencia visual o documental es suficiente para publicar una ficha sin imagen original.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t>4. Requisitos transversales de producto y operación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2A1336"/>
          <w:sz w:val="22"/>
        </w:rPr>
        <w:t>Estos bloques no sustituyen las HU del motor, pero determinan si el usuario puede utilizar el producto de forma segura, comprensible y repetible.</w:t>
      </w:r>
    </w:p>
    <w:p>
      <w:pPr>
        <w:pStyle w:val="Heading2"/>
        <w:keepNext/>
      </w:pPr>
      <w:r>
        <w:t>PRD-01 — UX, autenticación y freemium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7860"/>
      </w:tblGrid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6EF" w:val="clear"/>
            <w:tcBorders>
              <w:top w:val="single" w:sz="4" w:color="EAF6EF"/>
              <w:bottom w:val="single" w:sz="4" w:color="EAF6EF"/>
              <w:start w:val="single" w:sz="4" w:color="EAF6EF"/>
              <w:end w:val="single" w:sz="4" w:color="EAF6EF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E7A46"/>
                <w:sz w:val="24"/>
              </w:rPr>
              <w:t>88%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6EF" w:val="clear"/>
            <w:tcBorders>
              <w:top w:val="single" w:sz="4" w:color="EAF6EF"/>
              <w:bottom w:val="single" w:sz="4" w:color="EAF6EF"/>
              <w:start w:val="single" w:sz="4" w:color="EAF6EF"/>
              <w:end w:val="single" w:sz="4" w:color="EAF6EF"/>
            </w:tcBorders>
          </w:tcPr>
          <w:p>
            <w:r>
              <w:rPr>
                <w:rFonts w:ascii="Calibri" w:hAnsi="Calibri"/>
                <w:b/>
                <w:i w:val="0"/>
                <w:color w:val="1E7A46"/>
                <w:sz w:val="21"/>
              </w:rPr>
              <w:t>Avanzado — experiencia demostrable</w:t>
            </w:r>
          </w:p>
        </w:tc>
      </w:tr>
    </w:tbl>
    <w:p>
      <w:pPr>
        <w:spacing w:after="0"/>
      </w:pP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Navegación responsive y accesible con filtros laterales en escritorio y panel desplegable en móvil.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Tarjetas, modales, estados de carga, foco, teclado y targets táctiles mejorados.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Favoritos anónimos y sincronización al iniciar sesión.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Registro por correo y acceso con Google OAuth disponible; el proveedor externo se validó manualmente.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Valor visible antes del registro: comparables, costos y señales CRECE.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Pendiente para cierre. </w:t>
      </w:r>
      <w:r>
        <w:rPr>
          <w:rFonts w:ascii="Calibri" w:hAnsi="Calibri"/>
          <w:b w:val="0"/>
          <w:i w:val="0"/>
          <w:color w:val="2A1336"/>
          <w:sz w:val="22"/>
        </w:rPr>
        <w:t>Onboarding posterior al registro, activación controlada de alertas recurrentes y revisión formal de accesibilidad.</w:t>
      </w:r>
    </w:p>
    <w:p>
      <w:pPr>
        <w:pStyle w:val="Heading2"/>
        <w:keepNext/>
      </w:pPr>
      <w:r>
        <w:t>OPS-01 — Producción, seguridad y operación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7860"/>
      </w:tblGrid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5D6" w:val="clear"/>
            <w:tcBorders>
              <w:top w:val="single" w:sz="4" w:color="FFF5D6"/>
              <w:bottom w:val="single" w:sz="4" w:color="FFF5D6"/>
              <w:start w:val="single" w:sz="4" w:color="FFF5D6"/>
              <w:end w:val="single" w:sz="4" w:color="FFF5D6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8A6300"/>
                <w:sz w:val="24"/>
              </w:rPr>
              <w:t>64%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5D6" w:val="clear"/>
            <w:tcBorders>
              <w:top w:val="single" w:sz="4" w:color="FFF5D6"/>
              <w:bottom w:val="single" w:sz="4" w:color="FFF5D6"/>
              <w:start w:val="single" w:sz="4" w:color="FFF5D6"/>
              <w:end w:val="single" w:sz="4" w:color="FFF5D6"/>
            </w:tcBorders>
          </w:tcPr>
          <w:p>
            <w:r>
              <w:rPr>
                <w:rFonts w:ascii="Calibri" w:hAnsi="Calibri"/>
                <w:b/>
                <w:i w:val="0"/>
                <w:color w:val="8A6300"/>
                <w:sz w:val="21"/>
              </w:rPr>
              <w:t>En endurecimiento — producción activa, operación no cerrada</w:t>
            </w:r>
          </w:p>
        </w:tc>
      </w:tr>
    </w:tbl>
    <w:p>
      <w:pPr>
        <w:spacing w:after="0"/>
      </w:pP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HTTPS, healthcheck, readiness, apagado controlado, cabeceras de seguridad y request IDs.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Imagen Docker multi-stage y ejecución no-root.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CI, pruebas automatizadas y monitoreo sintético.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Runbook, backup lógico y verificación de artefactos.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Pendiente prioritario. </w:t>
      </w:r>
      <w:r>
        <w:rPr>
          <w:rFonts w:ascii="Calibri" w:hAnsi="Calibri"/>
          <w:b w:val="0"/>
          <w:i w:val="0"/>
          <w:color w:val="2A1336"/>
          <w:sz w:val="22"/>
        </w:rPr>
        <w:t>Sesiones en cookies HttpOnly/Secure/SameSite, verificación de correo, reducción de datos personales en logs, centralización de métricas/trazas, restauración real en entorno de ensayo y prueba de rollback.</w:t>
      </w:r>
    </w:p>
    <w:p>
      <w:r>
        <w:br w:type="page"/>
      </w:r>
    </w:p>
    <w:p>
      <w:pPr>
        <w:pStyle w:val="Heading1"/>
        <w:keepNext/>
      </w:pPr>
      <w:r>
        <w:t>5. Alcance adicional solicitado después de la línea base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50" w:type="dxa"/>
              <w:start w:w="180" w:type="dxa"/>
              <w:bottom w:w="150" w:type="dxa"/>
              <w:end w:w="180" w:type="dxa"/>
            </w:tcMar>
            <w:vAlign w:val="center"/>
            <w:shd w:fill="FFF9D9" w:val="clear"/>
            <w:tcBorders>
              <w:start w:val="single" w:sz="22" w:color="8A6300" w:space="0"/>
              <w:top w:val="nil"/>
              <w:bottom w:val="nil"/>
              <w:end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8A6300"/>
                <w:sz w:val="22"/>
              </w:rPr>
              <w:t xml:space="preserve">Regla de alcance: </w:t>
            </w:r>
            <w:r>
              <w:rPr>
                <w:rFonts w:ascii="Calibri" w:hAnsi="Calibri"/>
                <w:b w:val="0"/>
                <w:i w:val="0"/>
                <w:color w:val="2A1336"/>
                <w:sz w:val="22"/>
              </w:rPr>
              <w:t>Estos elementos agregan valor real, pero deben registrarse como nuevas HU o extensiones. No se usan para inflar el 84% de Fase 1.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50"/>
        <w:gridCol w:w="1420"/>
        <w:gridCol w:w="1850"/>
        <w:gridCol w:w="3340"/>
      </w:tblGrid>
      <w:tr>
        <w:trPr>
          <w:tblHeader w:val="true"/>
        </w:trPr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4F2868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Funcionalidad añadida</w:t>
            </w:r>
          </w:p>
        </w:tc>
        <w:tc>
          <w:tcPr>
            <w:tcW w:type="dxa" w:w="1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4F2868" w:val="clea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Estado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4F2868" w:val="clea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Clasificación</w:t>
            </w:r>
          </w:p>
        </w:tc>
        <w:tc>
          <w:tcPr>
            <w:tcW w:type="dxa" w:w="3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4F2868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Paso siguiente</w:t>
            </w:r>
          </w:p>
        </w:tc>
      </w:tr>
      <w:tr>
        <w:tc>
          <w:tcPr>
            <w:tcW w:type="dxa" w:w="275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/>
                <w:i w:val="0"/>
                <w:color w:val="2A1336"/>
                <w:sz w:val="18"/>
              </w:rPr>
              <w:t>Rediseño visual y filtros laterales</w:t>
            </w:r>
          </w:p>
        </w:tc>
        <w:tc>
          <w:tcPr>
            <w:tcW w:type="dxa" w:w="1420"/>
            <w:shd w:fill="EAF6EF" w:val="clea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2A1336"/>
                <w:sz w:val="18"/>
              </w:rPr>
              <w:t>Desplegado</w:t>
            </w:r>
          </w:p>
        </w:tc>
        <w:tc>
          <w:tcPr>
            <w:tcW w:type="dxa" w:w="185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2A1336"/>
                <w:sz w:val="18"/>
              </w:rPr>
              <w:t>Extensión UX</w:t>
            </w:r>
          </w:p>
        </w:tc>
        <w:tc>
          <w:tcPr>
            <w:tcW w:type="dxa" w:w="334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8"/>
              </w:rPr>
              <w:t>Validación final con usuarios y revisión WCAG.</w:t>
            </w:r>
          </w:p>
        </w:tc>
      </w:tr>
      <w:tr>
        <w:tc>
          <w:tcPr>
            <w:tcW w:type="dxa" w:w="275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/>
                <w:i w:val="0"/>
                <w:color w:val="2A1336"/>
                <w:sz w:val="18"/>
              </w:rPr>
              <w:t>Inicio de sesión con Google</w:t>
            </w:r>
          </w:p>
        </w:tc>
        <w:tc>
          <w:tcPr>
            <w:tcW w:type="dxa" w:w="1420"/>
            <w:shd w:fill="FFF5D6" w:val="clea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2A1336"/>
                <w:sz w:val="18"/>
              </w:rPr>
              <w:t>Validado manualmente</w:t>
            </w:r>
          </w:p>
        </w:tc>
        <w:tc>
          <w:tcPr>
            <w:tcW w:type="dxa" w:w="185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2A1336"/>
                <w:sz w:val="18"/>
              </w:rPr>
              <w:t>Extensión Auth</w:t>
            </w:r>
          </w:p>
        </w:tc>
        <w:tc>
          <w:tcPr>
            <w:tcW w:type="dxa" w:w="334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8"/>
              </w:rPr>
              <w:t>Monitorear altas externas y políticas de acceso.</w:t>
            </w:r>
          </w:p>
        </w:tc>
      </w:tr>
      <w:tr>
        <w:tc>
          <w:tcPr>
            <w:tcW w:type="dxa" w:w="275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/>
                <w:i w:val="0"/>
                <w:color w:val="2A1336"/>
                <w:sz w:val="18"/>
              </w:rPr>
              <w:t>Alertas por correo con Resend</w:t>
            </w:r>
          </w:p>
        </w:tc>
        <w:tc>
          <w:tcPr>
            <w:tcW w:type="dxa" w:w="1420"/>
            <w:shd w:fill="EAF6EF" w:val="clea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2A1336"/>
                <w:sz w:val="18"/>
              </w:rPr>
              <w:t>Operativo</w:t>
            </w:r>
          </w:p>
        </w:tc>
        <w:tc>
          <w:tcPr>
            <w:tcW w:type="dxa" w:w="185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2A1336"/>
                <w:sz w:val="18"/>
              </w:rPr>
              <w:t>Nueva HU</w:t>
            </w:r>
          </w:p>
        </w:tc>
        <w:tc>
          <w:tcPr>
            <w:tcW w:type="dxa" w:w="334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8"/>
              </w:rPr>
              <w:t>Activar programación con canary, métricas y límites controlados.</w:t>
            </w:r>
          </w:p>
        </w:tc>
      </w:tr>
      <w:tr>
        <w:tc>
          <w:tcPr>
            <w:tcW w:type="dxa" w:w="275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/>
                <w:i w:val="0"/>
                <w:color w:val="2A1336"/>
                <w:sz w:val="18"/>
              </w:rPr>
              <w:t>Planes, cuenta, comparador y panel admin</w:t>
            </w:r>
          </w:p>
        </w:tc>
        <w:tc>
          <w:tcPr>
            <w:tcW w:type="dxa" w:w="1420"/>
            <w:shd w:fill="FFF5D6" w:val="clea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2A1336"/>
                <w:sz w:val="18"/>
              </w:rPr>
              <w:t>Demo funcional</w:t>
            </w:r>
          </w:p>
        </w:tc>
        <w:tc>
          <w:tcPr>
            <w:tcW w:type="dxa" w:w="185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2A1336"/>
                <w:sz w:val="18"/>
              </w:rPr>
              <w:t>Fase 2 comercial</w:t>
            </w:r>
          </w:p>
        </w:tc>
        <w:tc>
          <w:tcPr>
            <w:tcW w:type="dxa" w:w="334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8"/>
              </w:rPr>
              <w:t>Validar prioridades, permisos y operación con usuarios piloto.</w:t>
            </w:r>
          </w:p>
        </w:tc>
      </w:tr>
      <w:tr>
        <w:tc>
          <w:tcPr>
            <w:tcW w:type="dxa" w:w="275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/>
                <w:i w:val="0"/>
                <w:color w:val="2A1336"/>
                <w:sz w:val="18"/>
              </w:rPr>
              <w:t>Wompi Web Checkout</w:t>
            </w:r>
          </w:p>
        </w:tc>
        <w:tc>
          <w:tcPr>
            <w:tcW w:type="dxa" w:w="1420"/>
            <w:shd w:fill="FFF5D6" w:val="clea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2A1336"/>
                <w:sz w:val="18"/>
              </w:rPr>
              <w:t>Preparado</w:t>
            </w:r>
          </w:p>
        </w:tc>
        <w:tc>
          <w:tcPr>
            <w:tcW w:type="dxa" w:w="185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2A1336"/>
                <w:sz w:val="18"/>
              </w:rPr>
              <w:t>Fase 2 / tercero</w:t>
            </w:r>
          </w:p>
        </w:tc>
        <w:tc>
          <w:tcPr>
            <w:tcW w:type="dxa" w:w="334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8"/>
              </w:rPr>
              <w:t>Retomar cuando existan credenciales legítimas y ejecutar compra Sandbox E2E.</w:t>
            </w:r>
          </w:p>
        </w:tc>
      </w:tr>
      <w:tr>
        <w:tc>
          <w:tcPr>
            <w:tcW w:type="dxa" w:w="275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/>
                <w:i w:val="0"/>
                <w:color w:val="2A1336"/>
                <w:sz w:val="18"/>
              </w:rPr>
              <w:t>Comparables de arriendo y rentabilidad</w:t>
            </w:r>
          </w:p>
        </w:tc>
        <w:tc>
          <w:tcPr>
            <w:tcW w:type="dxa" w:w="1420"/>
            <w:shd w:fill="FFF5D6" w:val="clea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2A1336"/>
                <w:sz w:val="18"/>
              </w:rPr>
              <w:t>Piloto</w:t>
            </w:r>
          </w:p>
        </w:tc>
        <w:tc>
          <w:tcPr>
            <w:tcW w:type="dxa" w:w="185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2A1336"/>
                <w:sz w:val="18"/>
              </w:rPr>
              <w:t>Nueva HU</w:t>
            </w:r>
          </w:p>
        </w:tc>
        <w:tc>
          <w:tcPr>
            <w:tcW w:type="dxa" w:w="334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8"/>
              </w:rPr>
              <w:t>Consolidar cobertura, calidad y confianza del canon observado.</w:t>
            </w:r>
          </w:p>
        </w:tc>
      </w:tr>
    </w:tbl>
    <w:p>
      <w:pPr>
        <w:pStyle w:val="Heading2"/>
        <w:keepNext/>
      </w:pPr>
      <w:r>
        <w:t>5.1 Piloto de arriendos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2A1336"/>
          <w:sz w:val="22"/>
        </w:rPr>
        <w:t>El flujo ya separa el mercado de venta del mercado de arriendo, almacena cánones mensuales, calcula una referencia de alquiler para propiedades similares y permite recalcular rentabilidad. El piloto controlado cubre Medellín, Bogotá, Cali, Barranquilla y Bucaramanga.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2A1336"/>
          <w:sz w:val="22"/>
        </w:rPr>
        <w:t xml:space="preserve">Pendiente. </w:t>
      </w:r>
      <w:r>
        <w:rPr>
          <w:rFonts w:ascii="Calibri" w:hAnsi="Calibri"/>
          <w:b w:val="0"/>
          <w:i w:val="0"/>
          <w:color w:val="2A1336"/>
          <w:sz w:val="22"/>
        </w:rPr>
        <w:t>Ejecutar ingestas periódicas completas, medir cobertura por ciudad/tipo, definir una muestra mínima y mostrar un nivel de confianza que impida presentar un canon débil como dato concluyente.</w:t>
      </w:r>
    </w:p>
    <w:p>
      <w:r>
        <w:br w:type="page"/>
      </w:r>
    </w:p>
    <w:p>
      <w:pPr>
        <w:pStyle w:val="Heading1"/>
        <w:keepNext/>
      </w:pPr>
      <w:r>
        <w:t>6. Próximos pasos priorizados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750"/>
        <w:gridCol w:w="2550"/>
        <w:gridCol w:w="2900"/>
        <w:gridCol w:w="3160"/>
      </w:tblGrid>
      <w:tr>
        <w:trPr>
          <w:tblHeader w:val="true"/>
        </w:trPr>
        <w:tc>
          <w:tcPr>
            <w:tcW w:type="dxa" w:w="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2A1336" w:val="clea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Prio.</w:t>
            </w:r>
          </w:p>
        </w:tc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2A1336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Trabajo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2A1336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Entregable verificable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2A1336" w:val="clea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Criterio de salida</w:t>
            </w:r>
          </w:p>
        </w:tc>
      </w:tr>
      <w:tr>
        <w:tc>
          <w:tcPr>
            <w:tcW w:type="dxa" w:w="750"/>
            <w:shd w:fill="FDECEC" w:val="clea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P0</w:t>
            </w:r>
          </w:p>
        </w:tc>
        <w:tc>
          <w:tcPr>
            <w:tcW w:type="dxa" w:w="255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Validar esta matriz con el cliente</w:t>
            </w:r>
          </w:p>
        </w:tc>
        <w:tc>
          <w:tcPr>
            <w:tcW w:type="dxa" w:w="290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Versión aprobada de HU, criterios y alcance adicional.</w:t>
            </w:r>
          </w:p>
        </w:tc>
        <w:tc>
          <w:tcPr>
            <w:tcW w:type="dxa" w:w="316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Cada historia tiene aceptación, prioridad y responsable definidos.</w:t>
            </w:r>
          </w:p>
        </w:tc>
      </w:tr>
      <w:tr>
        <w:tc>
          <w:tcPr>
            <w:tcW w:type="dxa" w:w="750"/>
            <w:shd w:fill="FDECEC" w:val="clea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P0</w:t>
            </w:r>
          </w:p>
        </w:tc>
        <w:tc>
          <w:tcPr>
            <w:tcW w:type="dxa" w:w="255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Cerrar ciclo de vida Portal/Bancos</w:t>
            </w:r>
          </w:p>
        </w:tc>
        <w:tc>
          <w:tcPr>
            <w:tcW w:type="dxa" w:w="290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Eventos uniformes y auditables desde todos los scrapers.</w:t>
            </w:r>
          </w:p>
        </w:tc>
        <w:tc>
          <w:tcPr>
            <w:tcW w:type="dxa" w:w="316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Muestra de publicaciones con historial completo y estados reproducibles.</w:t>
            </w:r>
          </w:p>
        </w:tc>
      </w:tr>
      <w:tr>
        <w:tc>
          <w:tcPr>
            <w:tcW w:type="dxa" w:w="750"/>
            <w:shd w:fill="FFF5D6" w:val="clea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P1</w:t>
            </w:r>
          </w:p>
        </w:tc>
        <w:tc>
          <w:tcPr>
            <w:tcW w:type="dxa" w:w="255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Cerrar normalización AVAL</w:t>
            </w:r>
          </w:p>
        </w:tc>
        <w:tc>
          <w:tcPr>
            <w:tcW w:type="dxa" w:w="290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Comparación entre boletines y reporte de datos ambiguos.</w:t>
            </w:r>
          </w:p>
        </w:tc>
        <w:tc>
          <w:tcPr>
            <w:tcW w:type="dxa" w:w="316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Duplicados, cambios de precio y ciudades se resuelven de forma trazable.</w:t>
            </w:r>
          </w:p>
        </w:tc>
      </w:tr>
      <w:tr>
        <w:tc>
          <w:tcPr>
            <w:tcW w:type="dxa" w:w="750"/>
            <w:shd w:fill="FFF5D6" w:val="clea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P1</w:t>
            </w:r>
          </w:p>
        </w:tc>
        <w:tc>
          <w:tcPr>
            <w:tcW w:type="dxa" w:w="255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Consolidar piloto de arriendos</w:t>
            </w:r>
          </w:p>
        </w:tc>
        <w:tc>
          <w:tcPr>
            <w:tcW w:type="dxa" w:w="290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Reporte de cobertura, calidad, muestra y confianza por ciudad.</w:t>
            </w:r>
          </w:p>
        </w:tc>
        <w:tc>
          <w:tcPr>
            <w:tcW w:type="dxa" w:w="316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El canon se muestra solo cuando supera criterios de datos acordados.</w:t>
            </w:r>
          </w:p>
        </w:tc>
      </w:tr>
      <w:tr>
        <w:tc>
          <w:tcPr>
            <w:tcW w:type="dxa" w:w="750"/>
            <w:shd w:fill="FFF5D6" w:val="clea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P1</w:t>
            </w:r>
          </w:p>
        </w:tc>
        <w:tc>
          <w:tcPr>
            <w:tcW w:type="dxa" w:w="255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Operar alertas por correo</w:t>
            </w:r>
          </w:p>
        </w:tc>
        <w:tc>
          <w:tcPr>
            <w:tcW w:type="dxa" w:w="290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Canary, agenda recurrente, métricas e idempotencia verificadas.</w:t>
            </w:r>
          </w:p>
        </w:tc>
        <w:tc>
          <w:tcPr>
            <w:tcW w:type="dxa" w:w="316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Una alerta real llega una sola vez y queda registrada.</w:t>
            </w:r>
          </w:p>
        </w:tc>
      </w:tr>
      <w:tr>
        <w:tc>
          <w:tcPr>
            <w:tcW w:type="dxa" w:w="750"/>
            <w:shd w:fill="F2F4F7" w:val="clea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P2</w:t>
            </w:r>
          </w:p>
        </w:tc>
        <w:tc>
          <w:tcPr>
            <w:tcW w:type="dxa" w:w="255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Endurecer producción</w:t>
            </w:r>
          </w:p>
        </w:tc>
        <w:tc>
          <w:tcPr>
            <w:tcW w:type="dxa" w:w="290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Sesión segura, verificación de correo, logs sin PII y restauración ensayada.</w:t>
            </w:r>
          </w:p>
        </w:tc>
        <w:tc>
          <w:tcPr>
            <w:tcW w:type="dxa" w:w="316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Controles críticos verificados y recuperación cronometrada.</w:t>
            </w:r>
          </w:p>
        </w:tc>
      </w:tr>
      <w:tr>
        <w:tc>
          <w:tcPr>
            <w:tcW w:type="dxa" w:w="750"/>
            <w:shd w:fill="F2F4F7" w:val="clea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P2</w:t>
            </w:r>
          </w:p>
        </w:tc>
        <w:tc>
          <w:tcPr>
            <w:tcW w:type="dxa" w:w="255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/>
                <w:i w:val="0"/>
                <w:color w:val="2A1336"/>
                <w:sz w:val="17"/>
              </w:rPr>
              <w:t>Retomar pagos</w:t>
            </w:r>
          </w:p>
        </w:tc>
        <w:tc>
          <w:tcPr>
            <w:tcW w:type="dxa" w:w="290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Transacción Wompi Sandbox aprobada, webhook e idempotencia.</w:t>
            </w:r>
          </w:p>
        </w:tc>
        <w:tc>
          <w:tcPr>
            <w:tcW w:type="dxa" w:w="3160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2A1336"/>
                <w:sz w:val="17"/>
              </w:rPr>
              <w:t>El pago aprobado activa Pro; retorno del navegador por sí solo no lo hace.</w:t>
            </w:r>
          </w:p>
        </w:tc>
      </w:tr>
    </w:tbl>
    <w:p>
      <w:pPr>
        <w:pStyle w:val="Heading1"/>
        <w:keepNext/>
      </w:pPr>
      <w:r>
        <w:t>7. Decisiones que deben solicitarse al cliente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Radio máximo y regla para ampliar comparables desde barrio hacia zona o ciudad.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Atributos mínimos para publicar activos bancarios o AVAL cuando la fuente omite campos.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Ciudades, tipos de inmueble y muestra mínima para aceptar un canon de arriendo.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Tratamiento visible y duración del histórico de inmuebles retirados o expirados.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Separación formal entre Fase 2 técnica —remates— y Fase 2 comercial —planes, alertas, pagos y expansión—.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Confirmación de que Wompi queda aplazado hasta contar con datos reales del comercio.</w:t>
      </w:r>
    </w:p>
    <w:p>
      <w:r>
        <w:br w:type="page"/>
      </w:r>
    </w:p>
    <w:p>
      <w:pPr>
        <w:pStyle w:val="Heading1"/>
        <w:keepNext/>
      </w:pPr>
      <w:r>
        <w:t>8. Guion sugerido para presentar el avance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Abrir con el resultado: la Fase 1 está en 84% y supera el objetivo de demostración del 80%.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Explicar que el porcentaje sale de las historias originales, no de sumar funcionalidades nuevas.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Demostrar comparables e Índice CRECE con una propiedad real y mostrar los criterios usados.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Recorrer un activo bancario y un remate para evidenciar las reglas específicas de cada fuente.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Mostrar filtros responsive, Google OAuth, guardados y el análisis de arriendo/rentabilidad como alcance adicional.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Reconocer los pendientes sin maquillarlos: historial, AVAL, calidad de arriendos y endurecimiento operativo.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Cerrar solicitando aprobación de las decisiones de la sección 7 y acordando el orden de los próximos pasos.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50" w:type="dxa"/>
              <w:start w:w="180" w:type="dxa"/>
              <w:bottom w:w="150" w:type="dxa"/>
              <w:end w:w="180" w:type="dxa"/>
            </w:tcMar>
            <w:vAlign w:val="center"/>
            <w:shd w:fill="F4EFF7" w:val="clear"/>
            <w:tcBorders>
              <w:start w:val="single" w:sz="22" w:color="4F2868" w:space="0"/>
              <w:top w:val="nil"/>
              <w:bottom w:val="nil"/>
              <w:end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4F2868"/>
                <w:sz w:val="22"/>
              </w:rPr>
              <w:t xml:space="preserve">Mensaje central: </w:t>
            </w:r>
            <w:r>
              <w:rPr>
                <w:rFonts w:ascii="Calibri" w:hAnsi="Calibri"/>
                <w:b w:val="0"/>
                <w:i w:val="0"/>
                <w:color w:val="2A1336"/>
                <w:sz w:val="22"/>
              </w:rPr>
              <w:t>El producto no es una maqueta: existe una implementación demostrable y probada. Tampoco se presenta como terminado al 100%: las brechas y dependencias están identificadas.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9. Evidencia técnica del corte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TypeScript: compilación sin errores.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Pruebas unitarias e integración: suite completa aprobada sin fallos en el corte.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Recorridos E2E locales: suite crítica aprobada sin fallos en el corte.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Cobertura E2E actual: dashboard/configuración, Bancos, Remates, rentabilidad con arriendos, guardados, login, disponibilidad del acceso con Google, checkout demo, móvil, filtros laterales y estados de carga.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Versión de código evaluada: bbd704c.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Producción: https://joinsclee-radar.juno8i.easypanel.host/</w:t>
      </w:r>
    </w:p>
    <w:p>
      <w:r>
        <w:br w:type="page"/>
      </w:r>
    </w:p>
    <w:p>
      <w:pPr>
        <w:pStyle w:val="Heading1"/>
        <w:keepNext/>
      </w:pPr>
      <w:r>
        <w:t>10. Documentos de referencia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Radar de Oportunidades — Documentación y Propuesta.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Radar CRECE — Índice Maestro HU Fase 1.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Radar CRECE — Especificación Motor de Comparables v1.2.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HU Núcleo Motor de Comparables.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HU Rango de Precio y Vigencia del Motor Radar.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HU Motor de Activos Bancarios.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HU Motor de Activos Bancarios — Grupo AVAL.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HU Motor de Remates Judiciales.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b w:val="0"/>
          <w:i w:val="0"/>
          <w:color w:val="2A1336"/>
          <w:sz w:val="22"/>
        </w:rPr>
        <w:t>Informes internos de avance de Fase 1 y Fase 2, roadmap de producción y evidencia automatizada del repositorio.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50" w:type="dxa"/>
              <w:start w:w="180" w:type="dxa"/>
              <w:bottom w:w="150" w:type="dxa"/>
              <w:end w:w="180" w:type="dxa"/>
            </w:tcMar>
            <w:vAlign w:val="center"/>
            <w:shd w:fill="FFF9D9" w:val="clear"/>
            <w:tcBorders>
              <w:start w:val="single" w:sz="22" w:color="8A6300" w:space="0"/>
              <w:top w:val="nil"/>
              <w:bottom w:val="nil"/>
              <w:end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8A6300"/>
                <w:sz w:val="22"/>
              </w:rPr>
              <w:t xml:space="preserve">Próxima actualización: </w:t>
            </w:r>
            <w:r>
              <w:rPr>
                <w:rFonts w:ascii="Calibri" w:hAnsi="Calibri"/>
                <w:b w:val="0"/>
                <w:i w:val="0"/>
                <w:color w:val="2A1336"/>
                <w:sz w:val="22"/>
              </w:rPr>
              <w:t>Después de la validación del cliente, esta matriz debe versionarse y convertirse en el backlog oficial: cada cambio nuevo deberá quedar asociado a una HU, criterio de aceptación, evidencia y fecha de aprobación.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tblLayout w:type="fixed"/>
      <w:tblLook w:firstColumn="1" w:firstRow="1" w:lastColumn="0" w:lastRow="0" w:noHBand="0" w:noVBand="1" w:val="04A0"/>
      <w:tblInd w:w="0" w:type="dxa"/>
    </w:tblPr>
    <w:tblGrid>
      <w:gridCol w:w="6500"/>
      <w:gridCol w:w="2860"/>
    </w:tblGrid>
    <w:tr>
      <w:tc>
        <w:tcPr>
          <w:tcW w:type="dxa" w:w="6500"/>
          <w:tcMar>
            <w:top w:w="40" w:type="dxa"/>
            <w:start w:w="0" w:type="dxa"/>
            <w:bottom w:w="0" w:type="dxa"/>
            <w:end w:w="0" w:type="dxa"/>
          </w:tcMar>
          <w:vAlign w:val="center"/>
          <w:tcBorders>
            <w:top w:val="single" w:sz="5" w:color="D9DDE3" w:space="0"/>
          </w:tcBorders>
        </w:tcPr>
        <w:p>
          <w:r>
            <w:rPr>
              <w:rFonts w:ascii="Calibri" w:hAnsi="Calibri"/>
              <w:b w:val="0"/>
              <w:i w:val="0"/>
              <w:color w:val="655B69"/>
              <w:sz w:val="17"/>
            </w:rPr>
            <w:t>Corte: 25 de julio de 2026  •  Documento de trabajo para validación</w:t>
          </w:r>
        </w:p>
      </w:tc>
      <w:tc>
        <w:tcPr>
          <w:tcW w:type="dxa" w:w="2860"/>
          <w:tcMar>
            <w:top w:w="40" w:type="dxa"/>
            <w:start w:w="0" w:type="dxa"/>
            <w:bottom w:w="0" w:type="dxa"/>
            <w:end w:w="0" w:type="dxa"/>
          </w:tcMar>
          <w:vAlign w:val="center"/>
          <w:tcBorders>
            <w:top w:val="single" w:sz="5" w:color="D9DDE3" w:space="0"/>
          </w:tcBorders>
        </w:tcPr>
        <w:p>
          <w:pPr>
            <w:jc w:val="right"/>
          </w:pPr>
          <w:r>
            <w:rPr>
              <w:rFonts w:ascii="Calibri" w:hAnsi="Calibri"/>
              <w:b w:val="0"/>
              <w:i w:val="0"/>
              <w:color w:val="655B69"/>
              <w:sz w:val="18"/>
            </w:rPr>
            <w:fldChar w:fldCharType="begin"/>
            <w:instrText xml:space="preserve"> PAGE </w:instrText>
            <w:fldChar w:fldCharType="separate"/>
            <w:t>1</w: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</w:pPr>
  </w:p>
  <w:tbl>
    <w:tblPr>
      <w:tblW w:type="dxa" w:w="9360"/>
      <w:tblLayout w:type="fixed"/>
      <w:tblLook w:firstColumn="1" w:firstRow="1" w:lastColumn="0" w:lastRow="0" w:noHBand="0" w:noVBand="1" w:val="04A0"/>
      <w:tblInd w:w="0" w:type="dxa"/>
    </w:tblPr>
    <w:tblGrid>
      <w:gridCol w:w="5200"/>
      <w:gridCol w:w="4160"/>
    </w:tblGrid>
    <w:tr>
      <w:tc>
        <w:tcPr>
          <w:tcW w:type="dxa" w:w="5200"/>
          <w:tcMar>
            <w:top w:w="0" w:type="dxa"/>
            <w:start w:w="0" w:type="dxa"/>
            <w:bottom w:w="40" w:type="dxa"/>
            <w:end w:w="0" w:type="dxa"/>
          </w:tcMar>
          <w:vAlign w:val="center"/>
          <w:tcBorders>
            <w:bottom w:val="single" w:sz="5" w:color="D9DDE3" w:space="0"/>
          </w:tcBorders>
        </w:tcPr>
        <w:p>
          <w:r>
            <w:rPr>
              <w:rFonts w:ascii="Calibri" w:hAnsi="Calibri"/>
              <w:b/>
              <w:i w:val="0"/>
              <w:color w:val="655B69"/>
              <w:sz w:val="17"/>
            </w:rPr>
            <w:t>RADAR CRECE  |  HISTORIAS DE USUARIO</w:t>
          </w:r>
        </w:p>
      </w:tc>
      <w:tc>
        <w:tcPr>
          <w:tcW w:type="dxa" w:w="4160"/>
          <w:tcMar>
            <w:top w:w="0" w:type="dxa"/>
            <w:start w:w="0" w:type="dxa"/>
            <w:bottom w:w="40" w:type="dxa"/>
            <w:end w:w="0" w:type="dxa"/>
          </w:tcMar>
          <w:vAlign w:val="center"/>
          <w:tcBorders>
            <w:bottom w:val="single" w:sz="5" w:color="D9DDE3" w:space="0"/>
          </w:tcBorders>
        </w:tcPr>
        <w:p>
          <w:pPr>
            <w:jc w:val="right"/>
          </w:pPr>
          <w:r>
            <w:rPr>
              <w:rFonts w:ascii="Calibri" w:hAnsi="Calibri"/>
              <w:b w:val="0"/>
              <w:i w:val="0"/>
              <w:color w:val="655B69"/>
              <w:sz w:val="17"/>
            </w:rPr>
            <w:t>Documento de avance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nsid w:val="00000009"/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after="160" w:line="280" w:lineRule="auto"/>
      </w:pPr>
      <w:rPr>
        <w:rFonts w:ascii="Calibri" w:hAnsi="Calibri"/>
      </w:rPr>
    </w:lvl>
  </w:abstractNum>
  <w:num w:numId="10">
    <w:abstractNumId w:val="9"/>
  </w:num>
  <w:abstractNum w:abstractNumId="10">
    <w:nsid w:val="0000000A"/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after="160" w:line="280" w:lineRule="auto"/>
      </w:pPr>
      <w:rPr>
        <w:rFonts w:ascii="Calibri" w:hAnsi="Calibri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2A133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4F286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4F286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2A133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Matriz de trazabilidad de historias de usuario — Radar de Oportunidades</dc:title>
  <dc:subject>Avance funcional, evidencia, pendientes y próximos pasos</dc:subject>
  <dc:creator>Equipo de desarrollo Radar CRECE</dc:creator>
  <cp:keywords>Radar, CRECE, historias de usuario, trazabilidad, avance, fase 1, fase 2</cp:keywords>
  <dc:description>Documento preparado para revisión y validación con el cliente.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