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0"/>
      </w:pPr>
      <w:r>
        <w:rPr>
          <w:rFonts w:ascii="Calibri" w:hAnsi="Calibri"/>
          <w:b/>
          <w:i w:val="0"/>
          <w:color w:val="8A6300"/>
          <w:sz w:val="19"/>
        </w:rPr>
        <w:t>SEGUIMIENTO FUNCIONAL BASADO EN HU</w:t>
      </w:r>
    </w:p>
    <w:p>
      <w:pPr>
        <w:spacing w:after="120"/>
      </w:pPr>
      <w:r>
        <w:rPr>
          <w:rFonts w:ascii="Calibri" w:hAnsi="Calibri"/>
          <w:b/>
          <w:i w:val="0"/>
          <w:color w:val="2A1336"/>
          <w:sz w:val="56"/>
        </w:rPr>
        <w:t>Seguimiento de Historias de Usuario</w:t>
      </w:r>
    </w:p>
    <w:p>
      <w:pPr>
        <w:spacing w:after="360"/>
      </w:pPr>
      <w:r>
        <w:rPr>
          <w:rFonts w:ascii="Calibri" w:hAnsi="Calibri"/>
          <w:b/>
          <w:i w:val="0"/>
          <w:color w:val="4F2868"/>
          <w:sz w:val="27"/>
        </w:rPr>
        <w:t>Fases 1 y 2 · criterios de aceptación, evidencia y próximos pasos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  <w:tcBorders>
              <w:top w:val="single" w:sz="4" w:color="D9DDE3"/>
              <w:bottom w:val="single" w:sz="4" w:color="D9DDE3"/>
              <w:start w:val="single" w:sz="4" w:color="D9DDE3"/>
              <w:end w:val="single" w:sz="4" w:color="D9DDE3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655B69"/>
                <w:sz w:val="16"/>
              </w:rPr>
              <w:t>OBJETO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A1336"/>
                <w:sz w:val="20"/>
              </w:rPr>
              <w:t>Responder el avance por historias de usuario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  <w:tcBorders>
              <w:top w:val="single" w:sz="4" w:color="D9DDE3"/>
              <w:bottom w:val="single" w:sz="4" w:color="D9DDE3"/>
              <w:start w:val="single" w:sz="4" w:color="D9DDE3"/>
              <w:end w:val="single" w:sz="4" w:color="D9DDE3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655B69"/>
                <w:sz w:val="16"/>
              </w:rPr>
              <w:t>CORTE FUNCIONAL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A1336"/>
                <w:sz w:val="20"/>
              </w:rPr>
              <w:t>25 de julio de 2026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  <w:tcBorders>
              <w:top w:val="single" w:sz="4" w:color="D9DDE3"/>
              <w:bottom w:val="single" w:sz="4" w:color="D9DDE3"/>
              <w:start w:val="single" w:sz="4" w:color="D9DDE3"/>
              <w:end w:val="single" w:sz="4" w:color="D9DDE3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655B69"/>
                <w:sz w:val="16"/>
              </w:rPr>
              <w:t>VERSIÓN DE CÓDIGO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A1336"/>
                <w:sz w:val="20"/>
              </w:rPr>
              <w:t>bbd704c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  <w:tcBorders>
              <w:top w:val="single" w:sz="4" w:color="D9DDE3"/>
              <w:bottom w:val="single" w:sz="4" w:color="D9DDE3"/>
              <w:start w:val="single" w:sz="4" w:color="D9DDE3"/>
              <w:end w:val="single" w:sz="4" w:color="D9DDE3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655B69"/>
                <w:sz w:val="16"/>
              </w:rPr>
              <w:t>ESTADO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A1336"/>
                <w:sz w:val="20"/>
              </w:rPr>
              <w:t>Documento para validación del cliente</w:t>
            </w:r>
          </w:p>
        </w:tc>
      </w:tr>
    </w:tbl>
    <w:p/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EFF7" w:val="clear"/>
            <w:tcBorders>
              <w:top w:val="single" w:sz="12" w:color="4F2868" w:space="0"/>
              <w:bottom w:val="single" w:sz="4" w:color="D9DDE3" w:space="0"/>
              <w:start w:val="single" w:sz="4" w:color="D9DDE3" w:space="0"/>
              <w:end w:val="single" w:sz="4" w:color="D9DDE3" w:space="0"/>
            </w:tcBorders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32"/>
              </w:rPr>
              <w:t>5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5B69"/>
                <w:sz w:val="17"/>
              </w:rPr>
              <w:t>HU trazadas en Fase 1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9D9" w:val="clear"/>
            <w:tcBorders>
              <w:top w:val="single" w:sz="12" w:color="F2CA04" w:space="0"/>
              <w:bottom w:val="single" w:sz="4" w:color="D9DDE3" w:space="0"/>
              <w:start w:val="single" w:sz="4" w:color="D9DDE3" w:space="0"/>
              <w:end w:val="single" w:sz="4" w:color="D9DDE3" w:space="0"/>
            </w:tcBorders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32"/>
              </w:rPr>
              <w:t>84%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5B69"/>
                <w:sz w:val="17"/>
              </w:rPr>
              <w:t>Cumplimiento Fase 1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EFF7" w:val="clear"/>
            <w:tcBorders>
              <w:top w:val="single" w:sz="12" w:color="4F2868" w:space="0"/>
              <w:bottom w:val="single" w:sz="4" w:color="D9DDE3" w:space="0"/>
              <w:start w:val="single" w:sz="4" w:color="D9DDE3" w:space="0"/>
              <w:end w:val="single" w:sz="4" w:color="D9DDE3" w:space="0"/>
            </w:tcBorders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32"/>
              </w:rPr>
              <w:t>7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5B69"/>
                <w:sz w:val="17"/>
              </w:rPr>
              <w:t>HU trazadas en Fase 2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EFF7" w:val="clear"/>
            <w:tcBorders>
              <w:top w:val="single" w:sz="12" w:color="4F2868" w:space="0"/>
              <w:bottom w:val="single" w:sz="4" w:color="D9DDE3" w:space="0"/>
              <w:start w:val="single" w:sz="4" w:color="D9DDE3" w:space="0"/>
              <w:end w:val="single" w:sz="4" w:color="D9DDE3" w:space="0"/>
            </w:tcBorders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32"/>
              </w:rPr>
              <w:t>75%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5B69"/>
                <w:sz w:val="17"/>
              </w:rPr>
              <w:t>Avance técnico Fase 2</w:t>
            </w:r>
          </w:p>
        </w:tc>
      </w:tr>
    </w:tbl>
    <w:p/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50" w:type="dxa"/>
              <w:start w:w="180" w:type="dxa"/>
              <w:bottom w:w="150" w:type="dxa"/>
              <w:end w:w="180" w:type="dxa"/>
            </w:tcMar>
            <w:vAlign w:val="center"/>
            <w:shd w:fill="F4EFF7" w:val="clear"/>
            <w:tcBorders>
              <w:start w:val="single" w:sz="22" w:color="4F2868" w:space="0"/>
              <w:top w:val="nil"/>
              <w:bottom w:val="nil"/>
              <w:end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4F2868"/>
                <w:sz w:val="22"/>
              </w:rPr>
              <w:t xml:space="preserve">Respuesta directa: </w:t>
            </w:r>
            <w:r>
              <w:rPr>
                <w:rFonts w:ascii="Calibri" w:hAnsi="Calibri"/>
                <w:b w:val="0"/>
                <w:i w:val="0"/>
                <w:color w:val="2A1336"/>
                <w:sz w:val="22"/>
              </w:rPr>
              <w:t>Sí se ha trabajado tanto en Fase 1 como en Fase 2. La Fase 1 concentra el motor de datos y análisis definido por las HU entregadas; la Fase 2 reúne acceso, monetización, alertas, operación, experiencia de búsqueda y análisis de rentabilidad. Ambas fases tienen implementación verificable, aunque conservan criterios pendientes.</w:t>
            </w:r>
          </w:p>
        </w:tc>
      </w:tr>
    </w:tbl>
    <w:p>
      <w:pPr>
        <w:spacing w:after="40"/>
      </w:pPr>
    </w:p>
    <w:p>
      <w:pPr>
        <w:spacing w:before="0" w:after="120" w:line="264" w:lineRule="auto"/>
      </w:pPr>
      <w:r>
        <w:rPr>
          <w:rFonts w:ascii="Calibri" w:hAnsi="Calibri"/>
          <w:b w:val="0"/>
          <w:i/>
          <w:color w:val="655B69"/>
          <w:sz w:val="22"/>
        </w:rPr>
        <w:t>El 84% corresponde al cumplimiento ponderado de la Fase 1. El 75% de Fase 2 es un indicador técnico de sus siete HU identificadas; no equivale todavía a aceptación contractual. No se presenta un porcentaje global hasta que el cliente apruebe el peso relativo de cada fase.</w:t>
      </w:r>
    </w:p>
    <w:p>
      <w:r>
        <w:br w:type="page"/>
      </w:r>
    </w:p>
    <w:p>
      <w:pPr>
        <w:pStyle w:val="Heading1"/>
        <w:keepNext/>
      </w:pPr>
      <w:r>
        <w:t>1. Qué se entiende por historia abordada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2A1336"/>
          <w:sz w:val="22"/>
        </w:rPr>
        <w:t>Una historia se considera abordada cuando existe una necesidad de usuario identificada, criterios de aceptación revisados, una implementación demostrable y evidencia técnica. Una HU solo se considera cerrada cuando también se han resuelto sus pendientes y decisiones de negocio.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Cumplido: el criterio está implementado y puede demostrarse.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Parcial: existe implementación, pero falta cobertura, trazabilidad o una validación.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Pendiente: aún no existe evidencia suficiente para aceptar el criterio.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Validación del cliente: decisión funcional que no debe asumirse desde desarrollo.</w:t>
      </w:r>
    </w:p>
    <w:p>
      <w:pPr>
        <w:pStyle w:val="Heading1"/>
        <w:keepNext/>
      </w:pPr>
      <w:r>
        <w:t>2. Matrices maestras por fase</w:t>
      </w:r>
    </w:p>
    <w:p>
      <w:pPr>
        <w:pStyle w:val="Heading2"/>
        <w:keepNext/>
      </w:pPr>
      <w:r>
        <w:t>2.1 Fase 1 — Motor de datos y análisis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250"/>
        <w:gridCol w:w="3100"/>
        <w:gridCol w:w="1000"/>
        <w:gridCol w:w="1750"/>
        <w:gridCol w:w="2260"/>
      </w:tblGrid>
      <w:tr>
        <w:trPr>
          <w:tblHeader w:val="true"/>
        </w:trPr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2A1336" w:val="clea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2A1336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Necesidad del usuario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2A1336" w:val="clea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Avance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2A1336" w:val="clea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Estado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2A1336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Cierre pendiente</w:t>
            </w:r>
          </w:p>
        </w:tc>
      </w:tr>
      <w:tr>
        <w:tc>
          <w:tcPr>
            <w:tcW w:type="dxa" w:w="125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HU-F1-01</w:t>
            </w:r>
          </w:p>
        </w:tc>
        <w:tc>
          <w:tcPr>
            <w:tcW w:type="dxa" w:w="310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Comparar una propiedad con mercado equivalente y obtener clasificación CRECE.</w:t>
            </w:r>
          </w:p>
        </w:tc>
        <w:tc>
          <w:tcPr>
            <w:tcW w:type="dxa" w:w="1000"/>
            <w:shd w:fill="EAF6EF" w:val="clea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95%</w:t>
            </w:r>
          </w:p>
        </w:tc>
        <w:tc>
          <w:tcPr>
            <w:tcW w:type="dxa" w:w="175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Avanzada</w:t>
            </w:r>
          </w:p>
        </w:tc>
        <w:tc>
          <w:tcPr>
            <w:tcW w:type="dxa" w:w="226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Auditar histórico y aprobar regla geográfica.</w:t>
            </w:r>
          </w:p>
        </w:tc>
      </w:tr>
      <w:tr>
        <w:tc>
          <w:tcPr>
            <w:tcW w:type="dxa" w:w="125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HU-F1-02</w:t>
            </w:r>
          </w:p>
        </w:tc>
        <w:tc>
          <w:tcPr>
            <w:tcW w:type="dxa" w:w="310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Conocer vigencia, cambios y retiro de publicaciones del Portal.</w:t>
            </w:r>
          </w:p>
        </w:tc>
        <w:tc>
          <w:tcPr>
            <w:tcW w:type="dxa" w:w="1000"/>
            <w:shd w:fill="FFF5D6" w:val="clea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78%</w:t>
            </w:r>
          </w:p>
        </w:tc>
        <w:tc>
          <w:tcPr>
            <w:tcW w:type="dxa" w:w="175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Parcial</w:t>
            </w:r>
          </w:p>
        </w:tc>
        <w:tc>
          <w:tcPr>
            <w:tcW w:type="dxa" w:w="226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Uniformar eventos del ciclo de vida.</w:t>
            </w:r>
          </w:p>
        </w:tc>
      </w:tr>
      <w:tr>
        <w:tc>
          <w:tcPr>
            <w:tcW w:type="dxa" w:w="125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HU-F1-03</w:t>
            </w:r>
          </w:p>
        </w:tc>
        <w:tc>
          <w:tcPr>
            <w:tcW w:type="dxa" w:w="310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Analizar activos bancarios aunque la fuente omita atributos.</w:t>
            </w:r>
          </w:p>
        </w:tc>
        <w:tc>
          <w:tcPr>
            <w:tcW w:type="dxa" w:w="1000"/>
            <w:shd w:fill="FFF5D6" w:val="clea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82%</w:t>
            </w:r>
          </w:p>
        </w:tc>
        <w:tc>
          <w:tcPr>
            <w:tcW w:type="dxa" w:w="175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Avanzada</w:t>
            </w:r>
          </w:p>
        </w:tc>
        <w:tc>
          <w:tcPr>
            <w:tcW w:type="dxa" w:w="226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Cerrar identidad e historial entre bancos.</w:t>
            </w:r>
          </w:p>
        </w:tc>
      </w:tr>
      <w:tr>
        <w:tc>
          <w:tcPr>
            <w:tcW w:type="dxa" w:w="125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HU-F1-04</w:t>
            </w:r>
          </w:p>
        </w:tc>
        <w:tc>
          <w:tcPr>
            <w:tcW w:type="dxa" w:w="310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Extraer y comparar activos AVAL desde sus boletines PDF.</w:t>
            </w:r>
          </w:p>
        </w:tc>
        <w:tc>
          <w:tcPr>
            <w:tcW w:type="dxa" w:w="1000"/>
            <w:shd w:fill="FFF5D6" w:val="clea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72%</w:t>
            </w:r>
          </w:p>
        </w:tc>
        <w:tc>
          <w:tcPr>
            <w:tcW w:type="dxa" w:w="175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Parcial</w:t>
            </w:r>
          </w:p>
        </w:tc>
        <w:tc>
          <w:tcPr>
            <w:tcW w:type="dxa" w:w="226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Normalizar ciudades y comparar boletines.</w:t>
            </w:r>
          </w:p>
        </w:tc>
      </w:tr>
      <w:tr>
        <w:tc>
          <w:tcPr>
            <w:tcW w:type="dxa" w:w="125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HU-F1-05</w:t>
            </w:r>
          </w:p>
        </w:tc>
        <w:tc>
          <w:tcPr>
            <w:tcW w:type="dxa" w:w="310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Entender riesgo, cuota-parte y acceso de un remate judicial.</w:t>
            </w:r>
          </w:p>
        </w:tc>
        <w:tc>
          <w:tcPr>
            <w:tcW w:type="dxa" w:w="1000"/>
            <w:shd w:fill="EAF6EF" w:val="clea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92%</w:t>
            </w:r>
          </w:p>
        </w:tc>
        <w:tc>
          <w:tcPr>
            <w:tcW w:type="dxa" w:w="175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Avanzada</w:t>
            </w:r>
          </w:p>
        </w:tc>
        <w:tc>
          <w:tcPr>
            <w:tcW w:type="dxa" w:w="226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Cuarentena de anomalías y evidencia visual.</w:t>
            </w:r>
          </w:p>
        </w:tc>
      </w:tr>
    </w:tbl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50" w:type="dxa"/>
              <w:start w:w="180" w:type="dxa"/>
              <w:bottom w:w="150" w:type="dxa"/>
              <w:end w:w="180" w:type="dxa"/>
            </w:tcMar>
            <w:vAlign w:val="center"/>
            <w:shd w:fill="FFF9D9" w:val="clear"/>
            <w:tcBorders>
              <w:start w:val="single" w:sz="22" w:color="8A6300" w:space="0"/>
              <w:top w:val="nil"/>
              <w:bottom w:val="nil"/>
              <w:end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8A6300"/>
                <w:sz w:val="22"/>
              </w:rPr>
              <w:t xml:space="preserve">Lectura de Fase 1: </w:t>
            </w:r>
            <w:r>
              <w:rPr>
                <w:rFonts w:ascii="Calibri" w:hAnsi="Calibri"/>
                <w:b w:val="0"/>
                <w:i w:val="0"/>
                <w:color w:val="2A1336"/>
                <w:sz w:val="22"/>
              </w:rPr>
              <w:t>Las HU del motor no están simplemente “iniciadas”: todas tienen implementación concreta. El trabajo restante consiste en cerrar criterios específicos, no en reconstruir el producto desde cero.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  <w:keepNext/>
      </w:pPr>
      <w:r>
        <w:t>2.2 Fase 2 — Acceso, producto y operación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250"/>
        <w:gridCol w:w="3210"/>
        <w:gridCol w:w="1000"/>
        <w:gridCol w:w="1500"/>
        <w:gridCol w:w="2400"/>
      </w:tblGrid>
      <w:tr>
        <w:trPr>
          <w:tblHeader w:val="true"/>
        </w:trPr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4F2868" w:val="clea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4F2868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Necesidad del usuario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4F2868" w:val="clea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Avance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4F2868" w:val="clea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Estado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4F2868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Cierre pendiente</w:t>
            </w:r>
          </w:p>
        </w:tc>
      </w:tr>
      <w:tr>
        <w:tc>
          <w:tcPr>
            <w:tcW w:type="dxa" w:w="125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HU-F2-01</w:t>
            </w:r>
          </w:p>
        </w:tc>
        <w:tc>
          <w:tcPr>
            <w:tcW w:type="dxa" w:w="321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Ingresar con Google y mantener una sesión segura.</w:t>
            </w:r>
          </w:p>
        </w:tc>
        <w:tc>
          <w:tcPr>
            <w:tcW w:type="dxa" w:w="1000"/>
            <w:shd w:fill="EAF6EF" w:val="clea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95%</w:t>
            </w:r>
          </w:p>
        </w:tc>
        <w:tc>
          <w:tcPr>
            <w:tcW w:type="dxa" w:w="150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Validada manualmente</w:t>
            </w:r>
          </w:p>
        </w:tc>
        <w:tc>
          <w:tcPr>
            <w:tcW w:type="dxa" w:w="240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Monitoreo y política de acceso.</w:t>
            </w:r>
          </w:p>
        </w:tc>
      </w:tr>
      <w:tr>
        <w:tc>
          <w:tcPr>
            <w:tcW w:type="dxa" w:w="125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HU-F2-02</w:t>
            </w:r>
          </w:p>
        </w:tc>
        <w:tc>
          <w:tcPr>
            <w:tcW w:type="dxa" w:w="321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Acceder a funciones según cuenta y plan freemium/Pro.</w:t>
            </w:r>
          </w:p>
        </w:tc>
        <w:tc>
          <w:tcPr>
            <w:tcW w:type="dxa" w:w="1000"/>
            <w:shd w:fill="FFF5D6" w:val="clea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80%</w:t>
            </w:r>
          </w:p>
        </w:tc>
        <w:tc>
          <w:tcPr>
            <w:tcW w:type="dxa" w:w="150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Demo funcional</w:t>
            </w:r>
          </w:p>
        </w:tc>
        <w:tc>
          <w:tcPr>
            <w:tcW w:type="dxa" w:w="240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Permisos y activación real.</w:t>
            </w:r>
          </w:p>
        </w:tc>
      </w:tr>
      <w:tr>
        <w:tc>
          <w:tcPr>
            <w:tcW w:type="dxa" w:w="125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HU-F2-03</w:t>
            </w:r>
          </w:p>
        </w:tc>
        <w:tc>
          <w:tcPr>
            <w:tcW w:type="dxa" w:w="321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Recibir alertas profesionales por correo.</w:t>
            </w:r>
          </w:p>
        </w:tc>
        <w:tc>
          <w:tcPr>
            <w:tcW w:type="dxa" w:w="1000"/>
            <w:shd w:fill="EAF6EF" w:val="clea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85%</w:t>
            </w:r>
          </w:p>
        </w:tc>
        <w:tc>
          <w:tcPr>
            <w:tcW w:type="dxa" w:w="150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Operativa</w:t>
            </w:r>
          </w:p>
        </w:tc>
        <w:tc>
          <w:tcPr>
            <w:tcW w:type="dxa" w:w="240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Agenda, métricas y dominio.</w:t>
            </w:r>
          </w:p>
        </w:tc>
      </w:tr>
      <w:tr>
        <w:tc>
          <w:tcPr>
            <w:tcW w:type="dxa" w:w="125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HU-F2-04</w:t>
            </w:r>
          </w:p>
        </w:tc>
        <w:tc>
          <w:tcPr>
            <w:tcW w:type="dxa" w:w="321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Administrar usuarios, intereses y operación.</w:t>
            </w:r>
          </w:p>
        </w:tc>
        <w:tc>
          <w:tcPr>
            <w:tcW w:type="dxa" w:w="1000"/>
            <w:shd w:fill="FFF5D6" w:val="clea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70%</w:t>
            </w:r>
          </w:p>
        </w:tc>
        <w:tc>
          <w:tcPr>
            <w:tcW w:type="dxa" w:w="150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Parcial</w:t>
            </w:r>
          </w:p>
        </w:tc>
        <w:tc>
          <w:tcPr>
            <w:tcW w:type="dxa" w:w="240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Roles, auditoría y piloto.</w:t>
            </w:r>
          </w:p>
        </w:tc>
      </w:tr>
      <w:tr>
        <w:tc>
          <w:tcPr>
            <w:tcW w:type="dxa" w:w="125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HU-F2-05</w:t>
            </w:r>
          </w:p>
        </w:tc>
        <w:tc>
          <w:tcPr>
            <w:tcW w:type="dxa" w:w="321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Comparar canon y rentabilidad de arriendo.</w:t>
            </w:r>
          </w:p>
        </w:tc>
        <w:tc>
          <w:tcPr>
            <w:tcW w:type="dxa" w:w="1000"/>
            <w:shd w:fill="FFF5D6" w:val="clea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68%</w:t>
            </w:r>
          </w:p>
        </w:tc>
        <w:tc>
          <w:tcPr>
            <w:tcW w:type="dxa" w:w="150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Piloto</w:t>
            </w:r>
          </w:p>
        </w:tc>
        <w:tc>
          <w:tcPr>
            <w:tcW w:type="dxa" w:w="240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Cobertura, muestra y confianza.</w:t>
            </w:r>
          </w:p>
        </w:tc>
      </w:tr>
      <w:tr>
        <w:tc>
          <w:tcPr>
            <w:tcW w:type="dxa" w:w="125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HU-F2-06</w:t>
            </w:r>
          </w:p>
        </w:tc>
        <w:tc>
          <w:tcPr>
            <w:tcW w:type="dxa" w:w="321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Pagar un plan y activar beneficios Pro.</w:t>
            </w:r>
          </w:p>
        </w:tc>
        <w:tc>
          <w:tcPr>
            <w:tcW w:type="dxa" w:w="1000"/>
            <w:shd w:fill="FFF5D6" w:val="clea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35%</w:t>
            </w:r>
          </w:p>
        </w:tc>
        <w:tc>
          <w:tcPr>
            <w:tcW w:type="dxa" w:w="150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Preparada</w:t>
            </w:r>
          </w:p>
        </w:tc>
        <w:tc>
          <w:tcPr>
            <w:tcW w:type="dxa" w:w="240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Credenciales reales y webhook.</w:t>
            </w:r>
          </w:p>
        </w:tc>
      </w:tr>
      <w:tr>
        <w:tc>
          <w:tcPr>
            <w:tcW w:type="dxa" w:w="125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HU-F2-07</w:t>
            </w:r>
          </w:p>
        </w:tc>
        <w:tc>
          <w:tcPr>
            <w:tcW w:type="dxa" w:w="321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Filtrar y navegar con claridad en desktop y móvil.</w:t>
            </w:r>
          </w:p>
        </w:tc>
        <w:tc>
          <w:tcPr>
            <w:tcW w:type="dxa" w:w="1000"/>
            <w:shd w:fill="EAF6EF" w:val="clea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95%</w:t>
            </w:r>
          </w:p>
        </w:tc>
        <w:tc>
          <w:tcPr>
            <w:tcW w:type="dxa" w:w="150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Desplegada</w:t>
            </w:r>
          </w:p>
        </w:tc>
        <w:tc>
          <w:tcPr>
            <w:tcW w:type="dxa" w:w="240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Prueba con usuarios y WCAG.</w:t>
            </w:r>
          </w:p>
        </w:tc>
      </w:tr>
    </w:tbl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50" w:type="dxa"/>
              <w:start w:w="180" w:type="dxa"/>
              <w:bottom w:w="150" w:type="dxa"/>
              <w:end w:w="180" w:type="dxa"/>
            </w:tcMar>
            <w:vAlign w:val="center"/>
            <w:shd w:fill="F4EFF7" w:val="clear"/>
            <w:tcBorders>
              <w:start w:val="single" w:sz="22" w:color="4F2868" w:space="0"/>
              <w:top w:val="nil"/>
              <w:bottom w:val="nil"/>
              <w:end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4F2868"/>
                <w:sz w:val="22"/>
              </w:rPr>
              <w:t xml:space="preserve">Lectura de Fase 2: </w:t>
            </w:r>
            <w:r>
              <w:rPr>
                <w:rFonts w:ascii="Calibri" w:hAnsi="Calibri"/>
                <w:b w:val="0"/>
                <w:i w:val="0"/>
                <w:color w:val="2A1336"/>
                <w:sz w:val="22"/>
              </w:rPr>
              <w:t>La Fase 2 no está pendiente de iniciar: Google, alertas, planes, cuenta, administración, comparador, arriendos y filtros ya tienen evidencia. Wompi se mantiene deliberadamente incompleto hasta contar con datos legítimos del comercio.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>
        <w:t>3. Trazabilidad detallada de las HU de Fase 1</w:t>
      </w:r>
    </w:p>
    <w:p>
      <w:pPr>
        <w:pStyle w:val="Heading2"/>
        <w:keepNext/>
      </w:pPr>
      <w:r>
        <w:t>HU-F1-01 — Núcleo de comparables e Índice CRECE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7860"/>
      </w:tblGrid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6EF" w:val="clear"/>
            <w:tcBorders>
              <w:top w:val="single" w:sz="4" w:color="EAF6EF"/>
              <w:bottom w:val="single" w:sz="4" w:color="EAF6EF"/>
              <w:start w:val="single" w:sz="4" w:color="EAF6EF"/>
              <w:end w:val="single" w:sz="4" w:color="EAF6EF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E7A46"/>
                <w:sz w:val="24"/>
              </w:rPr>
              <w:t>95%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6EF" w:val="clear"/>
            <w:tcBorders>
              <w:top w:val="single" w:sz="4" w:color="EAF6EF"/>
              <w:bottom w:val="single" w:sz="4" w:color="EAF6EF"/>
              <w:start w:val="single" w:sz="4" w:color="EAF6EF"/>
              <w:end w:val="single" w:sz="4" w:color="EAF6EF"/>
            </w:tcBorders>
          </w:tcPr>
          <w:p>
            <w:r>
              <w:rPr>
                <w:rFonts w:ascii="Calibri" w:hAnsi="Calibri"/>
                <w:b/>
                <w:i w:val="0"/>
                <w:color w:val="1E7A46"/>
                <w:sz w:val="21"/>
              </w:rPr>
              <w:t>Avanzada — próxima a cierre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50" w:type="dxa"/>
              <w:start w:w="180" w:type="dxa"/>
              <w:bottom w:w="150" w:type="dxa"/>
              <w:end w:w="180" w:type="dxa"/>
            </w:tcMar>
            <w:vAlign w:val="center"/>
            <w:shd w:fill="F4EFF7" w:val="clear"/>
            <w:tcBorders>
              <w:start w:val="single" w:sz="22" w:color="4F2868" w:space="0"/>
              <w:top w:val="nil"/>
              <w:bottom w:val="nil"/>
              <w:end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4F2868"/>
                <w:sz w:val="22"/>
              </w:rPr>
              <w:t xml:space="preserve">Historia de usuario: </w:t>
            </w:r>
            <w:r>
              <w:rPr>
                <w:rFonts w:ascii="Calibri" w:hAnsi="Calibri"/>
                <w:b w:val="0"/>
                <w:i w:val="0"/>
                <w:color w:val="2A1336"/>
                <w:sz w:val="22"/>
              </w:rPr>
              <w:t>Como inversionista inmobiliario, quiero comparar una propiedad con inmuebles equivalentes del mercado abierto para saber si su precio representa una oportunidad real.</w:t>
            </w:r>
          </w:p>
        </w:tc>
      </w:tr>
    </w:tbl>
    <w:p>
      <w:pPr>
        <w:spacing w:after="40"/>
      </w:pP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>Criterios de aceptación revisados:</w:t>
      </w:r>
      <w:r>
        <w:rPr>
          <w:rFonts w:ascii="Calibri" w:hAnsi="Calibri"/>
          <w:b w:val="0"/>
          <w:i w:val="0"/>
          <w:color w:val="2A1336"/>
          <w:sz w:val="22"/>
        </w:rPr>
      </w: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1E7A46"/>
          <w:sz w:val="22"/>
        </w:rPr>
        <w:t xml:space="preserve">Cumplido: </w:t>
      </w:r>
      <w:r>
        <w:rPr>
          <w:rFonts w:ascii="Calibri" w:hAnsi="Calibri"/>
          <w:b w:val="0"/>
          <w:i w:val="0"/>
          <w:color w:val="2A1336"/>
          <w:sz w:val="22"/>
        </w:rPr>
        <w:t>Calcular mediana robusta por precio por metro cuadrado y recortar valores atípicos.</w:t>
      </w: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1E7A46"/>
          <w:sz w:val="22"/>
        </w:rPr>
        <w:t xml:space="preserve">Cumplido: </w:t>
      </w:r>
      <w:r>
        <w:rPr>
          <w:rFonts w:ascii="Calibri" w:hAnsi="Calibri"/>
          <w:b w:val="0"/>
          <w:i w:val="0"/>
          <w:color w:val="2A1336"/>
          <w:sz w:val="22"/>
        </w:rPr>
        <w:t>Comparar por tipo, área, atributos y cercanía geográfica.</w:t>
      </w: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1E7A46"/>
          <w:sz w:val="22"/>
        </w:rPr>
        <w:t xml:space="preserve">Cumplido: </w:t>
      </w:r>
      <w:r>
        <w:rPr>
          <w:rFonts w:ascii="Calibri" w:hAnsi="Calibri"/>
          <w:b w:val="0"/>
          <w:i w:val="0"/>
          <w:color w:val="2A1336"/>
          <w:sz w:val="22"/>
        </w:rPr>
        <w:t>Excluir bancos y remates del universo de referencia del mercado abierto.</w:t>
      </w: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1E7A46"/>
          <w:sz w:val="22"/>
        </w:rPr>
        <w:t xml:space="preserve">Cumplido: </w:t>
      </w:r>
      <w:r>
        <w:rPr>
          <w:rFonts w:ascii="Calibri" w:hAnsi="Calibri"/>
          <w:b w:val="0"/>
          <w:i w:val="0"/>
          <w:color w:val="2A1336"/>
          <w:sz w:val="22"/>
        </w:rPr>
        <w:t>Traducir el resultado a las once categorías del Índice CRECE.</w:t>
      </w: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8A6300"/>
          <w:sz w:val="22"/>
        </w:rPr>
        <w:t xml:space="preserve">Parcial: </w:t>
      </w:r>
      <w:r>
        <w:rPr>
          <w:rFonts w:ascii="Calibri" w:hAnsi="Calibri"/>
          <w:b w:val="0"/>
          <w:i w:val="0"/>
          <w:color w:val="2A1336"/>
          <w:sz w:val="22"/>
        </w:rPr>
        <w:t>Persistir y auditar el índice para todas las filas históricas.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 xml:space="preserve">Evidencia actual. </w:t>
      </w:r>
      <w:r>
        <w:rPr>
          <w:rFonts w:ascii="Calibri" w:hAnsi="Calibri"/>
          <w:b w:val="0"/>
          <w:i w:val="0"/>
          <w:color w:val="2A1336"/>
          <w:sz w:val="22"/>
        </w:rPr>
        <w:t>Motor de comparables e Índice CRECE, criterios visibles para el usuario y pruebas sobre límites de clasificación.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 xml:space="preserve">Condición pendiente para cerrar la HU. </w:t>
      </w:r>
      <w:r>
        <w:rPr>
          <w:rFonts w:ascii="Calibri" w:hAnsi="Calibri"/>
          <w:b w:val="0"/>
          <w:i w:val="0"/>
          <w:color w:val="2A1336"/>
          <w:sz w:val="22"/>
        </w:rPr>
        <w:t>Completar auditoría histórica y formalizar el radio o regla de ampliación geográfica.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50" w:type="dxa"/>
              <w:start w:w="180" w:type="dxa"/>
              <w:bottom w:w="150" w:type="dxa"/>
              <w:end w:w="180" w:type="dxa"/>
            </w:tcMar>
            <w:vAlign w:val="center"/>
            <w:shd w:fill="FFF9D9" w:val="clear"/>
            <w:tcBorders>
              <w:start w:val="single" w:sz="22" w:color="8A6300" w:space="0"/>
              <w:top w:val="nil"/>
              <w:bottom w:val="nil"/>
              <w:end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8A6300"/>
                <w:sz w:val="22"/>
              </w:rPr>
              <w:t xml:space="preserve">Validación requerida del cliente: </w:t>
            </w:r>
            <w:r>
              <w:rPr>
                <w:rFonts w:ascii="Calibri" w:hAnsi="Calibri"/>
                <w:b w:val="0"/>
                <w:i w:val="0"/>
                <w:color w:val="2A1336"/>
                <w:sz w:val="22"/>
              </w:rPr>
              <w:t>Aprobar cuándo se amplía de barrio a zona o ciudad y cuál es el radio máximo aceptable.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  <w:keepNext/>
      </w:pPr>
      <w:r>
        <w:t>HU-F1-02 — Rango de precio y vigencia del Portal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7860"/>
      </w:tblGrid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5D6" w:val="clear"/>
            <w:tcBorders>
              <w:top w:val="single" w:sz="4" w:color="FFF5D6"/>
              <w:bottom w:val="single" w:sz="4" w:color="FFF5D6"/>
              <w:start w:val="single" w:sz="4" w:color="FFF5D6"/>
              <w:end w:val="single" w:sz="4" w:color="FFF5D6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8A6300"/>
                <w:sz w:val="24"/>
              </w:rPr>
              <w:t>78%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5D6" w:val="clear"/>
            <w:tcBorders>
              <w:top w:val="single" w:sz="4" w:color="FFF5D6"/>
              <w:bottom w:val="single" w:sz="4" w:color="FFF5D6"/>
              <w:start w:val="single" w:sz="4" w:color="FFF5D6"/>
              <w:end w:val="single" w:sz="4" w:color="FFF5D6"/>
            </w:tcBorders>
          </w:tcPr>
          <w:p>
            <w:r>
              <w:rPr>
                <w:rFonts w:ascii="Calibri" w:hAnsi="Calibri"/>
                <w:b/>
                <w:i w:val="0"/>
                <w:color w:val="8A6300"/>
                <w:sz w:val="21"/>
              </w:rPr>
              <w:t>Parcial — reglas listas, historial incompleto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50" w:type="dxa"/>
              <w:start w:w="180" w:type="dxa"/>
              <w:bottom w:w="150" w:type="dxa"/>
              <w:end w:w="180" w:type="dxa"/>
            </w:tcMar>
            <w:vAlign w:val="center"/>
            <w:shd w:fill="F4EFF7" w:val="clear"/>
            <w:tcBorders>
              <w:start w:val="single" w:sz="22" w:color="4F2868" w:space="0"/>
              <w:top w:val="nil"/>
              <w:bottom w:val="nil"/>
              <w:end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4F2868"/>
                <w:sz w:val="22"/>
              </w:rPr>
              <w:t xml:space="preserve">Historia de usuario: </w:t>
            </w:r>
            <w:r>
              <w:rPr>
                <w:rFonts w:ascii="Calibri" w:hAnsi="Calibri"/>
                <w:b w:val="0"/>
                <w:i w:val="0"/>
                <w:color w:val="2A1336"/>
                <w:sz w:val="22"/>
              </w:rPr>
              <w:t>Como usuario del Radar, quiero saber si una publicación es nueva, vigente, modificada o retirada para no analizar inventario desactualizado.</w:t>
            </w:r>
          </w:p>
        </w:tc>
      </w:tr>
    </w:tbl>
    <w:p>
      <w:pPr>
        <w:spacing w:after="40"/>
      </w:pP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>Criterios de aceptación revisados:</w:t>
      </w:r>
      <w:r>
        <w:rPr>
          <w:rFonts w:ascii="Calibri" w:hAnsi="Calibri"/>
          <w:b w:val="0"/>
          <w:i w:val="0"/>
          <w:color w:val="2A1336"/>
          <w:sz w:val="22"/>
        </w:rPr>
      </w: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1E7A46"/>
          <w:sz w:val="22"/>
        </w:rPr>
        <w:t xml:space="preserve">Cumplido: </w:t>
      </w:r>
      <w:r>
        <w:rPr>
          <w:rFonts w:ascii="Calibri" w:hAnsi="Calibri"/>
          <w:b w:val="0"/>
          <w:i w:val="0"/>
          <w:color w:val="2A1336"/>
          <w:sz w:val="22"/>
        </w:rPr>
        <w:t>Configurar ciudades, rangos de precio, área, estrato y fecha de revisión.</w:t>
      </w: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1E7A46"/>
          <w:sz w:val="22"/>
        </w:rPr>
        <w:t xml:space="preserve">Cumplido: </w:t>
      </w:r>
      <w:r>
        <w:rPr>
          <w:rFonts w:ascii="Calibri" w:hAnsi="Calibri"/>
          <w:b w:val="0"/>
          <w:i w:val="0"/>
          <w:color w:val="2A1336"/>
          <w:sz w:val="22"/>
        </w:rPr>
        <w:t>Aplicar reglas de vigencia de 30 y 90 días.</w:t>
      </w: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1E7A46"/>
          <w:sz w:val="22"/>
        </w:rPr>
        <w:t xml:space="preserve">Cumplido: </w:t>
      </w:r>
      <w:r>
        <w:rPr>
          <w:rFonts w:ascii="Calibri" w:hAnsi="Calibri"/>
          <w:b w:val="0"/>
          <w:i w:val="0"/>
          <w:color w:val="2A1336"/>
          <w:sz w:val="22"/>
        </w:rPr>
        <w:t>Modelar eventos de vigencia y una cadencia semanal.</w:t>
      </w: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8A6300"/>
          <w:sz w:val="22"/>
        </w:rPr>
        <w:t xml:space="preserve">Parcial: </w:t>
      </w:r>
      <w:r>
        <w:rPr>
          <w:rFonts w:ascii="Calibri" w:hAnsi="Calibri"/>
          <w:b w:val="0"/>
          <w:i w:val="0"/>
          <w:color w:val="2A1336"/>
          <w:sz w:val="22"/>
        </w:rPr>
        <w:t>Escribir todos los eventos desde cada scraper de forma uniforme.</w:t>
      </w: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8A6300"/>
          <w:sz w:val="22"/>
        </w:rPr>
        <w:t xml:space="preserve">Parcial: </w:t>
      </w:r>
      <w:r>
        <w:rPr>
          <w:rFonts w:ascii="Calibri" w:hAnsi="Calibri"/>
          <w:b w:val="0"/>
          <w:i w:val="0"/>
          <w:color w:val="2A1336"/>
          <w:sz w:val="22"/>
        </w:rPr>
        <w:t>Verificar automáticamente la activación y población de ciudades.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 xml:space="preserve">Evidencia actual. </w:t>
      </w:r>
      <w:r>
        <w:rPr>
          <w:rFonts w:ascii="Calibri" w:hAnsi="Calibri"/>
          <w:b w:val="0"/>
          <w:i w:val="0"/>
          <w:color w:val="2A1336"/>
          <w:sz w:val="22"/>
        </w:rPr>
        <w:t>Configuración persistente de zonas, motor de vigencia y pruebas sobre estados temporales.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 xml:space="preserve">Condición pendiente para cerrar la HU. </w:t>
      </w:r>
      <w:r>
        <w:rPr>
          <w:rFonts w:ascii="Calibri" w:hAnsi="Calibri"/>
          <w:b w:val="0"/>
          <w:i w:val="0"/>
          <w:color w:val="2A1336"/>
          <w:sz w:val="22"/>
        </w:rPr>
        <w:t>Cerrar NUEVO, VISTO, PRECIO_ACTUALIZADO, RETIRADO, EXPIRADO y DESCARTADO en todas las fuentes.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50" w:type="dxa"/>
              <w:start w:w="180" w:type="dxa"/>
              <w:bottom w:w="150" w:type="dxa"/>
              <w:end w:w="180" w:type="dxa"/>
            </w:tcMar>
            <w:vAlign w:val="center"/>
            <w:shd w:fill="FFF9D9" w:val="clear"/>
            <w:tcBorders>
              <w:start w:val="single" w:sz="22" w:color="8A6300" w:space="0"/>
              <w:top w:val="nil"/>
              <w:bottom w:val="nil"/>
              <w:end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8A6300"/>
                <w:sz w:val="22"/>
              </w:rPr>
              <w:t xml:space="preserve">Validación requerida del cliente: </w:t>
            </w:r>
            <w:r>
              <w:rPr>
                <w:rFonts w:ascii="Calibri" w:hAnsi="Calibri"/>
                <w:b w:val="0"/>
                <w:i w:val="0"/>
                <w:color w:val="2A1336"/>
                <w:sz w:val="22"/>
              </w:rPr>
              <w:t>Definir si una publicación retirada debe conservarse como histórico visible y durante cuánto tiempo.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  <w:keepNext/>
      </w:pPr>
      <w:r>
        <w:t>HU-F1-03 — Motor de activos bancarios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7860"/>
      </w:tblGrid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5D6" w:val="clear"/>
            <w:tcBorders>
              <w:top w:val="single" w:sz="4" w:color="FFF5D6"/>
              <w:bottom w:val="single" w:sz="4" w:color="FFF5D6"/>
              <w:start w:val="single" w:sz="4" w:color="FFF5D6"/>
              <w:end w:val="single" w:sz="4" w:color="FFF5D6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8A6300"/>
                <w:sz w:val="24"/>
              </w:rPr>
              <w:t>82%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5D6" w:val="clear"/>
            <w:tcBorders>
              <w:top w:val="single" w:sz="4" w:color="FFF5D6"/>
              <w:bottom w:val="single" w:sz="4" w:color="FFF5D6"/>
              <w:start w:val="single" w:sz="4" w:color="FFF5D6"/>
              <w:end w:val="single" w:sz="4" w:color="FFF5D6"/>
            </w:tcBorders>
          </w:tcPr>
          <w:p>
            <w:r>
              <w:rPr>
                <w:rFonts w:ascii="Calibri" w:hAnsi="Calibri"/>
                <w:b/>
                <w:i w:val="0"/>
                <w:color w:val="8A6300"/>
                <w:sz w:val="21"/>
              </w:rPr>
              <w:t>Avanzada — cierre de identidad e historial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50" w:type="dxa"/>
              <w:start w:w="180" w:type="dxa"/>
              <w:bottom w:w="150" w:type="dxa"/>
              <w:end w:w="180" w:type="dxa"/>
            </w:tcMar>
            <w:vAlign w:val="center"/>
            <w:shd w:fill="F4EFF7" w:val="clear"/>
            <w:tcBorders>
              <w:start w:val="single" w:sz="22" w:color="4F2868" w:space="0"/>
              <w:top w:val="nil"/>
              <w:bottom w:val="nil"/>
              <w:end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4F2868"/>
                <w:sz w:val="22"/>
              </w:rPr>
              <w:t xml:space="preserve">Historia de usuario: </w:t>
            </w:r>
            <w:r>
              <w:rPr>
                <w:rFonts w:ascii="Calibri" w:hAnsi="Calibri"/>
                <w:b w:val="0"/>
                <w:i w:val="0"/>
                <w:color w:val="2A1336"/>
                <w:sz w:val="22"/>
              </w:rPr>
              <w:t>Como inversionista, quiero comparar activos bancarios contra el mercado abierto aunque el banco no publique todos los atributos, para detectar oportunidades sin descartar inventario útil.</w:t>
            </w:r>
          </w:p>
        </w:tc>
      </w:tr>
    </w:tbl>
    <w:p>
      <w:pPr>
        <w:spacing w:after="40"/>
      </w:pP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>Criterios de aceptación revisados:</w:t>
      </w:r>
      <w:r>
        <w:rPr>
          <w:rFonts w:ascii="Calibri" w:hAnsi="Calibri"/>
          <w:b w:val="0"/>
          <w:i w:val="0"/>
          <w:color w:val="2A1336"/>
          <w:sz w:val="22"/>
        </w:rPr>
      </w: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1E7A46"/>
          <w:sz w:val="22"/>
        </w:rPr>
        <w:t xml:space="preserve">Cumplido: </w:t>
      </w:r>
      <w:r>
        <w:rPr>
          <w:rFonts w:ascii="Calibri" w:hAnsi="Calibri"/>
          <w:b w:val="0"/>
          <w:i w:val="0"/>
          <w:color w:val="2A1336"/>
          <w:sz w:val="22"/>
        </w:rPr>
        <w:t>Normalizar fuentes bancarias y compararlas contra mercado abierto.</w:t>
      </w: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1E7A46"/>
          <w:sz w:val="22"/>
        </w:rPr>
        <w:t xml:space="preserve">Cumplido: </w:t>
      </w:r>
      <w:r>
        <w:rPr>
          <w:rFonts w:ascii="Calibri" w:hAnsi="Calibri"/>
          <w:b w:val="0"/>
          <w:i w:val="0"/>
          <w:color w:val="2A1336"/>
          <w:sz w:val="22"/>
        </w:rPr>
        <w:t>Tratar el estrato ausente como dato opcional.</w:t>
      </w: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1E7A46"/>
          <w:sz w:val="22"/>
        </w:rPr>
        <w:t xml:space="preserve">Cumplido: </w:t>
      </w:r>
      <w:r>
        <w:rPr>
          <w:rFonts w:ascii="Calibri" w:hAnsi="Calibri"/>
          <w:b w:val="0"/>
          <w:i w:val="0"/>
          <w:color w:val="2A1336"/>
          <w:sz w:val="22"/>
        </w:rPr>
        <w:t>Mostrar la última verificación y rotar el inventario semanalmente.</w:t>
      </w: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1E7A46"/>
          <w:sz w:val="22"/>
        </w:rPr>
        <w:t xml:space="preserve">Cumplido: </w:t>
      </w:r>
      <w:r>
        <w:rPr>
          <w:rFonts w:ascii="Calibri" w:hAnsi="Calibri"/>
          <w:b w:val="0"/>
          <w:i w:val="0"/>
          <w:color w:val="2A1336"/>
          <w:sz w:val="22"/>
        </w:rPr>
        <w:t>Adaptar filtros e interfaz a la calidad real de los datos bancarios.</w:t>
      </w: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8A6300"/>
          <w:sz w:val="22"/>
        </w:rPr>
        <w:t xml:space="preserve">Parcial: </w:t>
      </w:r>
      <w:r>
        <w:rPr>
          <w:rFonts w:ascii="Calibri" w:hAnsi="Calibri"/>
          <w:b w:val="0"/>
          <w:i w:val="0"/>
          <w:color w:val="2A1336"/>
          <w:sz w:val="22"/>
        </w:rPr>
        <w:t>Resolver identidad secundaria, retiro, cambio de precio e historial entre bancos.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 xml:space="preserve">Evidencia actual. </w:t>
      </w:r>
      <w:r>
        <w:rPr>
          <w:rFonts w:ascii="Calibri" w:hAnsi="Calibri"/>
          <w:b w:val="0"/>
          <w:i w:val="0"/>
          <w:color w:val="2A1336"/>
          <w:sz w:val="22"/>
        </w:rPr>
        <w:t>Scrapers bancarios, clasificación CRECE, rotación semanal y pruebas de frescura.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 xml:space="preserve">Condición pendiente para cerrar la HU. </w:t>
      </w:r>
      <w:r>
        <w:rPr>
          <w:rFonts w:ascii="Calibri" w:hAnsi="Calibri"/>
          <w:b w:val="0"/>
          <w:i w:val="0"/>
          <w:color w:val="2A1336"/>
          <w:sz w:val="22"/>
        </w:rPr>
        <w:t>Cerrar la estrategia de identidad para enlaces o slugs inestables y unificar eventos.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50" w:type="dxa"/>
              <w:start w:w="180" w:type="dxa"/>
              <w:bottom w:w="150" w:type="dxa"/>
              <w:end w:w="180" w:type="dxa"/>
            </w:tcMar>
            <w:vAlign w:val="center"/>
            <w:shd w:fill="FFF9D9" w:val="clear"/>
            <w:tcBorders>
              <w:start w:val="single" w:sz="22" w:color="8A6300" w:space="0"/>
              <w:top w:val="nil"/>
              <w:bottom w:val="nil"/>
              <w:end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8A6300"/>
                <w:sz w:val="22"/>
              </w:rPr>
              <w:t xml:space="preserve">Validación requerida del cliente: </w:t>
            </w:r>
            <w:r>
              <w:rPr>
                <w:rFonts w:ascii="Calibri" w:hAnsi="Calibri"/>
                <w:b w:val="0"/>
                <w:i w:val="0"/>
                <w:color w:val="2A1336"/>
                <w:sz w:val="22"/>
              </w:rPr>
              <w:t>Confirmar qué atributos mínimos permiten publicar un activo cuando faltan estrato, habitaciones o baños.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  <w:keepNext/>
      </w:pPr>
      <w:r>
        <w:t>HU-F1-04 — Motor de activos Grupo AVAL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7860"/>
      </w:tblGrid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5D6" w:val="clear"/>
            <w:tcBorders>
              <w:top w:val="single" w:sz="4" w:color="FFF5D6"/>
              <w:bottom w:val="single" w:sz="4" w:color="FFF5D6"/>
              <w:start w:val="single" w:sz="4" w:color="FFF5D6"/>
              <w:end w:val="single" w:sz="4" w:color="FFF5D6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8A6300"/>
                <w:sz w:val="24"/>
              </w:rPr>
              <w:t>72%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5D6" w:val="clear"/>
            <w:tcBorders>
              <w:top w:val="single" w:sz="4" w:color="FFF5D6"/>
              <w:bottom w:val="single" w:sz="4" w:color="FFF5D6"/>
              <w:start w:val="single" w:sz="4" w:color="FFF5D6"/>
              <w:end w:val="single" w:sz="4" w:color="FFF5D6"/>
            </w:tcBorders>
          </w:tcPr>
          <w:p>
            <w:r>
              <w:rPr>
                <w:rFonts w:ascii="Calibri" w:hAnsi="Calibri"/>
                <w:b/>
                <w:i w:val="0"/>
                <w:color w:val="8A6300"/>
                <w:sz w:val="21"/>
              </w:rPr>
              <w:t>Parcial — ingesta funcional, normalización pendiente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50" w:type="dxa"/>
              <w:start w:w="180" w:type="dxa"/>
              <w:bottom w:w="150" w:type="dxa"/>
              <w:end w:w="180" w:type="dxa"/>
            </w:tcMar>
            <w:vAlign w:val="center"/>
            <w:shd w:fill="F4EFF7" w:val="clear"/>
            <w:tcBorders>
              <w:start w:val="single" w:sz="22" w:color="4F2868" w:space="0"/>
              <w:top w:val="nil"/>
              <w:bottom w:val="nil"/>
              <w:end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4F2868"/>
                <w:sz w:val="22"/>
              </w:rPr>
              <w:t xml:space="preserve">Historia de usuario: </w:t>
            </w:r>
            <w:r>
              <w:rPr>
                <w:rFonts w:ascii="Calibri" w:hAnsi="Calibri"/>
                <w:b w:val="0"/>
                <w:i w:val="0"/>
                <w:color w:val="2A1336"/>
                <w:sz w:val="22"/>
              </w:rPr>
              <w:t>Como usuario, quiero consultar activos AVAL extraídos de sus boletines PDF y conocer sus cambios para analizarlos junto con las demás oportunidades.</w:t>
            </w:r>
          </w:p>
        </w:tc>
      </w:tr>
    </w:tbl>
    <w:p>
      <w:pPr>
        <w:spacing w:after="40"/>
      </w:pP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>Criterios de aceptación revisados:</w:t>
      </w:r>
      <w:r>
        <w:rPr>
          <w:rFonts w:ascii="Calibri" w:hAnsi="Calibri"/>
          <w:b w:val="0"/>
          <w:i w:val="0"/>
          <w:color w:val="2A1336"/>
          <w:sz w:val="22"/>
        </w:rPr>
      </w: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1E7A46"/>
          <w:sz w:val="22"/>
        </w:rPr>
        <w:t xml:space="preserve">Cumplido: </w:t>
      </w:r>
      <w:r>
        <w:rPr>
          <w:rFonts w:ascii="Calibri" w:hAnsi="Calibri"/>
          <w:b w:val="0"/>
          <w:i w:val="0"/>
          <w:color w:val="2A1336"/>
          <w:sz w:val="22"/>
        </w:rPr>
        <w:t>Resolver, descargar y leer dinámicamente el boletín PDF.</w:t>
      </w: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1E7A46"/>
          <w:sz w:val="22"/>
        </w:rPr>
        <w:t xml:space="preserve">Cumplido: </w:t>
      </w:r>
      <w:r>
        <w:rPr>
          <w:rFonts w:ascii="Calibri" w:hAnsi="Calibri"/>
          <w:b w:val="0"/>
          <w:i w:val="0"/>
          <w:color w:val="2A1336"/>
          <w:sz w:val="22"/>
        </w:rPr>
        <w:t>Deduplicar por código y extraer precio, tipo, área, dirección y ciudad.</w:t>
      </w: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1E7A46"/>
          <w:sz w:val="22"/>
        </w:rPr>
        <w:t xml:space="preserve">Cumplido: </w:t>
      </w:r>
      <w:r>
        <w:rPr>
          <w:rFonts w:ascii="Calibri" w:hAnsi="Calibri"/>
          <w:b w:val="0"/>
          <w:i w:val="0"/>
          <w:color w:val="2A1336"/>
          <w:sz w:val="22"/>
        </w:rPr>
        <w:t>Evitar comparaciones inválidas mediante area_tipo.</w:t>
      </w: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8A6300"/>
          <w:sz w:val="22"/>
        </w:rPr>
        <w:t xml:space="preserve">Parcial: </w:t>
      </w:r>
      <w:r>
        <w:rPr>
          <w:rFonts w:ascii="Calibri" w:hAnsi="Calibri"/>
          <w:b w:val="0"/>
          <w:i w:val="0"/>
          <w:color w:val="2A1336"/>
          <w:sz w:val="22"/>
        </w:rPr>
        <w:t>Normalizar ciudad–departamento y marcar datos que requieren revisión.</w:t>
      </w: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8A6300"/>
          <w:sz w:val="22"/>
        </w:rPr>
        <w:t xml:space="preserve">Parcial: </w:t>
      </w:r>
      <w:r>
        <w:rPr>
          <w:rFonts w:ascii="Calibri" w:hAnsi="Calibri"/>
          <w:b w:val="0"/>
          <w:i w:val="0"/>
          <w:color w:val="2A1336"/>
          <w:sz w:val="22"/>
        </w:rPr>
        <w:t>Comparar boletines e identificar de forma trazable novedades y cambios de valor.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 xml:space="preserve">Evidencia actual. </w:t>
      </w:r>
      <w:r>
        <w:rPr>
          <w:rFonts w:ascii="Calibri" w:hAnsi="Calibri"/>
          <w:b w:val="0"/>
          <w:i w:val="0"/>
          <w:color w:val="2A1336"/>
          <w:sz w:val="22"/>
        </w:rPr>
        <w:t>Parser PDF, deduplicación, modelo normalizado e integración de las fichas en la aplicación.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 xml:space="preserve">Condición pendiente para cerrar la HU. </w:t>
      </w:r>
      <w:r>
        <w:rPr>
          <w:rFonts w:ascii="Calibri" w:hAnsi="Calibri"/>
          <w:b w:val="0"/>
          <w:i w:val="0"/>
          <w:color w:val="2A1336"/>
          <w:sz w:val="22"/>
        </w:rPr>
        <w:t>Completar normalización, comparación entre boletines, campos opcionales y trazabilidad documental.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50" w:type="dxa"/>
              <w:start w:w="180" w:type="dxa"/>
              <w:bottom w:w="150" w:type="dxa"/>
              <w:end w:w="180" w:type="dxa"/>
            </w:tcMar>
            <w:vAlign w:val="center"/>
            <w:shd w:fill="FFF9D9" w:val="clear"/>
            <w:tcBorders>
              <w:start w:val="single" w:sz="22" w:color="8A6300" w:space="0"/>
              <w:top w:val="nil"/>
              <w:bottom w:val="nil"/>
              <w:end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8A6300"/>
                <w:sz w:val="22"/>
              </w:rPr>
              <w:t xml:space="preserve">Validación requerida del cliente: </w:t>
            </w:r>
            <w:r>
              <w:rPr>
                <w:rFonts w:ascii="Calibri" w:hAnsi="Calibri"/>
                <w:b w:val="0"/>
                <w:i w:val="0"/>
                <w:color w:val="2A1336"/>
                <w:sz w:val="22"/>
              </w:rPr>
              <w:t>Aprobar si las insignias “Nuevo inmueble” y “Nuevo valor” son suficientes o deben recalcularse.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  <w:keepNext/>
      </w:pPr>
      <w:r>
        <w:t>HU-F1-05 — Motor de remates judiciales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7860"/>
      </w:tblGrid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6EF" w:val="clear"/>
            <w:tcBorders>
              <w:top w:val="single" w:sz="4" w:color="EAF6EF"/>
              <w:bottom w:val="single" w:sz="4" w:color="EAF6EF"/>
              <w:start w:val="single" w:sz="4" w:color="EAF6EF"/>
              <w:end w:val="single" w:sz="4" w:color="EAF6EF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E7A46"/>
                <w:sz w:val="24"/>
              </w:rPr>
              <w:t>92%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6EF" w:val="clear"/>
            <w:tcBorders>
              <w:top w:val="single" w:sz="4" w:color="EAF6EF"/>
              <w:bottom w:val="single" w:sz="4" w:color="EAF6EF"/>
              <w:start w:val="single" w:sz="4" w:color="EAF6EF"/>
              <w:end w:val="single" w:sz="4" w:color="EAF6EF"/>
            </w:tcBorders>
          </w:tcPr>
          <w:p>
            <w:r>
              <w:rPr>
                <w:rFonts w:ascii="Calibri" w:hAnsi="Calibri"/>
                <w:b/>
                <w:i w:val="0"/>
                <w:color w:val="1E7A46"/>
                <w:sz w:val="21"/>
              </w:rPr>
              <w:t>Avanzada — cierre de calidad de datos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50" w:type="dxa"/>
              <w:start w:w="180" w:type="dxa"/>
              <w:bottom w:w="150" w:type="dxa"/>
              <w:end w:w="180" w:type="dxa"/>
            </w:tcMar>
            <w:vAlign w:val="center"/>
            <w:shd w:fill="F4EFF7" w:val="clear"/>
            <w:tcBorders>
              <w:start w:val="single" w:sz="22" w:color="4F2868" w:space="0"/>
              <w:top w:val="nil"/>
              <w:bottom w:val="nil"/>
              <w:end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4F2868"/>
                <w:sz w:val="22"/>
              </w:rPr>
              <w:t xml:space="preserve">Historia de usuario: </w:t>
            </w:r>
            <w:r>
              <w:rPr>
                <w:rFonts w:ascii="Calibri" w:hAnsi="Calibri"/>
                <w:b w:val="0"/>
                <w:i w:val="0"/>
                <w:color w:val="2A1336"/>
                <w:sz w:val="22"/>
              </w:rPr>
              <w:t>Como inversionista, quiero distinguir el riesgo jurídico, la postura mínima y el porcentaje real del bien rematado para evitar interpretar una subasta de forma equivocada.</w:t>
            </w:r>
          </w:p>
        </w:tc>
      </w:tr>
    </w:tbl>
    <w:p>
      <w:pPr>
        <w:spacing w:after="40"/>
      </w:pP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>Criterios de aceptación revisados:</w:t>
      </w:r>
      <w:r>
        <w:rPr>
          <w:rFonts w:ascii="Calibri" w:hAnsi="Calibri"/>
          <w:b w:val="0"/>
          <w:i w:val="0"/>
          <w:color w:val="2A1336"/>
          <w:sz w:val="22"/>
        </w:rPr>
      </w: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1E7A46"/>
          <w:sz w:val="22"/>
        </w:rPr>
        <w:t xml:space="preserve">Cumplido: </w:t>
      </w:r>
      <w:r>
        <w:rPr>
          <w:rFonts w:ascii="Calibri" w:hAnsi="Calibri"/>
          <w:b w:val="0"/>
          <w:i w:val="0"/>
          <w:color w:val="2A1336"/>
          <w:sz w:val="22"/>
        </w:rPr>
        <w:t>Identificar origen del demandante, tipo de proceso y cuota-parte.</w:t>
      </w: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1E7A46"/>
          <w:sz w:val="22"/>
        </w:rPr>
        <w:t xml:space="preserve">Cumplido: </w:t>
      </w:r>
      <w:r>
        <w:rPr>
          <w:rFonts w:ascii="Calibri" w:hAnsi="Calibri"/>
          <w:b w:val="0"/>
          <w:i w:val="0"/>
          <w:color w:val="2A1336"/>
          <w:sz w:val="22"/>
        </w:rPr>
        <w:t>Aplicar una regla conservadora cuando el origen no es claro.</w:t>
      </w: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1E7A46"/>
          <w:sz w:val="22"/>
        </w:rPr>
        <w:t xml:space="preserve">Cumplido: </w:t>
      </w:r>
      <w:r>
        <w:rPr>
          <w:rFonts w:ascii="Calibri" w:hAnsi="Calibri"/>
          <w:b w:val="0"/>
          <w:i w:val="0"/>
          <w:color w:val="2A1336"/>
          <w:sz w:val="22"/>
        </w:rPr>
        <w:t>Diferenciar porcentaje de postura y porcentaje del dominio rematado.</w:t>
      </w: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1E7A46"/>
          <w:sz w:val="22"/>
        </w:rPr>
        <w:t xml:space="preserve">Cumplido: </w:t>
      </w:r>
      <w:r>
        <w:rPr>
          <w:rFonts w:ascii="Calibri" w:hAnsi="Calibri"/>
          <w:b w:val="0"/>
          <w:i w:val="0"/>
          <w:color w:val="2A1336"/>
          <w:sz w:val="22"/>
        </w:rPr>
        <w:t>Mostrar la matriz de acceso y alertas jurídicas.</w:t>
      </w: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8A6300"/>
          <w:sz w:val="22"/>
        </w:rPr>
        <w:t xml:space="preserve">Parcial: </w:t>
      </w:r>
      <w:r>
        <w:rPr>
          <w:rFonts w:ascii="Calibri" w:hAnsi="Calibri"/>
          <w:b w:val="0"/>
          <w:i w:val="0"/>
          <w:color w:val="2A1336"/>
          <w:sz w:val="22"/>
        </w:rPr>
        <w:t>Enviar anomalías a cuarentena y usar evidencia neutral cuando no exista imagen.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 xml:space="preserve">Evidencia actual. </w:t>
      </w:r>
      <w:r>
        <w:rPr>
          <w:rFonts w:ascii="Calibri" w:hAnsi="Calibri"/>
          <w:b w:val="0"/>
          <w:i w:val="0"/>
          <w:color w:val="2A1336"/>
          <w:sz w:val="22"/>
        </w:rPr>
        <w:t>Motor jurídico, matriz comercial, sanitización de datos y pruebas específicas sobre avisos y porcentajes.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 xml:space="preserve">Condición pendiente para cerrar la HU. </w:t>
      </w:r>
      <w:r>
        <w:rPr>
          <w:rFonts w:ascii="Calibri" w:hAnsi="Calibri"/>
          <w:b w:val="0"/>
          <w:i w:val="0"/>
          <w:color w:val="2A1336"/>
          <w:sz w:val="22"/>
        </w:rPr>
        <w:t>Implementar cuarentena desde ingestión/base y cerrar la evidencia visual trazable.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50" w:type="dxa"/>
              <w:start w:w="180" w:type="dxa"/>
              <w:bottom w:w="150" w:type="dxa"/>
              <w:end w:w="180" w:type="dxa"/>
            </w:tcMar>
            <w:vAlign w:val="center"/>
            <w:shd w:fill="FFF9D9" w:val="clear"/>
            <w:tcBorders>
              <w:start w:val="single" w:sz="22" w:color="8A6300" w:space="0"/>
              <w:top w:val="nil"/>
              <w:bottom w:val="nil"/>
              <w:end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8A6300"/>
                <w:sz w:val="22"/>
              </w:rPr>
              <w:t xml:space="preserve">Validación requerida del cliente: </w:t>
            </w:r>
            <w:r>
              <w:rPr>
                <w:rFonts w:ascii="Calibri" w:hAnsi="Calibri"/>
                <w:b w:val="0"/>
                <w:i w:val="0"/>
                <w:color w:val="2A1336"/>
                <w:sz w:val="22"/>
              </w:rPr>
              <w:t>Definir qué evidencia visual o documental permite publicar una ficha sin imagen original.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>
        <w:t>4. Trazabilidad detallada de las HU de Fase 2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2A1336"/>
          <w:sz w:val="22"/>
        </w:rPr>
        <w:t>Estas HU traducen la hoja de ruta del producto y las decisiones posteriores del cliente a criterios verificables. El porcentaje de Fase 2 es un avance técnico provisional hasta que el cliente apruebe formalmente esta línea base.</w:t>
      </w:r>
    </w:p>
    <w:p>
      <w:pPr>
        <w:pStyle w:val="Heading2"/>
        <w:keepNext/>
      </w:pPr>
      <w:r>
        <w:t>HU-F2-01 — Inicio de sesión con Google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7860"/>
      </w:tblGrid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6EF" w:val="clear"/>
            <w:tcBorders>
              <w:top w:val="single" w:sz="4" w:color="EAF6EF"/>
              <w:bottom w:val="single" w:sz="4" w:color="EAF6EF"/>
              <w:start w:val="single" w:sz="4" w:color="EAF6EF"/>
              <w:end w:val="single" w:sz="4" w:color="EAF6EF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E7A46"/>
                <w:sz w:val="24"/>
              </w:rPr>
              <w:t>95%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6EF" w:val="clear"/>
            <w:tcBorders>
              <w:top w:val="single" w:sz="4" w:color="EAF6EF"/>
              <w:bottom w:val="single" w:sz="4" w:color="EAF6EF"/>
              <w:start w:val="single" w:sz="4" w:color="EAF6EF"/>
              <w:end w:val="single" w:sz="4" w:color="EAF6EF"/>
            </w:tcBorders>
          </w:tcPr>
          <w:p>
            <w:r>
              <w:rPr>
                <w:rFonts w:ascii="Calibri" w:hAnsi="Calibri"/>
                <w:b/>
                <w:i w:val="0"/>
                <w:color w:val="1E7A46"/>
                <w:sz w:val="21"/>
              </w:rPr>
              <w:t>Validada — operativa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50" w:type="dxa"/>
              <w:start w:w="180" w:type="dxa"/>
              <w:bottom w:w="150" w:type="dxa"/>
              <w:end w:w="180" w:type="dxa"/>
            </w:tcMar>
            <w:vAlign w:val="center"/>
            <w:shd w:fill="F4EFF7" w:val="clear"/>
            <w:tcBorders>
              <w:start w:val="single" w:sz="22" w:color="4F2868" w:space="0"/>
              <w:top w:val="nil"/>
              <w:bottom w:val="nil"/>
              <w:end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4F2868"/>
                <w:sz w:val="22"/>
              </w:rPr>
              <w:t xml:space="preserve">Historia de usuario: </w:t>
            </w:r>
            <w:r>
              <w:rPr>
                <w:rFonts w:ascii="Calibri" w:hAnsi="Calibri"/>
                <w:b w:val="0"/>
                <w:i w:val="0"/>
                <w:color w:val="2A1336"/>
                <w:sz w:val="22"/>
              </w:rPr>
              <w:t>Como usuario, quiero ingresar con mi cuenta de Google para acceder al Radar sin crear otra contraseña.</w:t>
            </w:r>
          </w:p>
        </w:tc>
      </w:tr>
    </w:tbl>
    <w:p>
      <w:pPr>
        <w:spacing w:after="40"/>
      </w:pP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1E7A46"/>
          <w:sz w:val="22"/>
        </w:rPr>
        <w:t xml:space="preserve">Cumplido: </w:t>
      </w:r>
      <w:r>
        <w:rPr>
          <w:rFonts w:ascii="Calibri" w:hAnsi="Calibri"/>
          <w:b w:val="0"/>
          <w:i w:val="0"/>
          <w:color w:val="2A1336"/>
          <w:sz w:val="22"/>
        </w:rPr>
        <w:t>Mostrar el acceso con Google en la pantalla de ingreso.</w:t>
      </w: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1E7A46"/>
          <w:sz w:val="22"/>
        </w:rPr>
        <w:t xml:space="preserve">Cumplido: </w:t>
      </w:r>
      <w:r>
        <w:rPr>
          <w:rFonts w:ascii="Calibri" w:hAnsi="Calibri"/>
          <w:b w:val="0"/>
          <w:i w:val="0"/>
          <w:color w:val="2A1336"/>
          <w:sz w:val="22"/>
        </w:rPr>
        <w:t>Completar OAuth y conservar la sesión del usuario.</w:t>
      </w: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8A6300"/>
          <w:sz w:val="22"/>
        </w:rPr>
        <w:t xml:space="preserve">Parcial: </w:t>
      </w:r>
      <w:r>
        <w:rPr>
          <w:rFonts w:ascii="Calibri" w:hAnsi="Calibri"/>
          <w:b w:val="0"/>
          <w:i w:val="0"/>
          <w:color w:val="2A1336"/>
          <w:sz w:val="22"/>
        </w:rPr>
        <w:t>Monitorear altas, errores y políticas de acceso en operación.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 xml:space="preserve">Evidencia. </w:t>
      </w:r>
      <w:r>
        <w:rPr>
          <w:rFonts w:ascii="Calibri" w:hAnsi="Calibri"/>
          <w:b w:val="0"/>
          <w:i w:val="0"/>
          <w:color w:val="2A1336"/>
          <w:sz w:val="22"/>
        </w:rPr>
        <w:t>Proveedor OAuth y retorno validados manualmente; el E2E local comprueba disponibilidad del acceso y reglas de autenticación sin automatizar la pantalla externa de Google.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 xml:space="preserve">Para cerrar. </w:t>
      </w:r>
      <w:r>
        <w:rPr>
          <w:rFonts w:ascii="Calibri" w:hAnsi="Calibri"/>
          <w:b w:val="0"/>
          <w:i w:val="0"/>
          <w:color w:val="2A1336"/>
          <w:sz w:val="22"/>
        </w:rPr>
        <w:t>Acordar política de acceso y monitorear los primeros usuarios reales.</w:t>
      </w:r>
    </w:p>
    <w:p>
      <w:pPr>
        <w:pStyle w:val="Heading2"/>
        <w:keepNext/>
      </w:pPr>
      <w:r>
        <w:t>HU-F2-02 — Cuenta, planes y acceso freemium/Pro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7860"/>
      </w:tblGrid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5D6" w:val="clear"/>
            <w:tcBorders>
              <w:top w:val="single" w:sz="4" w:color="FFF5D6"/>
              <w:bottom w:val="single" w:sz="4" w:color="FFF5D6"/>
              <w:start w:val="single" w:sz="4" w:color="FFF5D6"/>
              <w:end w:val="single" w:sz="4" w:color="FFF5D6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8A6300"/>
                <w:sz w:val="24"/>
              </w:rPr>
              <w:t>80%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5D6" w:val="clear"/>
            <w:tcBorders>
              <w:top w:val="single" w:sz="4" w:color="FFF5D6"/>
              <w:bottom w:val="single" w:sz="4" w:color="FFF5D6"/>
              <w:start w:val="single" w:sz="4" w:color="FFF5D6"/>
              <w:end w:val="single" w:sz="4" w:color="FFF5D6"/>
            </w:tcBorders>
          </w:tcPr>
          <w:p>
            <w:r>
              <w:rPr>
                <w:rFonts w:ascii="Calibri" w:hAnsi="Calibri"/>
                <w:b/>
                <w:i w:val="0"/>
                <w:color w:val="8A6300"/>
                <w:sz w:val="21"/>
              </w:rPr>
              <w:t>Demo funcional — permisos pendientes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50" w:type="dxa"/>
              <w:start w:w="180" w:type="dxa"/>
              <w:bottom w:w="150" w:type="dxa"/>
              <w:end w:w="180" w:type="dxa"/>
            </w:tcMar>
            <w:vAlign w:val="center"/>
            <w:shd w:fill="F4EFF7" w:val="clear"/>
            <w:tcBorders>
              <w:start w:val="single" w:sz="22" w:color="4F2868" w:space="0"/>
              <w:top w:val="nil"/>
              <w:bottom w:val="nil"/>
              <w:end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4F2868"/>
                <w:sz w:val="22"/>
              </w:rPr>
              <w:t xml:space="preserve">Historia de usuario: </w:t>
            </w:r>
            <w:r>
              <w:rPr>
                <w:rFonts w:ascii="Calibri" w:hAnsi="Calibri"/>
                <w:b w:val="0"/>
                <w:i w:val="0"/>
                <w:color w:val="2A1336"/>
                <w:sz w:val="22"/>
              </w:rPr>
              <w:t>Como usuario, quiero conocer mi plan y acceder a beneficios acordes con mi suscripción para entender el valor de pasar a Pro.</w:t>
            </w:r>
          </w:p>
        </w:tc>
      </w:tr>
    </w:tbl>
    <w:p>
      <w:pPr>
        <w:spacing w:after="40"/>
      </w:pP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1E7A46"/>
          <w:sz w:val="22"/>
        </w:rPr>
        <w:t xml:space="preserve">Cumplido: </w:t>
      </w:r>
      <w:r>
        <w:rPr>
          <w:rFonts w:ascii="Calibri" w:hAnsi="Calibri"/>
          <w:b w:val="0"/>
          <w:i w:val="0"/>
          <w:color w:val="2A1336"/>
          <w:sz w:val="22"/>
        </w:rPr>
        <w:t>Mostrar cuenta, planes y beneficios disponibles.</w:t>
      </w: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1E7A46"/>
          <w:sz w:val="22"/>
        </w:rPr>
        <w:t xml:space="preserve">Cumplido: </w:t>
      </w:r>
      <w:r>
        <w:rPr>
          <w:rFonts w:ascii="Calibri" w:hAnsi="Calibri"/>
          <w:b w:val="0"/>
          <w:i w:val="0"/>
          <w:color w:val="2A1336"/>
          <w:sz w:val="22"/>
        </w:rPr>
        <w:t>Presentar contenido restringido y llamadas a suscripción.</w:t>
      </w: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8A6300"/>
          <w:sz w:val="22"/>
        </w:rPr>
        <w:t xml:space="preserve">Parcial: </w:t>
      </w:r>
      <w:r>
        <w:rPr>
          <w:rFonts w:ascii="Calibri" w:hAnsi="Calibri"/>
          <w:b w:val="0"/>
          <w:i w:val="0"/>
          <w:color w:val="2A1336"/>
          <w:sz w:val="22"/>
        </w:rPr>
        <w:t>Aplicar permisos de forma consistente en servidor y base de datos.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 xml:space="preserve">Evidencia. </w:t>
      </w:r>
      <w:r>
        <w:rPr>
          <w:rFonts w:ascii="Calibri" w:hAnsi="Calibri"/>
          <w:b w:val="0"/>
          <w:i w:val="0"/>
          <w:color w:val="2A1336"/>
          <w:sz w:val="22"/>
        </w:rPr>
        <w:t>Vistas de cuenta y planes, muro freemium, intereses de plan y checkout de demostración.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 xml:space="preserve">Para cerrar. </w:t>
      </w:r>
      <w:r>
        <w:rPr>
          <w:rFonts w:ascii="Calibri" w:hAnsi="Calibri"/>
          <w:b w:val="0"/>
          <w:i w:val="0"/>
          <w:color w:val="2A1336"/>
          <w:sz w:val="22"/>
        </w:rPr>
        <w:t>Validar entitlements, políticas RLS y activación/cancelación del plan.</w:t>
      </w:r>
    </w:p>
    <w:p>
      <w:r>
        <w:br w:type="page"/>
      </w:r>
    </w:p>
    <w:p>
      <w:pPr>
        <w:pStyle w:val="Heading2"/>
        <w:keepNext/>
      </w:pPr>
      <w:r>
        <w:t>HU-F2-03 — Alertas por correo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7860"/>
      </w:tblGrid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6EF" w:val="clear"/>
            <w:tcBorders>
              <w:top w:val="single" w:sz="4" w:color="EAF6EF"/>
              <w:bottom w:val="single" w:sz="4" w:color="EAF6EF"/>
              <w:start w:val="single" w:sz="4" w:color="EAF6EF"/>
              <w:end w:val="single" w:sz="4" w:color="EAF6EF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E7A46"/>
                <w:sz w:val="24"/>
              </w:rPr>
              <w:t>85%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6EF" w:val="clear"/>
            <w:tcBorders>
              <w:top w:val="single" w:sz="4" w:color="EAF6EF"/>
              <w:bottom w:val="single" w:sz="4" w:color="EAF6EF"/>
              <w:start w:val="single" w:sz="4" w:color="EAF6EF"/>
              <w:end w:val="single" w:sz="4" w:color="EAF6EF"/>
            </w:tcBorders>
          </w:tcPr>
          <w:p>
            <w:r>
              <w:rPr>
                <w:rFonts w:ascii="Calibri" w:hAnsi="Calibri"/>
                <w:b/>
                <w:i w:val="0"/>
                <w:color w:val="1E7A46"/>
                <w:sz w:val="21"/>
              </w:rPr>
              <w:t>Operativa — endurecimiento pendiente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50" w:type="dxa"/>
              <w:start w:w="180" w:type="dxa"/>
              <w:bottom w:w="150" w:type="dxa"/>
              <w:end w:w="180" w:type="dxa"/>
            </w:tcMar>
            <w:vAlign w:val="center"/>
            <w:shd w:fill="F4EFF7" w:val="clear"/>
            <w:tcBorders>
              <w:start w:val="single" w:sz="22" w:color="4F2868" w:space="0"/>
              <w:top w:val="nil"/>
              <w:bottom w:val="nil"/>
              <w:end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4F2868"/>
                <w:sz w:val="22"/>
              </w:rPr>
              <w:t xml:space="preserve">Historia de usuario: </w:t>
            </w:r>
            <w:r>
              <w:rPr>
                <w:rFonts w:ascii="Calibri" w:hAnsi="Calibri"/>
                <w:b w:val="0"/>
                <w:i w:val="0"/>
                <w:color w:val="2A1336"/>
                <w:sz w:val="22"/>
              </w:rPr>
              <w:t>Como usuario, quiero recibir alertas por correo cuando aparezcan oportunidades compatibles para reaccionar a tiempo.</w:t>
            </w:r>
          </w:p>
        </w:tc>
      </w:tr>
    </w:tbl>
    <w:p>
      <w:pPr>
        <w:spacing w:after="40"/>
      </w:pP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1E7A46"/>
          <w:sz w:val="22"/>
        </w:rPr>
        <w:t xml:space="preserve">Cumplido: </w:t>
      </w:r>
      <w:r>
        <w:rPr>
          <w:rFonts w:ascii="Calibri" w:hAnsi="Calibri"/>
          <w:b w:val="0"/>
          <w:i w:val="0"/>
          <w:color w:val="2A1336"/>
          <w:sz w:val="22"/>
        </w:rPr>
        <w:t>Crear alertas asociadas a preferencias del usuario.</w:t>
      </w: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1E7A46"/>
          <w:sz w:val="22"/>
        </w:rPr>
        <w:t xml:space="preserve">Cumplido: </w:t>
      </w:r>
      <w:r>
        <w:rPr>
          <w:rFonts w:ascii="Calibri" w:hAnsi="Calibri"/>
          <w:b w:val="0"/>
          <w:i w:val="0"/>
          <w:color w:val="2A1336"/>
          <w:sz w:val="22"/>
        </w:rPr>
        <w:t>Enviar un correo profesional mediante Resend.</w:t>
      </w: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8A6300"/>
          <w:sz w:val="22"/>
        </w:rPr>
        <w:t xml:space="preserve">Parcial: </w:t>
      </w:r>
      <w:r>
        <w:rPr>
          <w:rFonts w:ascii="Calibri" w:hAnsi="Calibri"/>
          <w:b w:val="0"/>
          <w:i w:val="0"/>
          <w:color w:val="2A1336"/>
          <w:sz w:val="22"/>
        </w:rPr>
        <w:t>Ejecutar la agenda con idempotencia, métricas y control de rebotes.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 xml:space="preserve">Evidencia. </w:t>
      </w:r>
      <w:r>
        <w:rPr>
          <w:rFonts w:ascii="Calibri" w:hAnsi="Calibri"/>
          <w:b w:val="0"/>
          <w:i w:val="0"/>
          <w:color w:val="2A1336"/>
          <w:sz w:val="22"/>
        </w:rPr>
        <w:t>Despacho de alertas, plantilla brandeada y prueba real de correo.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 xml:space="preserve">Para cerrar. </w:t>
      </w:r>
      <w:r>
        <w:rPr>
          <w:rFonts w:ascii="Calibri" w:hAnsi="Calibri"/>
          <w:b w:val="0"/>
          <w:i w:val="0"/>
          <w:color w:val="2A1336"/>
          <w:sz w:val="22"/>
        </w:rPr>
        <w:t>Verificar dominio, activar agenda controlada y medir entrega, rebotes y duplicados.</w:t>
      </w:r>
    </w:p>
    <w:p>
      <w:pPr>
        <w:pStyle w:val="Heading2"/>
        <w:keepNext/>
      </w:pPr>
      <w:r>
        <w:t>HU-F2-04 — Administración y operación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7860"/>
      </w:tblGrid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5D6" w:val="clear"/>
            <w:tcBorders>
              <w:top w:val="single" w:sz="4" w:color="FFF5D6"/>
              <w:bottom w:val="single" w:sz="4" w:color="FFF5D6"/>
              <w:start w:val="single" w:sz="4" w:color="FFF5D6"/>
              <w:end w:val="single" w:sz="4" w:color="FFF5D6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8A6300"/>
                <w:sz w:val="24"/>
              </w:rPr>
              <w:t>70%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5D6" w:val="clear"/>
            <w:tcBorders>
              <w:top w:val="single" w:sz="4" w:color="FFF5D6"/>
              <w:bottom w:val="single" w:sz="4" w:color="FFF5D6"/>
              <w:start w:val="single" w:sz="4" w:color="FFF5D6"/>
              <w:end w:val="single" w:sz="4" w:color="FFF5D6"/>
            </w:tcBorders>
          </w:tcPr>
          <w:p>
            <w:r>
              <w:rPr>
                <w:rFonts w:ascii="Calibri" w:hAnsi="Calibri"/>
                <w:b/>
                <w:i w:val="0"/>
                <w:color w:val="8A6300"/>
                <w:sz w:val="21"/>
              </w:rPr>
              <w:t>Parcial — apta para piloto interno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50" w:type="dxa"/>
              <w:start w:w="180" w:type="dxa"/>
              <w:bottom w:w="150" w:type="dxa"/>
              <w:end w:w="180" w:type="dxa"/>
            </w:tcMar>
            <w:vAlign w:val="center"/>
            <w:shd w:fill="F4EFF7" w:val="clear"/>
            <w:tcBorders>
              <w:start w:val="single" w:sz="22" w:color="4F2868" w:space="0"/>
              <w:top w:val="nil"/>
              <w:bottom w:val="nil"/>
              <w:end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4F2868"/>
                <w:sz w:val="22"/>
              </w:rPr>
              <w:t xml:space="preserve">Historia de usuario: </w:t>
            </w:r>
            <w:r>
              <w:rPr>
                <w:rFonts w:ascii="Calibri" w:hAnsi="Calibri"/>
                <w:b w:val="0"/>
                <w:i w:val="0"/>
                <w:color w:val="2A1336"/>
                <w:sz w:val="22"/>
              </w:rPr>
              <w:t>Como administrador, quiero revisar usuarios, intereses y estado operativo para controlar el servicio.</w:t>
            </w:r>
          </w:p>
        </w:tc>
      </w:tr>
    </w:tbl>
    <w:p>
      <w:pPr>
        <w:spacing w:after="40"/>
      </w:pP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1E7A46"/>
          <w:sz w:val="22"/>
        </w:rPr>
        <w:t xml:space="preserve">Cumplido: </w:t>
      </w:r>
      <w:r>
        <w:rPr>
          <w:rFonts w:ascii="Calibri" w:hAnsi="Calibri"/>
          <w:b w:val="0"/>
          <w:i w:val="0"/>
          <w:color w:val="2A1336"/>
          <w:sz w:val="22"/>
        </w:rPr>
        <w:t>Consultar información de cuenta e intereses de plan.</w:t>
      </w: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8A6300"/>
          <w:sz w:val="22"/>
        </w:rPr>
        <w:t xml:space="preserve">Parcial: </w:t>
      </w:r>
      <w:r>
        <w:rPr>
          <w:rFonts w:ascii="Calibri" w:hAnsi="Calibri"/>
          <w:b w:val="0"/>
          <w:i w:val="0"/>
          <w:color w:val="2A1336"/>
          <w:sz w:val="22"/>
        </w:rPr>
        <w:t>Restringir las funciones administrativas por rol.</w:t>
      </w: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8A6300"/>
          <w:sz w:val="22"/>
        </w:rPr>
        <w:t xml:space="preserve">Parcial: </w:t>
      </w:r>
      <w:r>
        <w:rPr>
          <w:rFonts w:ascii="Calibri" w:hAnsi="Calibri"/>
          <w:b w:val="0"/>
          <w:i w:val="0"/>
          <w:color w:val="2A1336"/>
          <w:sz w:val="22"/>
        </w:rPr>
        <w:t>Registrar auditoría de cambios y eventos operativos.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 xml:space="preserve">Evidencia. </w:t>
      </w:r>
      <w:r>
        <w:rPr>
          <w:rFonts w:ascii="Calibri" w:hAnsi="Calibri"/>
          <w:b w:val="0"/>
          <w:i w:val="0"/>
          <w:color w:val="2A1336"/>
          <w:sz w:val="22"/>
        </w:rPr>
        <w:t>Servicios de cuenta, administración comercial, estadísticas y logs de scraping.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 xml:space="preserve">Para cerrar. </w:t>
      </w:r>
      <w:r>
        <w:rPr>
          <w:rFonts w:ascii="Calibri" w:hAnsi="Calibri"/>
          <w:b w:val="0"/>
          <w:i w:val="0"/>
          <w:color w:val="2A1336"/>
          <w:sz w:val="22"/>
        </w:rPr>
        <w:t>Cerrar roles, auditoría, indicadores operativos y prueba piloto con un administrador.</w:t>
      </w:r>
    </w:p>
    <w:p>
      <w:r>
        <w:br w:type="page"/>
      </w:r>
    </w:p>
    <w:p>
      <w:pPr>
        <w:pStyle w:val="Heading2"/>
        <w:keepNext/>
      </w:pPr>
      <w:r>
        <w:t>HU-F2-05 — Comparables de arriendo y rentabilidad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7860"/>
      </w:tblGrid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5D6" w:val="clear"/>
            <w:tcBorders>
              <w:top w:val="single" w:sz="4" w:color="FFF5D6"/>
              <w:bottom w:val="single" w:sz="4" w:color="FFF5D6"/>
              <w:start w:val="single" w:sz="4" w:color="FFF5D6"/>
              <w:end w:val="single" w:sz="4" w:color="FFF5D6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8A6300"/>
                <w:sz w:val="24"/>
              </w:rPr>
              <w:t>68%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5D6" w:val="clear"/>
            <w:tcBorders>
              <w:top w:val="single" w:sz="4" w:color="FFF5D6"/>
              <w:bottom w:val="single" w:sz="4" w:color="FFF5D6"/>
              <w:start w:val="single" w:sz="4" w:color="FFF5D6"/>
              <w:end w:val="single" w:sz="4" w:color="FFF5D6"/>
            </w:tcBorders>
          </w:tcPr>
          <w:p>
            <w:r>
              <w:rPr>
                <w:rFonts w:ascii="Calibri" w:hAnsi="Calibri"/>
                <w:b/>
                <w:i w:val="0"/>
                <w:color w:val="8A6300"/>
                <w:sz w:val="21"/>
              </w:rPr>
              <w:t>Piloto — cobertura por consolidar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50" w:type="dxa"/>
              <w:start w:w="180" w:type="dxa"/>
              <w:bottom w:w="150" w:type="dxa"/>
              <w:end w:w="180" w:type="dxa"/>
            </w:tcMar>
            <w:vAlign w:val="center"/>
            <w:shd w:fill="F4EFF7" w:val="clear"/>
            <w:tcBorders>
              <w:start w:val="single" w:sz="22" w:color="4F2868" w:space="0"/>
              <w:top w:val="nil"/>
              <w:bottom w:val="nil"/>
              <w:end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4F2868"/>
                <w:sz w:val="22"/>
              </w:rPr>
              <w:t xml:space="preserve">Historia de usuario: </w:t>
            </w:r>
            <w:r>
              <w:rPr>
                <w:rFonts w:ascii="Calibri" w:hAnsi="Calibri"/>
                <w:b w:val="0"/>
                <w:i w:val="0"/>
                <w:color w:val="2A1336"/>
                <w:sz w:val="22"/>
              </w:rPr>
              <w:t>Como inversionista, quiero estimar el canon de arriendo de una propiedad y su rentabilidad con comparables similares para tomar una decisión más completa.</w:t>
            </w:r>
          </w:p>
        </w:tc>
      </w:tr>
    </w:tbl>
    <w:p>
      <w:pPr>
        <w:spacing w:after="40"/>
      </w:pP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1E7A46"/>
          <w:sz w:val="22"/>
        </w:rPr>
        <w:t xml:space="preserve">Cumplido: </w:t>
      </w:r>
      <w:r>
        <w:rPr>
          <w:rFonts w:ascii="Calibri" w:hAnsi="Calibri"/>
          <w:b w:val="0"/>
          <w:i w:val="0"/>
          <w:color w:val="2A1336"/>
          <w:sz w:val="22"/>
        </w:rPr>
        <w:t>Separar ofertas de venta y arriendo y almacenar el canon.</w:t>
      </w: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1E7A46"/>
          <w:sz w:val="22"/>
        </w:rPr>
        <w:t xml:space="preserve">Cumplido: </w:t>
      </w:r>
      <w:r>
        <w:rPr>
          <w:rFonts w:ascii="Calibri" w:hAnsi="Calibri"/>
          <w:b w:val="0"/>
          <w:i w:val="0"/>
          <w:color w:val="2A1336"/>
          <w:sz w:val="22"/>
        </w:rPr>
        <w:t>Calcular comparables de alquiler y una estimación de rentabilidad.</w:t>
      </w: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8A6300"/>
          <w:sz w:val="22"/>
        </w:rPr>
        <w:t xml:space="preserve">Parcial: </w:t>
      </w:r>
      <w:r>
        <w:rPr>
          <w:rFonts w:ascii="Calibri" w:hAnsi="Calibri"/>
          <w:b w:val="0"/>
          <w:i w:val="0"/>
          <w:color w:val="2A1336"/>
          <w:sz w:val="22"/>
        </w:rPr>
        <w:t>Mostrar cobertura, muestra mínima y nivel de confianza.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 xml:space="preserve">Evidencia. </w:t>
      </w:r>
      <w:r>
        <w:rPr>
          <w:rFonts w:ascii="Calibri" w:hAnsi="Calibri"/>
          <w:b w:val="0"/>
          <w:i w:val="0"/>
          <w:color w:val="2A1336"/>
          <w:sz w:val="22"/>
        </w:rPr>
        <w:t>Piloto para Medellín, Bogotá, Cali, Barranquilla y Bucaramanga; recorrido E2E de rentabilidad aprobado.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 xml:space="preserve">Para cerrar. </w:t>
      </w:r>
      <w:r>
        <w:rPr>
          <w:rFonts w:ascii="Calibri" w:hAnsi="Calibri"/>
          <w:b w:val="0"/>
          <w:i w:val="0"/>
          <w:color w:val="2A1336"/>
          <w:sz w:val="22"/>
        </w:rPr>
        <w:t>Ejecutar ingestas recurrentes, medir cobertura y aprobar reglas de muestra y confianza.</w:t>
      </w:r>
    </w:p>
    <w:p>
      <w:pPr>
        <w:pStyle w:val="Heading2"/>
        <w:keepNext/>
      </w:pPr>
      <w:r>
        <w:t>HU-F2-06 — Pago y activación de plan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7860"/>
      </w:tblGrid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5D6" w:val="clear"/>
            <w:tcBorders>
              <w:top w:val="single" w:sz="4" w:color="FFF5D6"/>
              <w:bottom w:val="single" w:sz="4" w:color="FFF5D6"/>
              <w:start w:val="single" w:sz="4" w:color="FFF5D6"/>
              <w:end w:val="single" w:sz="4" w:color="FFF5D6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8A6300"/>
                <w:sz w:val="24"/>
              </w:rPr>
              <w:t>35%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5D6" w:val="clear"/>
            <w:tcBorders>
              <w:top w:val="single" w:sz="4" w:color="FFF5D6"/>
              <w:bottom w:val="single" w:sz="4" w:color="FFF5D6"/>
              <w:start w:val="single" w:sz="4" w:color="FFF5D6"/>
              <w:end w:val="single" w:sz="4" w:color="FFF5D6"/>
            </w:tcBorders>
          </w:tcPr>
          <w:p>
            <w:r>
              <w:rPr>
                <w:rFonts w:ascii="Calibri" w:hAnsi="Calibri"/>
                <w:b/>
                <w:i w:val="0"/>
                <w:color w:val="8A6300"/>
                <w:sz w:val="21"/>
              </w:rPr>
              <w:t>Preparada — bloqueada por datos del comercio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50" w:type="dxa"/>
              <w:start w:w="180" w:type="dxa"/>
              <w:bottom w:w="150" w:type="dxa"/>
              <w:end w:w="180" w:type="dxa"/>
            </w:tcMar>
            <w:vAlign w:val="center"/>
            <w:shd w:fill="F4EFF7" w:val="clear"/>
            <w:tcBorders>
              <w:start w:val="single" w:sz="22" w:color="4F2868" w:space="0"/>
              <w:top w:val="nil"/>
              <w:bottom w:val="nil"/>
              <w:end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4F2868"/>
                <w:sz w:val="22"/>
              </w:rPr>
              <w:t xml:space="preserve">Historia de usuario: </w:t>
            </w:r>
            <w:r>
              <w:rPr>
                <w:rFonts w:ascii="Calibri" w:hAnsi="Calibri"/>
                <w:b w:val="0"/>
                <w:i w:val="0"/>
                <w:color w:val="2A1336"/>
                <w:sz w:val="22"/>
              </w:rPr>
              <w:t>Como usuario, quiero pagar un plan de forma segura para activar los beneficios Pro.</w:t>
            </w:r>
          </w:p>
        </w:tc>
      </w:tr>
    </w:tbl>
    <w:p>
      <w:pPr>
        <w:spacing w:after="40"/>
      </w:pP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1E7A46"/>
          <w:sz w:val="22"/>
        </w:rPr>
        <w:t xml:space="preserve">Cumplido: </w:t>
      </w:r>
      <w:r>
        <w:rPr>
          <w:rFonts w:ascii="Calibri" w:hAnsi="Calibri"/>
          <w:b w:val="0"/>
          <w:i w:val="0"/>
          <w:color w:val="2A1336"/>
          <w:sz w:val="22"/>
        </w:rPr>
        <w:t>Preparar la experiencia de checkout y el flujo de demostración.</w:t>
      </w: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8A6300"/>
          <w:sz w:val="22"/>
        </w:rPr>
        <w:t xml:space="preserve">Parcial: </w:t>
      </w:r>
      <w:r>
        <w:rPr>
          <w:rFonts w:ascii="Calibri" w:hAnsi="Calibri"/>
          <w:b w:val="0"/>
          <w:i w:val="0"/>
          <w:color w:val="2A1336"/>
          <w:sz w:val="22"/>
        </w:rPr>
        <w:t>Integrar Wompi Sandbox con credenciales legítimas.</w:t>
      </w: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9B1C1C"/>
          <w:sz w:val="22"/>
        </w:rPr>
        <w:t xml:space="preserve">Pendiente: </w:t>
      </w:r>
      <w:r>
        <w:rPr>
          <w:rFonts w:ascii="Calibri" w:hAnsi="Calibri"/>
          <w:b w:val="0"/>
          <w:i w:val="0"/>
          <w:color w:val="2A1336"/>
          <w:sz w:val="22"/>
        </w:rPr>
        <w:t>Validar webhook, conciliación y activación idempotente del plan.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 xml:space="preserve">Evidencia. </w:t>
      </w:r>
      <w:r>
        <w:rPr>
          <w:rFonts w:ascii="Calibri" w:hAnsi="Calibri"/>
          <w:b w:val="0"/>
          <w:i w:val="0"/>
          <w:color w:val="2A1336"/>
          <w:sz w:val="22"/>
        </w:rPr>
        <w:t>Pantalla y flujo de checkout de demostración listos.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 xml:space="preserve">Para cerrar. </w:t>
      </w:r>
      <w:r>
        <w:rPr>
          <w:rFonts w:ascii="Calibri" w:hAnsi="Calibri"/>
          <w:b w:val="0"/>
          <w:i w:val="0"/>
          <w:color w:val="2A1336"/>
          <w:sz w:val="22"/>
        </w:rPr>
        <w:t>Retomar únicamente cuando existan datos reales del comercio; completar transacción Sandbox y webhook firmado.</w:t>
      </w:r>
    </w:p>
    <w:p>
      <w:r>
        <w:br w:type="page"/>
      </w:r>
    </w:p>
    <w:p>
      <w:pPr>
        <w:pStyle w:val="Heading2"/>
        <w:keepNext/>
      </w:pPr>
      <w:r>
        <w:t>HU-F2-07 — Filtros y navegación responsive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7860"/>
      </w:tblGrid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6EF" w:val="clear"/>
            <w:tcBorders>
              <w:top w:val="single" w:sz="4" w:color="EAF6EF"/>
              <w:bottom w:val="single" w:sz="4" w:color="EAF6EF"/>
              <w:start w:val="single" w:sz="4" w:color="EAF6EF"/>
              <w:end w:val="single" w:sz="4" w:color="EAF6EF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E7A46"/>
                <w:sz w:val="24"/>
              </w:rPr>
              <w:t>95%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6EF" w:val="clear"/>
            <w:tcBorders>
              <w:top w:val="single" w:sz="4" w:color="EAF6EF"/>
              <w:bottom w:val="single" w:sz="4" w:color="EAF6EF"/>
              <w:start w:val="single" w:sz="4" w:color="EAF6EF"/>
              <w:end w:val="single" w:sz="4" w:color="EAF6EF"/>
            </w:tcBorders>
          </w:tcPr>
          <w:p>
            <w:r>
              <w:rPr>
                <w:rFonts w:ascii="Calibri" w:hAnsi="Calibri"/>
                <w:b/>
                <w:i w:val="0"/>
                <w:color w:val="1E7A46"/>
                <w:sz w:val="21"/>
              </w:rPr>
              <w:t>Desplegada — validación con usuarios pendiente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50" w:type="dxa"/>
              <w:start w:w="180" w:type="dxa"/>
              <w:bottom w:w="150" w:type="dxa"/>
              <w:end w:w="180" w:type="dxa"/>
            </w:tcMar>
            <w:vAlign w:val="center"/>
            <w:shd w:fill="F4EFF7" w:val="clear"/>
            <w:tcBorders>
              <w:start w:val="single" w:sz="22" w:color="4F2868" w:space="0"/>
              <w:top w:val="nil"/>
              <w:bottom w:val="nil"/>
              <w:end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4F2868"/>
                <w:sz w:val="22"/>
              </w:rPr>
              <w:t xml:space="preserve">Historia de usuario: </w:t>
            </w:r>
            <w:r>
              <w:rPr>
                <w:rFonts w:ascii="Calibri" w:hAnsi="Calibri"/>
                <w:b w:val="0"/>
                <w:i w:val="0"/>
                <w:color w:val="2A1336"/>
                <w:sz w:val="22"/>
              </w:rPr>
              <w:t>Como usuario, quiero filtrar oportunidades con controles claros en desktop y móvil para encontrar propiedades con menos esfuerzo.</w:t>
            </w:r>
          </w:p>
        </w:tc>
      </w:tr>
    </w:tbl>
    <w:p>
      <w:pPr>
        <w:spacing w:after="40"/>
      </w:pP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1E7A46"/>
          <w:sz w:val="22"/>
        </w:rPr>
        <w:t xml:space="preserve">Cumplido: </w:t>
      </w:r>
      <w:r>
        <w:rPr>
          <w:rFonts w:ascii="Calibri" w:hAnsi="Calibri"/>
          <w:b w:val="0"/>
          <w:i w:val="0"/>
          <w:color w:val="2A1336"/>
          <w:sz w:val="22"/>
        </w:rPr>
        <w:t>Usar un panel lateral de filtros en desktop aprovechando el espacio disponible.</w:t>
      </w: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1E7A46"/>
          <w:sz w:val="22"/>
        </w:rPr>
        <w:t xml:space="preserve">Cumplido: </w:t>
      </w:r>
      <w:r>
        <w:rPr>
          <w:rFonts w:ascii="Calibri" w:hAnsi="Calibri"/>
          <w:b w:val="0"/>
          <w:i w:val="0"/>
          <w:color w:val="2A1336"/>
          <w:sz w:val="22"/>
        </w:rPr>
        <w:t>Adaptar los filtros y resultados a móvil sin perder el contexto.</w:t>
      </w:r>
    </w:p>
    <w:p>
      <w:pPr>
        <w:numPr>
          <w:ilvl w:val="0"/>
          <w:numId w:val="10"/>
        </w:numPr>
        <w:spacing w:after="140" w:line="280" w:lineRule="auto"/>
      </w:pPr>
      <w:r>
        <w:rPr>
          <w:rFonts w:ascii="Calibri" w:hAnsi="Calibri"/>
          <w:b/>
          <w:i w:val="0"/>
          <w:color w:val="8A6300"/>
          <w:sz w:val="22"/>
        </w:rPr>
        <w:t xml:space="preserve">Parcial: </w:t>
      </w:r>
      <w:r>
        <w:rPr>
          <w:rFonts w:ascii="Calibri" w:hAnsi="Calibri"/>
          <w:b w:val="0"/>
          <w:i w:val="0"/>
          <w:color w:val="2A1336"/>
          <w:sz w:val="22"/>
        </w:rPr>
        <w:t>Validar accesibilidad y comprensión con usuarios representativos.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 xml:space="preserve">Evidencia. </w:t>
      </w:r>
      <w:r>
        <w:rPr>
          <w:rFonts w:ascii="Calibri" w:hAnsi="Calibri"/>
          <w:b w:val="0"/>
          <w:i w:val="0"/>
          <w:color w:val="2A1336"/>
          <w:sz w:val="22"/>
        </w:rPr>
        <w:t>Panel lateral ampliado, filtros responsive y recorridos E2E de búsqueda aprobados.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 xml:space="preserve">Para cerrar. </w:t>
      </w:r>
      <w:r>
        <w:rPr>
          <w:rFonts w:ascii="Calibri" w:hAnsi="Calibri"/>
          <w:b w:val="0"/>
          <w:i w:val="0"/>
          <w:color w:val="2A1336"/>
          <w:sz w:val="22"/>
        </w:rPr>
        <w:t>Ejecutar una sesión de usabilidad y cerrar hallazgos WCAG prioritarios.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50" w:type="dxa"/>
              <w:start w:w="180" w:type="dxa"/>
              <w:bottom w:w="150" w:type="dxa"/>
              <w:end w:w="180" w:type="dxa"/>
            </w:tcMar>
            <w:vAlign w:val="center"/>
            <w:shd w:fill="FFF9D9" w:val="clear"/>
            <w:tcBorders>
              <w:start w:val="single" w:sz="22" w:color="8A6300" w:space="0"/>
              <w:top w:val="nil"/>
              <w:bottom w:val="nil"/>
              <w:end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8A6300"/>
                <w:sz w:val="22"/>
              </w:rPr>
              <w:t xml:space="preserve">Alcance transversal de Fase 2: </w:t>
            </w:r>
            <w:r>
              <w:rPr>
                <w:rFonts w:ascii="Calibri" w:hAnsi="Calibri"/>
                <w:b w:val="0"/>
                <w:i w:val="0"/>
                <w:color w:val="2A1336"/>
                <w:sz w:val="22"/>
              </w:rPr>
              <w:t>El despliegue público, la seguridad de credenciales, la observabilidad y la robustez de producción son habilitadores técnicos de estas HU. Se reportan como condiciones de salida, no como historias independientes, para evitar duplicar el porcentaje.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>
        <w:t>5. Próximos pasos vinculados a las HU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750"/>
        <w:gridCol w:w="3050"/>
        <w:gridCol w:w="4110"/>
      </w:tblGrid>
      <w:tr>
        <w:trPr>
          <w:tblHeader w:val="true"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2A1336" w:val="clea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HU</w:t>
            </w:r>
          </w:p>
        </w:tc>
        <w:tc>
          <w:tcPr>
            <w:tcW w:type="dxa" w:w="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2A1336" w:val="clea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Prio.</w:t>
            </w:r>
          </w:p>
        </w:tc>
        <w:tc>
          <w:tcPr>
            <w:tcW w:type="dxa" w:w="3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2A1336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Próxima acción</w:t>
            </w:r>
          </w:p>
        </w:tc>
        <w:tc>
          <w:tcPr>
            <w:tcW w:type="dxa" w:w="4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2A1336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Criterio de cierre</w:t>
            </w:r>
          </w:p>
        </w:tc>
      </w:tr>
      <w:tr>
        <w:tc>
          <w:tcPr>
            <w:tcW w:type="dxa" w:w="145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Todas</w:t>
            </w:r>
          </w:p>
        </w:tc>
        <w:tc>
          <w:tcPr>
            <w:tcW w:type="dxa" w:w="750"/>
            <w:shd w:fill="FDECEC" w:val="clea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P0</w:t>
            </w:r>
          </w:p>
        </w:tc>
        <w:tc>
          <w:tcPr>
            <w:tcW w:type="dxa" w:w="305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Validar esta matriz y convertirla en backlog oficial.</w:t>
            </w:r>
          </w:p>
        </w:tc>
        <w:tc>
          <w:tcPr>
            <w:tcW w:type="dxa" w:w="411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Cada HU tiene redacción, criterios, prioridad y aprobación.</w:t>
            </w:r>
          </w:p>
        </w:tc>
      </w:tr>
      <w:tr>
        <w:tc>
          <w:tcPr>
            <w:tcW w:type="dxa" w:w="145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HU-F1-02/03</w:t>
            </w:r>
          </w:p>
        </w:tc>
        <w:tc>
          <w:tcPr>
            <w:tcW w:type="dxa" w:w="750"/>
            <w:shd w:fill="FDECEC" w:val="clea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P0</w:t>
            </w:r>
          </w:p>
        </w:tc>
        <w:tc>
          <w:tcPr>
            <w:tcW w:type="dxa" w:w="305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Uniformar eventos de ciclo de vida Portal y Bancos.</w:t>
            </w:r>
          </w:p>
        </w:tc>
        <w:tc>
          <w:tcPr>
            <w:tcW w:type="dxa" w:w="411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Las muestras tienen historial completo y reproducible.</w:t>
            </w:r>
          </w:p>
        </w:tc>
      </w:tr>
      <w:tr>
        <w:tc>
          <w:tcPr>
            <w:tcW w:type="dxa" w:w="145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HU-F1-04</w:t>
            </w:r>
          </w:p>
        </w:tc>
        <w:tc>
          <w:tcPr>
            <w:tcW w:type="dxa" w:w="750"/>
            <w:shd w:fill="FFF5D6" w:val="clea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P1</w:t>
            </w:r>
          </w:p>
        </w:tc>
        <w:tc>
          <w:tcPr>
            <w:tcW w:type="dxa" w:w="305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Cerrar normalización y comparación de boletines AVAL.</w:t>
            </w:r>
          </w:p>
        </w:tc>
        <w:tc>
          <w:tcPr>
            <w:tcW w:type="dxa" w:w="411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Ciudades, duplicados y cambios quedan trazables.</w:t>
            </w:r>
          </w:p>
        </w:tc>
      </w:tr>
      <w:tr>
        <w:tc>
          <w:tcPr>
            <w:tcW w:type="dxa" w:w="145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HU-F2-05</w:t>
            </w:r>
          </w:p>
        </w:tc>
        <w:tc>
          <w:tcPr>
            <w:tcW w:type="dxa" w:w="750"/>
            <w:shd w:fill="FFF5D6" w:val="clea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P1</w:t>
            </w:r>
          </w:p>
        </w:tc>
        <w:tc>
          <w:tcPr>
            <w:tcW w:type="dxa" w:w="305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Consolidar piloto de arriendos.</w:t>
            </w:r>
          </w:p>
        </w:tc>
        <w:tc>
          <w:tcPr>
            <w:tcW w:type="dxa" w:w="411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El canon solo aparece con cobertura y confianza acordadas.</w:t>
            </w:r>
          </w:p>
        </w:tc>
      </w:tr>
      <w:tr>
        <w:tc>
          <w:tcPr>
            <w:tcW w:type="dxa" w:w="145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HU-F2-03</w:t>
            </w:r>
          </w:p>
        </w:tc>
        <w:tc>
          <w:tcPr>
            <w:tcW w:type="dxa" w:w="750"/>
            <w:shd w:fill="FFF5D6" w:val="clea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P1</w:t>
            </w:r>
          </w:p>
        </w:tc>
        <w:tc>
          <w:tcPr>
            <w:tcW w:type="dxa" w:w="305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Operar alertas recurrentes con canary.</w:t>
            </w:r>
          </w:p>
        </w:tc>
        <w:tc>
          <w:tcPr>
            <w:tcW w:type="dxa" w:w="411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Cada alerta llega una vez y queda registrada.</w:t>
            </w:r>
          </w:p>
        </w:tc>
      </w:tr>
      <w:tr>
        <w:tc>
          <w:tcPr>
            <w:tcW w:type="dxa" w:w="145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HU-F2-02/04</w:t>
            </w:r>
          </w:p>
        </w:tc>
        <w:tc>
          <w:tcPr>
            <w:tcW w:type="dxa" w:w="750"/>
            <w:shd w:fill="FFF5D6" w:val="clea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P1</w:t>
            </w:r>
          </w:p>
        </w:tc>
        <w:tc>
          <w:tcPr>
            <w:tcW w:type="dxa" w:w="305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Cerrar permisos, roles y auditoría.</w:t>
            </w:r>
          </w:p>
        </w:tc>
        <w:tc>
          <w:tcPr>
            <w:tcW w:type="dxa" w:w="411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Cuenta, plan y administración respetan políticas verificables.</w:t>
            </w:r>
          </w:p>
        </w:tc>
      </w:tr>
      <w:tr>
        <w:tc>
          <w:tcPr>
            <w:tcW w:type="dxa" w:w="145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HU-F2-06</w:t>
            </w:r>
          </w:p>
        </w:tc>
        <w:tc>
          <w:tcPr>
            <w:tcW w:type="dxa" w:w="750"/>
            <w:shd w:fill="F2F4F7" w:val="clea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P2</w:t>
            </w:r>
          </w:p>
        </w:tc>
        <w:tc>
          <w:tcPr>
            <w:tcW w:type="dxa" w:w="305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Retomar Wompi cuando existan credenciales.</w:t>
            </w:r>
          </w:p>
        </w:tc>
        <w:tc>
          <w:tcPr>
            <w:tcW w:type="dxa" w:w="411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Una transacción Sandbox aprobada activa Pro correctamente.</w:t>
            </w:r>
          </w:p>
        </w:tc>
      </w:tr>
    </w:tbl>
    <w:p>
      <w:pPr>
        <w:pStyle w:val="Heading1"/>
        <w:keepNext/>
      </w:pPr>
      <w:r>
        <w:t>6. Preguntas de validación por HU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HU-F1-01: ¿qué radio o ampliación geográfica debe aceptar el motor de comparables?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HU-F1-02: ¿durante cuánto tiempo debe mostrarse el histórico de retirados o expirados?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HU-F1-03/HU-F1-04: ¿qué atributos mínimos permiten publicar una ficha incompleta?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HU-F1-04: ¿las insignias del boletín AVAL son autoritativas o deben recalcularse?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HU-F1-05: ¿qué evidencia es suficiente cuando un remate no tiene imagen original?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HU-F2-02: ¿qué funcionalidades exactas pertenecen a cada plan y qué límites aplican?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HU-F2-03: ¿con qué frecuencia y bajo qué preferencias deben enviarse alertas?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HU-F2-05: ¿qué ciudades, tipos de inmueble y muestra mínima se priorizan para arriendos?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HU-F2-06: ¿se confirma que Wompi queda aplazado hasta contar con datos reales del comercio?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Fases 1 y 2: ¿qué peso tendrá cada fase para calcular un porcentaje global aceptado?</w:t>
      </w:r>
    </w:p>
    <w:p>
      <w:r>
        <w:br w:type="page"/>
      </w:r>
    </w:p>
    <w:p>
      <w:pPr>
        <w:pStyle w:val="Heading1"/>
        <w:keepNext/>
      </w:pPr>
      <w:r>
        <w:t>7. Guion para presentar el avance por historias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Explicar que se trazaron cinco HU de Fase 1 y siete HU de Fase 2.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Presentar por separado el 84% de Fase 1 y el 75% técnico de Fase 2.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Demostrar HU-F1-01 con una propiedad y sus comparables CRECE.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Demostrar HU-F1-03 y HU-F1-05 con un activo bancario y un remate.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Demostrar HU-F2-01, HU-F2-03 y HU-F2-07 con acceso, alertas y filtros.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Mostrar HU-F2-05 como piloto y HU-F2-06 como integración preparada, no terminada.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Revisar los criterios parciales sin llamarlos terminados.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Cerrar solicitando respuesta a las preguntas de la sección 6.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50" w:type="dxa"/>
              <w:start w:w="180" w:type="dxa"/>
              <w:bottom w:w="150" w:type="dxa"/>
              <w:end w:w="180" w:type="dxa"/>
            </w:tcMar>
            <w:vAlign w:val="center"/>
            <w:shd w:fill="F4EFF7" w:val="clear"/>
            <w:tcBorders>
              <w:start w:val="single" w:sz="22" w:color="4F2868" w:space="0"/>
              <w:top w:val="nil"/>
              <w:bottom w:val="nil"/>
              <w:end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4F2868"/>
                <w:sz w:val="22"/>
              </w:rPr>
              <w:t xml:space="preserve">Mensaje central: </w:t>
            </w:r>
            <w:r>
              <w:rPr>
                <w:rFonts w:ascii="Calibri" w:hAnsi="Calibri"/>
                <w:b w:val="0"/>
                <w:i w:val="0"/>
                <w:color w:val="2A1336"/>
                <w:sz w:val="22"/>
              </w:rPr>
              <w:t>Las historias de Fase 1 y Fase 2 se están ejecutando y cuentan con evidencia. El siguiente paso es validar criterios, aprobar el peso de cada fase y convertir esta matriz en el control oficial de alcance y aceptación.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8. Evidencia técnica asociada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TypeScript: compilación sin errores.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Pruebas unitarias e integración: suite completa aprobada sin fallos en el corte.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Recorridos E2E locales: suite crítica aprobada sin fallos en el corte.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E2E cubiertos: dashboard, Bancos, Remates, arriendos/rentabilidad, guardados, login, disponibilidad del acceso con Google, checkout demo, móvil, filtros y estados de carga.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Versión evaluada: bbd704c.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Producción: https://joinsclee-radar.juno8i.easypanel.host/</w:t>
      </w:r>
    </w:p>
    <w:p>
      <w:r>
        <w:br w:type="page"/>
      </w:r>
    </w:p>
    <w:p>
      <w:pPr>
        <w:pStyle w:val="Heading1"/>
        <w:keepNext/>
      </w:pPr>
      <w:r>
        <w:t>9. Documentos fuente de las HU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Radar de Oportunidades — Documentación y Propuesta.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Radar CRECE — Índice Maestro HU Fase 1.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Radar CRECE — Especificación Motor de Comparables v1.2.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HU Núcleo Motor de Comparables.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HU Rango de Precio y Vigencia del Motor Radar.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HU Motor de Activos Bancarios.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HU Motor de Activos Bancarios — Grupo AVAL.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HU Motor de Remates Judiciales.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Hoja de ruta del documento inicial: Google, freemium, alertas, panel, comparador y rentabilidad.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Decisiones posteriores del cliente: Resend, Wompi, filtros laterales y comparables de arriendo.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50" w:type="dxa"/>
              <w:start w:w="180" w:type="dxa"/>
              <w:bottom w:w="150" w:type="dxa"/>
              <w:end w:w="180" w:type="dxa"/>
            </w:tcMar>
            <w:vAlign w:val="center"/>
            <w:shd w:fill="FFF9D9" w:val="clear"/>
            <w:tcBorders>
              <w:start w:val="single" w:sz="22" w:color="8A6300" w:space="0"/>
              <w:top w:val="nil"/>
              <w:bottom w:val="nil"/>
              <w:end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8A6300"/>
                <w:sz w:val="22"/>
              </w:rPr>
              <w:t xml:space="preserve">Control recomendado: </w:t>
            </w:r>
            <w:r>
              <w:rPr>
                <w:rFonts w:ascii="Calibri" w:hAnsi="Calibri"/>
                <w:b w:val="0"/>
                <w:i w:val="0"/>
                <w:color w:val="2A1336"/>
                <w:sz w:val="22"/>
              </w:rPr>
              <w:t>A partir de la validación, ninguna funcionalidad nueva debería entrar al alcance sin un ID de HU, criterios de aceptación, prioridad y aprobación del cliente.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tblLayout w:type="fixed"/>
      <w:tblLook w:firstColumn="1" w:firstRow="1" w:lastColumn="0" w:lastRow="0" w:noHBand="0" w:noVBand="1" w:val="04A0"/>
      <w:tblInd w:w="0" w:type="dxa"/>
    </w:tblPr>
    <w:tblGrid>
      <w:gridCol w:w="6500"/>
      <w:gridCol w:w="2860"/>
    </w:tblGrid>
    <w:tr>
      <w:tc>
        <w:tcPr>
          <w:tcW w:type="dxa" w:w="6500"/>
          <w:tcMar>
            <w:top w:w="40" w:type="dxa"/>
            <w:start w:w="0" w:type="dxa"/>
            <w:bottom w:w="0" w:type="dxa"/>
            <w:end w:w="0" w:type="dxa"/>
          </w:tcMar>
          <w:vAlign w:val="center"/>
          <w:tcBorders>
            <w:top w:val="single" w:sz="5" w:color="D9DDE3" w:space="0"/>
          </w:tcBorders>
        </w:tcPr>
        <w:p>
          <w:r>
            <w:rPr>
              <w:rFonts w:ascii="Calibri" w:hAnsi="Calibri"/>
              <w:b w:val="0"/>
              <w:i w:val="0"/>
              <w:color w:val="655B69"/>
              <w:sz w:val="17"/>
            </w:rPr>
            <w:t>Corte: 25 de julio de 2026  •  Documento de trabajo para validación</w:t>
          </w:r>
        </w:p>
      </w:tc>
      <w:tc>
        <w:tcPr>
          <w:tcW w:type="dxa" w:w="2860"/>
          <w:tcMar>
            <w:top w:w="40" w:type="dxa"/>
            <w:start w:w="0" w:type="dxa"/>
            <w:bottom w:w="0" w:type="dxa"/>
            <w:end w:w="0" w:type="dxa"/>
          </w:tcMar>
          <w:vAlign w:val="center"/>
          <w:tcBorders>
            <w:top w:val="single" w:sz="5" w:color="D9DDE3" w:space="0"/>
          </w:tcBorders>
        </w:tcPr>
        <w:p>
          <w:pPr>
            <w:jc w:val="right"/>
          </w:pPr>
          <w:r>
            <w:rPr>
              <w:rFonts w:ascii="Calibri" w:hAnsi="Calibri"/>
              <w:b w:val="0"/>
              <w:i w:val="0"/>
              <w:color w:val="655B69"/>
              <w:sz w:val="18"/>
            </w:rPr>
            <w:fldChar w:fldCharType="begin"/>
            <w:instrText xml:space="preserve"> PAGE </w:instrText>
            <w:fldChar w:fldCharType="separate"/>
            <w:t>1</w: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</w:pPr>
  </w:p>
  <w:tbl>
    <w:tblPr>
      <w:tblW w:type="dxa" w:w="9360"/>
      <w:tblLayout w:type="fixed"/>
      <w:tblLook w:firstColumn="1" w:firstRow="1" w:lastColumn="0" w:lastRow="0" w:noHBand="0" w:noVBand="1" w:val="04A0"/>
      <w:tblInd w:w="0" w:type="dxa"/>
    </w:tblPr>
    <w:tblGrid>
      <w:gridCol w:w="5200"/>
      <w:gridCol w:w="4160"/>
    </w:tblGrid>
    <w:tr>
      <w:tc>
        <w:tcPr>
          <w:tcW w:type="dxa" w:w="5200"/>
          <w:tcMar>
            <w:top w:w="0" w:type="dxa"/>
            <w:start w:w="0" w:type="dxa"/>
            <w:bottom w:w="40" w:type="dxa"/>
            <w:end w:w="0" w:type="dxa"/>
          </w:tcMar>
          <w:vAlign w:val="center"/>
          <w:tcBorders>
            <w:bottom w:val="single" w:sz="5" w:color="D9DDE3" w:space="0"/>
          </w:tcBorders>
        </w:tcPr>
        <w:p>
          <w:r>
            <w:rPr>
              <w:rFonts w:ascii="Calibri" w:hAnsi="Calibri"/>
              <w:b/>
              <w:i w:val="0"/>
              <w:color w:val="655B69"/>
              <w:sz w:val="17"/>
            </w:rPr>
            <w:t>RADAR CRECE  |  HISTORIAS DE USUARIO</w:t>
          </w:r>
        </w:p>
      </w:tc>
      <w:tc>
        <w:tcPr>
          <w:tcW w:type="dxa" w:w="4160"/>
          <w:tcMar>
            <w:top w:w="0" w:type="dxa"/>
            <w:start w:w="0" w:type="dxa"/>
            <w:bottom w:w="40" w:type="dxa"/>
            <w:end w:w="0" w:type="dxa"/>
          </w:tcMar>
          <w:vAlign w:val="center"/>
          <w:tcBorders>
            <w:bottom w:val="single" w:sz="5" w:color="D9DDE3" w:space="0"/>
          </w:tcBorders>
        </w:tcPr>
        <w:p>
          <w:pPr>
            <w:jc w:val="right"/>
          </w:pPr>
          <w:r>
            <w:rPr>
              <w:rFonts w:ascii="Calibri" w:hAnsi="Calibri"/>
              <w:b w:val="0"/>
              <w:i w:val="0"/>
              <w:color w:val="655B69"/>
              <w:sz w:val="17"/>
            </w:rPr>
            <w:t>Documento de avance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nsid w:val="00000009"/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after="160" w:line="280" w:lineRule="auto"/>
      </w:pPr>
      <w:rPr>
        <w:rFonts w:ascii="Calibri" w:hAnsi="Calibri"/>
      </w:rPr>
    </w:lvl>
  </w:abstractNum>
  <w:num w:numId="10">
    <w:abstractNumId w:val="9"/>
  </w:num>
  <w:abstractNum w:abstractNumId="10">
    <w:nsid w:val="0000000A"/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after="160" w:line="280" w:lineRule="auto"/>
      </w:pPr>
      <w:rPr>
        <w:rFonts w:ascii="Calibri" w:hAnsi="Calibri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2A133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4F286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4F286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2A133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Seguimiento de Historias de Usuario — Fases 1 y 2 — Radar de Oportunidades</dc:title>
  <dc:subject>HU de Fase 1 y Fase 2, criterios de aceptación, evidencia y próximos pasos</dc:subject>
  <dc:creator>Equipo de desarrollo Radar CRECE</dc:creator>
  <cp:keywords>Radar, CRECE, historias de usuario, trazabilidad, avance, fase 1, fase 2</cp:keywords>
  <dc:description>Documento preparado para revisión y validación con el cliente.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