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" w:hAnsi="Calibri"/>
          <w:b/>
          <w:i w:val="0"/>
          <w:color w:val="2E74B5"/>
          <w:sz w:val="20"/>
        </w:rPr>
        <w:t>INFORME DE AVANCE DE PRODUCTO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52"/>
        </w:rPr>
        <w:t>Radar de Oportunidades</w:t>
        <w:br/>
        <w:t>Fase 2</w:t>
      </w:r>
    </w:p>
    <w:p>
      <w:pPr>
        <w:spacing w:after="360"/>
      </w:pPr>
      <w:r>
        <w:rPr>
          <w:rFonts w:ascii="Calibri" w:hAnsi="Calibri"/>
          <w:b w:val="0"/>
          <w:i w:val="0"/>
          <w:color w:val="5F6368"/>
          <w:sz w:val="26"/>
        </w:rPr>
        <w:t>Base comercial, alertas, comparador, rentabilidad y operación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shd w:fill="17365D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8"/>
              </w:rPr>
              <w:t>67%</w:t>
            </w:r>
          </w:p>
        </w:tc>
        <w:tc>
          <w:tcPr>
            <w:tcW w:type="dxa" w:w="7560"/>
            <w:shd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Conclusión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Fase 1 permanece en 84%. La Fase 2 comercial alcanza 67% con un recorrido funcional validado en local; pagos, correo entregado, canon observado e integraciones todavía requieren decisiones externas.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PREPARADO PARA</w:t>
            </w:r>
          </w:p>
        </w:tc>
        <w:tc>
          <w:tcPr>
            <w:tcW w:type="dxa" w:w="70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20"/>
              </w:rPr>
              <w:t>Andrés Giraldo</w:t>
            </w:r>
          </w:p>
        </w:tc>
      </w:tr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CORTE</w:t>
            </w:r>
          </w:p>
        </w:tc>
        <w:tc>
          <w:tcPr>
            <w:tcW w:type="dxa" w:w="70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20"/>
              </w:rPr>
              <w:t>24 de julio de 2026</w:t>
            </w:r>
          </w:p>
        </w:tc>
      </w:tr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ESTADO</w:t>
            </w:r>
          </w:p>
        </w:tc>
        <w:tc>
          <w:tcPr>
            <w:tcW w:type="dxa" w:w="70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20"/>
              </w:rPr>
              <w:t>Listo para demostración local; no desplegado</w:t>
            </w:r>
          </w:p>
        </w:tc>
      </w:tr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VERSIÓN LOCAL</w:t>
            </w:r>
          </w:p>
        </w:tc>
        <w:tc>
          <w:tcPr>
            <w:tcW w:type="dxa" w:w="70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20"/>
              </w:rPr>
              <w:t>f606520</w:t>
            </w:r>
          </w:p>
        </w:tc>
      </w:tr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6"/>
              </w:rPr>
              <w:t>PRODUCCIÓN VIGENTE</w:t>
            </w:r>
          </w:p>
        </w:tc>
        <w:tc>
          <w:tcPr>
            <w:tcW w:type="dxa" w:w="70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20"/>
              </w:rPr>
              <w:t>joinsclee-radar.juno8i.easypanel.host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6DD"/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  <w:insideH w:val="single" w:sz="4" w:color="FFF6DD"/>
              <w:insideV w:val="single" w:sz="4" w:color="FFF6DD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B00"/>
                <w:sz w:val="22"/>
              </w:rPr>
              <w:t>Lectura honesta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El término Fase 2 se usó históricamente para remates y después para la expansión comercial. Este informe separa ambos alcances para no inflar el avance.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Calibri" w:hAnsi="Calibri"/>
          <w:b w:val="0"/>
          <w:i w:val="0"/>
          <w:color w:val="202124"/>
          <w:sz w:val="22"/>
        </w:rPr>
        <w:t>El compromiso de llegar a por lo menos 80% de la Fase 1 ya se cumplió. El corte defendible de esa fase sigue siendo 84%. La ejecución actual agrega una base comercial y operativa de Fase 2 sin convertir maquetas en promesas.</w:t>
      </w:r>
    </w:p>
    <w:p>
      <w:pPr>
        <w:pStyle w:val="Heading2"/>
      </w:pPr>
      <w:r>
        <w:t>Dos significados de Fase 2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Fase 2 técnica original: motor de remates judiciales, aproximadamente 92%.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Fase 2 comercial/expansión: planes, alertas, rentabilidad, comparador, administración, pagos e integraciones, aproximadamente 67%.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5EF"/>
            <w:tcBorders>
              <w:top w:val="single" w:sz="4" w:color="EAF5EF"/>
              <w:left w:val="single" w:sz="4" w:color="EAF5EF"/>
              <w:bottom w:val="single" w:sz="4" w:color="EAF5EF"/>
              <w:right w:val="single" w:sz="4" w:color="EAF5EF"/>
              <w:insideH w:val="single" w:sz="4" w:color="EAF5EF"/>
              <w:insideV w:val="single" w:sz="4" w:color="EAF5EF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37A57"/>
                <w:sz w:val="22"/>
              </w:rPr>
              <w:t>Dictamen para el cliente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El producto supera el 80% comprometido para Fase 1 y la Fase 2 comercial ya tiene un recorrido demostrable en local. Todavía no debe venderse como monetización o notificaciones plenamente operativas.</w:t>
            </w:r>
          </w:p>
        </w:tc>
      </w:tr>
    </w:tbl>
    <w:p>
      <w:pPr>
        <w:spacing w:after="0"/>
      </w:pPr>
    </w:p>
    <w:p>
      <w:pPr>
        <w:pStyle w:val="Heading2"/>
      </w:pPr>
      <w:r>
        <w:t>Qué puede demostrarse hoy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Planes Free y Pro con límites de acceso reales.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Centro de cuenta, sincronización y alertas persistentes.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Comparador de dos o tres inmuebles guardados.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Rentabilidad bruta y neta a partir de canon declarado.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Panel administrativo agregado y exportación de cuenta.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Degradación segura cuando correo o pagos no están configurados.</w:t>
      </w:r>
    </w:p>
    <w:p>
      <w:r>
        <w:br w:type="page"/>
      </w:r>
    </w:p>
    <w:p>
      <w:pPr>
        <w:pStyle w:val="Heading1"/>
      </w:pPr>
      <w:r>
        <w:t>2. Entregables del corte</w:t>
      </w:r>
    </w:p>
    <w:p>
      <w:pPr>
        <w:pStyle w:val="Heading2"/>
      </w:pPr>
      <w:r>
        <w:t>Planes y acceso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Catálogo API y página pública /planes.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Precio Pro explícitamente por definir; no hay cobro simulado.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Solicitud de plan y compatibilidad con marcas históricas de suscripción.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Una alerta para Free y hasta cinco para Pro.</w:t>
      </w:r>
    </w:p>
    <w:p>
      <w:pPr>
        <w:pStyle w:val="Heading2"/>
      </w:pPr>
      <w:r>
        <w:t>Cuenta y alertas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Centro /cuenta y continuidad de preferencias, simulaciones y alertas.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Validación separada de entradas y alertas persistidas.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Historial de entrega, idempotencia y reintentos escalonados.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Adaptador Resend y proceso semanal protegido.</w:t>
      </w:r>
    </w:p>
    <w:p>
      <w:pPr>
        <w:pStyle w:val="Heading2"/>
      </w:pPr>
      <w:r>
        <w:t>Comparación y rentabilidad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Comparador /comparador con criterios homogéneos.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Respeto del muro de acceso al recuperar favoritos.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Rentabilidad bruta y neta con vacancia, mantenimiento y administración.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Exportación CSV y separación entre canon declarado y observado.</w:t>
      </w:r>
    </w:p>
    <w:p>
      <w:pPr>
        <w:pStyle w:val="Heading2"/>
      </w:pPr>
      <w:r>
        <w:t>Administración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Panel /admin protegido por rol.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Usuarios, embudo Pro, alertas, perfiles y estado de entregas.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Exportación JSON sin contraseñas ni tokens.</w:t>
      </w:r>
    </w:p>
    <w:p>
      <w:r>
        <w:br w:type="page"/>
      </w:r>
    </w:p>
    <w:p>
      <w:pPr>
        <w:pStyle w:val="Heading1"/>
      </w:pPr>
      <w:r>
        <w:t>3. Avance ponderado de Fase 2 comercial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000"/>
        <w:gridCol w:w="1200"/>
        <w:gridCol w:w="1500"/>
        <w:gridCol w:w="1660"/>
      </w:tblGrid>
      <w:tr>
        <w:trPr>
          <w:tblHeader w:val="true"/>
        </w:trPr>
        <w:tc>
          <w:tcPr>
            <w:tcW w:type="dxa" w:w="50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</w:t>
            </w:r>
          </w:p>
        </w:tc>
        <w:tc>
          <w:tcPr>
            <w:tcW w:type="dxa" w:w="12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5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Cumpl.</w:t>
            </w:r>
          </w:p>
        </w:tc>
        <w:tc>
          <w:tcPr>
            <w:tcW w:type="dxa" w:w="166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Aporte</w:t>
            </w:r>
          </w:p>
        </w:tc>
      </w:tr>
      <w:tr>
        <w:trPr/>
        <w:tc>
          <w:tcPr>
            <w:tcW w:type="dxa" w:w="50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Base comercial, cuenta y UX</w:t>
            </w:r>
          </w:p>
        </w:tc>
        <w:tc>
          <w:tcPr>
            <w:tcW w:type="dxa" w:w="12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15%</w:t>
            </w:r>
          </w:p>
        </w:tc>
        <w:tc>
          <w:tcPr>
            <w:tcW w:type="dxa" w:w="1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90%</w:t>
            </w:r>
          </w:p>
        </w:tc>
        <w:tc>
          <w:tcPr>
            <w:tcW w:type="dxa" w:w="16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13,5</w:t>
            </w:r>
          </w:p>
        </w:tc>
      </w:tr>
      <w:tr>
        <w:trPr/>
        <w:tc>
          <w:tcPr>
            <w:tcW w:type="dxa" w:w="50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Planes, acceso y suscripción</w:t>
            </w:r>
          </w:p>
        </w:tc>
        <w:tc>
          <w:tcPr>
            <w:tcW w:type="dxa" w:w="12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15%</w:t>
            </w:r>
          </w:p>
        </w:tc>
        <w:tc>
          <w:tcPr>
            <w:tcW w:type="dxa" w:w="15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65%</w:t>
            </w:r>
          </w:p>
        </w:tc>
        <w:tc>
          <w:tcPr>
            <w:tcW w:type="dxa" w:w="16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9,8</w:t>
            </w:r>
          </w:p>
        </w:tc>
      </w:tr>
      <w:tr>
        <w:trPr/>
        <w:tc>
          <w:tcPr>
            <w:tcW w:type="dxa" w:w="50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Alertas y notificaciones</w:t>
            </w:r>
          </w:p>
        </w:tc>
        <w:tc>
          <w:tcPr>
            <w:tcW w:type="dxa" w:w="12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20%</w:t>
            </w:r>
          </w:p>
        </w:tc>
        <w:tc>
          <w:tcPr>
            <w:tcW w:type="dxa" w:w="1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85%</w:t>
            </w:r>
          </w:p>
        </w:tc>
        <w:tc>
          <w:tcPr>
            <w:tcW w:type="dxa" w:w="16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17,0</w:t>
            </w:r>
          </w:p>
        </w:tc>
      </w:tr>
      <w:tr>
        <w:trPr/>
        <w:tc>
          <w:tcPr>
            <w:tcW w:type="dxa" w:w="50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Comparador y exportación</w:t>
            </w:r>
          </w:p>
        </w:tc>
        <w:tc>
          <w:tcPr>
            <w:tcW w:type="dxa" w:w="12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15%</w:t>
            </w:r>
          </w:p>
        </w:tc>
        <w:tc>
          <w:tcPr>
            <w:tcW w:type="dxa" w:w="15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85%</w:t>
            </w:r>
          </w:p>
        </w:tc>
        <w:tc>
          <w:tcPr>
            <w:tcW w:type="dxa" w:w="16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12,8</w:t>
            </w:r>
          </w:p>
        </w:tc>
      </w:tr>
      <w:tr>
        <w:trPr/>
        <w:tc>
          <w:tcPr>
            <w:tcW w:type="dxa" w:w="50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Canon y rentabilidad</w:t>
            </w:r>
          </w:p>
        </w:tc>
        <w:tc>
          <w:tcPr>
            <w:tcW w:type="dxa" w:w="12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15%</w:t>
            </w:r>
          </w:p>
        </w:tc>
        <w:tc>
          <w:tcPr>
            <w:tcW w:type="dxa" w:w="1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35%</w:t>
            </w:r>
          </w:p>
        </w:tc>
        <w:tc>
          <w:tcPr>
            <w:tcW w:type="dxa" w:w="16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5,3</w:t>
            </w:r>
          </w:p>
        </w:tc>
      </w:tr>
      <w:tr>
        <w:trPr/>
        <w:tc>
          <w:tcPr>
            <w:tcW w:type="dxa" w:w="50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Administración</w:t>
            </w:r>
          </w:p>
        </w:tc>
        <w:tc>
          <w:tcPr>
            <w:tcW w:type="dxa" w:w="12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10%</w:t>
            </w:r>
          </w:p>
        </w:tc>
        <w:tc>
          <w:tcPr>
            <w:tcW w:type="dxa" w:w="15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75%</w:t>
            </w:r>
          </w:p>
        </w:tc>
        <w:tc>
          <w:tcPr>
            <w:tcW w:type="dxa" w:w="16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7,5</w:t>
            </w:r>
          </w:p>
        </w:tc>
      </w:tr>
      <w:tr>
        <w:trPr/>
        <w:tc>
          <w:tcPr>
            <w:tcW w:type="dxa" w:w="50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Pagos e integraciones</w:t>
            </w:r>
          </w:p>
        </w:tc>
        <w:tc>
          <w:tcPr>
            <w:tcW w:type="dxa" w:w="12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10%</w:t>
            </w:r>
          </w:p>
        </w:tc>
        <w:tc>
          <w:tcPr>
            <w:tcW w:type="dxa" w:w="1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10%</w:t>
            </w:r>
          </w:p>
        </w:tc>
        <w:tc>
          <w:tcPr>
            <w:tcW w:type="dxa" w:w="16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1,0</w:t>
            </w:r>
          </w:p>
        </w:tc>
      </w:tr>
      <w:tr>
        <w:trPr/>
        <w:tc>
          <w:tcPr>
            <w:tcW w:type="dxa" w:w="50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TOTAL</w:t>
            </w:r>
          </w:p>
        </w:tc>
        <w:tc>
          <w:tcPr>
            <w:tcW w:type="dxa" w:w="12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100%</w:t>
            </w:r>
          </w:p>
        </w:tc>
        <w:tc>
          <w:tcPr>
            <w:tcW w:type="dxa" w:w="15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6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66,8% ≈ 67%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202124"/>
          <w:sz w:val="22"/>
        </w:rPr>
        <w:t>Este porcentaje mide alcance adicional y no reduce el 84% de Fase 1. La diferencia hasta 80% se concentra en proveedores, datos autorizados y operación comercial.</w:t>
      </w:r>
    </w:p>
    <w:p>
      <w:pPr>
        <w:pStyle w:val="Heading2"/>
      </w:pPr>
      <w:r>
        <w:t>Evidencia de calidad local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800"/>
        <w:gridCol w:w="4560"/>
      </w:tblGrid>
      <w:tr>
        <w:trPr>
          <w:tblHeader w:val="true"/>
        </w:trPr>
        <w:tc>
          <w:tcPr>
            <w:tcW w:type="dxa" w:w="48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56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rPr/>
        <w:tc>
          <w:tcPr>
            <w:tcW w:type="dxa" w:w="48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TypeScript</w:t>
            </w:r>
          </w:p>
        </w:tc>
        <w:tc>
          <w:tcPr>
            <w:tcW w:type="dxa" w:w="45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Sin errores</w:t>
            </w:r>
          </w:p>
        </w:tc>
      </w:tr>
      <w:tr>
        <w:trPr/>
        <w:tc>
          <w:tcPr>
            <w:tcW w:type="dxa" w:w="48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Unitarias/integración</w:t>
            </w:r>
          </w:p>
        </w:tc>
        <w:tc>
          <w:tcPr>
            <w:tcW w:type="dxa" w:w="45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94/94</w:t>
            </w:r>
          </w:p>
        </w:tc>
      </w:tr>
      <w:tr>
        <w:trPr/>
        <w:tc>
          <w:tcPr>
            <w:tcW w:type="dxa" w:w="48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Recorridos E2E</w:t>
            </w:r>
          </w:p>
        </w:tc>
        <w:tc>
          <w:tcPr>
            <w:tcW w:type="dxa" w:w="45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6/6</w:t>
            </w:r>
          </w:p>
        </w:tc>
      </w:tr>
      <w:tr>
        <w:trPr/>
        <w:tc>
          <w:tcPr>
            <w:tcW w:type="dxa" w:w="48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Errores de consola</w:t>
            </w:r>
          </w:p>
        </w:tc>
        <w:tc>
          <w:tcPr>
            <w:tcW w:type="dxa" w:w="45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0</w:t>
            </w:r>
          </w:p>
        </w:tc>
      </w:tr>
      <w:tr>
        <w:trPr/>
        <w:tc>
          <w:tcPr>
            <w:tcW w:type="dxa" w:w="48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QA visual</w:t>
            </w:r>
          </w:p>
        </w:tc>
        <w:tc>
          <w:tcPr>
            <w:tcW w:type="dxa" w:w="45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1440×1000 y 375×812</w:t>
            </w:r>
          </w:p>
        </w:tc>
      </w:tr>
      <w:tr>
        <w:trPr/>
        <w:tc>
          <w:tcPr>
            <w:tcW w:type="dxa" w:w="48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Salud ponderada</w:t>
            </w:r>
          </w:p>
        </w:tc>
        <w:tc>
          <w:tcPr>
            <w:tcW w:type="dxa" w:w="45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98,6/100</w:t>
            </w:r>
          </w:p>
        </w:tc>
      </w:tr>
      <w:tr>
        <w:trPr/>
        <w:tc>
          <w:tcPr>
            <w:tcW w:type="dxa" w:w="48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Usuarios reales alterados</w:t>
            </w:r>
          </w:p>
        </w:tc>
        <w:tc>
          <w:tcPr>
            <w:tcW w:type="dxa" w:w="45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Stack y arquitectura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676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Tecnología / decisión</w:t>
            </w:r>
          </w:p>
        </w:tc>
      </w:tr>
      <w:tr>
        <w:trPr/>
        <w:tc>
          <w:tcPr>
            <w:tcW w:type="dxa" w:w="2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Runtime</w:t>
            </w:r>
          </w:p>
        </w:tc>
        <w:tc>
          <w:tcPr>
            <w:tcW w:type="dxa" w:w="67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Node.js 20+, TypeScript, ESM</w:t>
            </w:r>
          </w:p>
        </w:tc>
      </w:tr>
      <w:tr>
        <w:trPr/>
        <w:tc>
          <w:tcPr>
            <w:tcW w:type="dxa" w:w="2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Servidor</w:t>
            </w:r>
          </w:p>
        </w:tc>
        <w:tc>
          <w:tcPr>
            <w:tcW w:type="dxa" w:w="67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HTTP nativo de Node y API JSON</w:t>
            </w:r>
          </w:p>
        </w:tc>
      </w:tr>
      <w:tr>
        <w:trPr/>
        <w:tc>
          <w:tcPr>
            <w:tcW w:type="dxa" w:w="2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Frontend</w:t>
            </w:r>
          </w:p>
        </w:tc>
        <w:tc>
          <w:tcPr>
            <w:tcW w:type="dxa" w:w="67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HTML, CSS y JavaScript nativos</w:t>
            </w:r>
          </w:p>
        </w:tc>
      </w:tr>
      <w:tr>
        <w:trPr/>
        <w:tc>
          <w:tcPr>
            <w:tcW w:type="dxa" w:w="2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Datos</w:t>
            </w:r>
          </w:p>
        </w:tc>
        <w:tc>
          <w:tcPr>
            <w:tcW w:type="dxa" w:w="67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Supabase PostgreSQL, Auth y Storage</w:t>
            </w:r>
          </w:p>
        </w:tc>
      </w:tr>
      <w:tr>
        <w:trPr/>
        <w:tc>
          <w:tcPr>
            <w:tcW w:type="dxa" w:w="2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Validación</w:t>
            </w:r>
          </w:p>
        </w:tc>
        <w:tc>
          <w:tcPr>
            <w:tcW w:type="dxa" w:w="67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Zod</w:t>
            </w:r>
          </w:p>
        </w:tc>
      </w:tr>
      <w:tr>
        <w:trPr/>
        <w:tc>
          <w:tcPr>
            <w:tcW w:type="dxa" w:w="2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Extracción</w:t>
            </w:r>
          </w:p>
        </w:tc>
        <w:tc>
          <w:tcPr>
            <w:tcW w:type="dxa" w:w="67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Firecrawl, Playwright y parsers PDF</w:t>
            </w:r>
          </w:p>
        </w:tc>
      </w:tr>
      <w:tr>
        <w:trPr/>
        <w:tc>
          <w:tcPr>
            <w:tcW w:type="dxa" w:w="2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Motor</w:t>
            </w:r>
          </w:p>
        </w:tc>
        <w:tc>
          <w:tcPr>
            <w:tcW w:type="dxa" w:w="67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Comparables, estadística robusta e Índice CRECE</w:t>
            </w:r>
          </w:p>
        </w:tc>
      </w:tr>
      <w:tr>
        <w:trPr/>
        <w:tc>
          <w:tcPr>
            <w:tcW w:type="dxa" w:w="2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Automatización</w:t>
            </w:r>
          </w:p>
        </w:tc>
        <w:tc>
          <w:tcPr>
            <w:tcW w:type="dxa" w:w="67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node-cron y scheduler persistido</w:t>
            </w:r>
          </w:p>
        </w:tc>
      </w:tr>
      <w:tr>
        <w:trPr/>
        <w:tc>
          <w:tcPr>
            <w:tcW w:type="dxa" w:w="2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QA</w:t>
            </w:r>
          </w:p>
        </w:tc>
        <w:tc>
          <w:tcPr>
            <w:tcW w:type="dxa" w:w="67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node:test, Playwright y Chromium</w:t>
            </w:r>
          </w:p>
        </w:tc>
      </w:tr>
      <w:tr>
        <w:trPr/>
        <w:tc>
          <w:tcPr>
            <w:tcW w:type="dxa" w:w="2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Infraestructura</w:t>
            </w:r>
          </w:p>
        </w:tc>
        <w:tc>
          <w:tcPr>
            <w:tcW w:type="dxa" w:w="67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Docker, VPS y EasyPanel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Arquitectura comercial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La cuenta y las alertas reutilizan Supabase Auth para el corte inicial. Cuando el volumen o la analítica lo exijan, deben migrarse a tablas dedicadas con historial de entregas.</w:t>
            </w:r>
          </w:p>
        </w:tc>
      </w:tr>
    </w:tbl>
    <w:p>
      <w:pPr>
        <w:spacing w:after="0"/>
      </w:pPr>
    </w:p>
    <w:p>
      <w:pPr>
        <w:pStyle w:val="Heading2"/>
      </w:pPr>
      <w:r>
        <w:t>Controles incorporados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Autorización Bearer en cuenta, favoritos y administración.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Rol administrativo explícito.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Contenido premium redactado antes de salir del servidor.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Escape de contenido HTML en correos.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Idempotencia de proveedor, historial y reintentos.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Límites de abuso para endpoints sensibles.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Proceso interno cerrado si falta secreto o proveedor.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Límites y validación de payloads.</w:t>
      </w:r>
    </w:p>
    <w:p>
      <w:r>
        <w:br w:type="page"/>
      </w:r>
    </w:p>
    <w:p>
      <w:pPr>
        <w:pStyle w:val="Heading1"/>
      </w:pPr>
      <w:r>
        <w:t>5. Ruta de 67% a 80%</w:t>
      </w:r>
    </w:p>
    <w:p>
      <w:pPr>
        <w:pStyle w:val="Heading2"/>
      </w:pPr>
      <w:r>
        <w:t>Prioridad 1: activar alertas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Aprobar Resend, verificar dominio y configurar las cuatro variables.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Crear el trabajo semanal en EasyPanel.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Ejecutar un envío controlado y verificar historial, deduplicación y reintentos.</w:t>
      </w:r>
    </w:p>
    <w:p>
      <w:pPr>
        <w:pStyle w:val="Heading2"/>
      </w:pPr>
      <w:r>
        <w:t>Prioridad 2: cerrar planes y pago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Aprobar precio, moneda, periodicidad, prueba y cancelación.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Elegir proveedor de pago.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Implementar checkout, webhooks, renovación y fallo de cobro.</w:t>
      </w:r>
    </w:p>
    <w:p>
      <w:pPr>
        <w:pStyle w:val="Heading2"/>
      </w:pPr>
      <w:r>
        <w:t>Prioridad 3: canon observado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Definir una fuente legal/autorizada.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Normalizar y trazar vigencia por ciudad, zona, tipo y área.</w:t>
      </w:r>
    </w:p>
    <w:p>
      <w:pPr>
        <w:pStyle w:val="ListNumber"/>
      </w:pPr>
      <w:r>
        <w:rPr>
          <w:rFonts w:ascii="Calibri" w:hAnsi="Calibri"/>
          <w:b w:val="0"/>
          <w:i w:val="0"/>
          <w:color w:val="202124"/>
          <w:sz w:val="22"/>
        </w:rPr>
        <w:t>Separar rentabilidad declarada de rentabilidad basada en datos.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5EF"/>
            <w:tcBorders>
              <w:top w:val="single" w:sz="4" w:color="EAF5EF"/>
              <w:left w:val="single" w:sz="4" w:color="EAF5EF"/>
              <w:bottom w:val="single" w:sz="4" w:color="EAF5EF"/>
              <w:right w:val="single" w:sz="4" w:color="EAF5EF"/>
              <w:insideH w:val="single" w:sz="4" w:color="EAF5EF"/>
              <w:insideV w:val="single" w:sz="4" w:color="EAF5EF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37A57"/>
                <w:sz w:val="22"/>
              </w:rPr>
              <w:t>Condición para superar 80%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Alertas entregadas, checkout funcional y una primera fuente de canon autorizada. Las integraciones Low Ticket/Tradentia pueden quedar después si el tercero no entrega especificación.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Dependencias externas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</w:t>
            </w:r>
          </w:p>
        </w:tc>
        <w:tc>
          <w:tcPr>
            <w:tcW w:type="dxa" w:w="36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326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</w:tr>
      <w:tr>
        <w:trPr/>
        <w:tc>
          <w:tcPr>
            <w:tcW w:type="dxa" w:w="2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Precio Radar Pro</w:t>
            </w:r>
          </w:p>
        </w:tc>
        <w:tc>
          <w:tcPr>
            <w:tcW w:type="dxa" w:w="3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Tarifa y beneficios</w:t>
            </w:r>
          </w:p>
        </w:tc>
        <w:tc>
          <w:tcPr>
            <w:tcW w:type="dxa" w:w="32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Página y catálogo listos</w:t>
            </w:r>
          </w:p>
        </w:tc>
      </w:tr>
      <w:tr>
        <w:trPr/>
        <w:tc>
          <w:tcPr>
            <w:tcW w:type="dxa" w:w="25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Proveedor de pago</w:t>
            </w:r>
          </w:p>
        </w:tc>
        <w:tc>
          <w:tcPr>
            <w:tcW w:type="dxa" w:w="3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Elegir proveedor</w:t>
            </w:r>
          </w:p>
        </w:tc>
        <w:tc>
          <w:tcPr>
            <w:tcW w:type="dxa" w:w="32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No seleccionado</w:t>
            </w:r>
          </w:p>
        </w:tc>
      </w:tr>
      <w:tr>
        <w:trPr/>
        <w:tc>
          <w:tcPr>
            <w:tcW w:type="dxa" w:w="2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Resend</w:t>
            </w:r>
          </w:p>
        </w:tc>
        <w:tc>
          <w:tcPr>
            <w:tcW w:type="dxa" w:w="3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Cuenta, dominio y API key</w:t>
            </w:r>
          </w:p>
        </w:tc>
        <w:tc>
          <w:tcPr>
            <w:tcW w:type="dxa" w:w="32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Adaptador listo</w:t>
            </w:r>
          </w:p>
        </w:tc>
      </w:tr>
      <w:tr>
        <w:trPr/>
        <w:tc>
          <w:tcPr>
            <w:tcW w:type="dxa" w:w="25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EasyPanel cron</w:t>
            </w:r>
          </w:p>
        </w:tc>
        <w:tc>
          <w:tcPr>
            <w:tcW w:type="dxa" w:w="3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Secreto y horario</w:t>
            </w:r>
          </w:p>
        </w:tc>
        <w:tc>
          <w:tcPr>
            <w:tcW w:type="dxa" w:w="32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Endpoint listo</w:t>
            </w:r>
          </w:p>
        </w:tc>
      </w:tr>
      <w:tr>
        <w:trPr/>
        <w:tc>
          <w:tcPr>
            <w:tcW w:type="dxa" w:w="2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Canon</w:t>
            </w:r>
          </w:p>
        </w:tc>
        <w:tc>
          <w:tcPr>
            <w:tcW w:type="dxa" w:w="3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Fuente autorizada</w:t>
            </w:r>
          </w:p>
        </w:tc>
        <w:tc>
          <w:tcPr>
            <w:tcW w:type="dxa" w:w="32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Cálculo manual listo</w:t>
            </w:r>
          </w:p>
        </w:tc>
      </w:tr>
      <w:tr>
        <w:trPr/>
        <w:tc>
          <w:tcPr>
            <w:tcW w:type="dxa" w:w="25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Low Ticket/Tradentia</w:t>
            </w:r>
          </w:p>
        </w:tc>
        <w:tc>
          <w:tcPr>
            <w:tcW w:type="dxa" w:w="36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API o especificación</w:t>
            </w:r>
          </w:p>
        </w:tc>
        <w:tc>
          <w:tcPr>
            <w:tcW w:type="dxa" w:w="32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Pendiente externo</w:t>
            </w:r>
          </w:p>
        </w:tc>
      </w:tr>
      <w:tr>
        <w:trPr/>
        <w:tc>
          <w:tcPr>
            <w:tcW w:type="dxa" w:w="25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Administrador</w:t>
            </w:r>
          </w:p>
        </w:tc>
        <w:tc>
          <w:tcPr>
            <w:tcW w:type="dxa" w:w="36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Usuario autorizado</w:t>
            </w:r>
          </w:p>
        </w:tc>
        <w:tc>
          <w:tcPr>
            <w:tcW w:type="dxa" w:w="32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Control listo</w:t>
            </w:r>
          </w:p>
        </w:tc>
      </w:tr>
    </w:tbl>
    <w:p>
      <w:pPr>
        <w:spacing w:after="0"/>
      </w:pPr>
    </w:p>
    <w:p>
      <w:pPr>
        <w:pStyle w:val="Heading2"/>
      </w:pPr>
      <w:r>
        <w:t>Variables para alertas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RESEND_API_KEY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ALERTS_FROM_EMAIL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ALERTS_CRON_SECRET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APP_BASE_URL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6DD"/>
            <w:tcBorders>
              <w:top w:val="single" w:sz="4" w:color="FFF6DD"/>
              <w:left w:val="single" w:sz="4" w:color="FFF6DD"/>
              <w:bottom w:val="single" w:sz="4" w:color="FFF6DD"/>
              <w:right w:val="single" w:sz="4" w:color="FFF6DD"/>
              <w:insideH w:val="single" w:sz="4" w:color="FFF6DD"/>
              <w:insideV w:val="single" w:sz="4" w:color="FFF6DD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B00"/>
                <w:sz w:val="22"/>
              </w:rPr>
              <w:t>Comportamiento seguro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Sin estas variables la alerta se guarda, pero la aplicación informa que el correo sigue pendiente. El proceso devuelve 503 y no marca entregas falsas.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Límites y endurecimiento</w:t>
      </w:r>
    </w:p>
    <w:p>
      <w:pPr>
        <w:pStyle w:val="Heading2"/>
      </w:pPr>
      <w:r>
        <w:t>No debe afirmarse todavía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Que Radar Pro ya cobra o renueva.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Que las alertas ya llegan a correos reales.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Que el canon proviene de una fuente de mercado.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Que Low Ticket o Tradentia ya están integrados.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Que existe un SLA empresarial.</w:t>
      </w:r>
    </w:p>
    <w:p>
      <w:pPr>
        <w:pStyle w:val="Heading2"/>
      </w:pPr>
      <w:r>
        <w:t>Antes de apertura comercial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Frente</w:t>
            </w:r>
          </w:p>
        </w:tc>
        <w:tc>
          <w:tcPr>
            <w:tcW w:type="dxa" w:w="7060"/>
            <w:shd w:fill="17365D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rPr/>
        <w:tc>
          <w:tcPr>
            <w:tcW w:type="dxa" w:w="23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Sesión</w:t>
            </w:r>
          </w:p>
        </w:tc>
        <w:tc>
          <w:tcPr>
            <w:tcW w:type="dxa" w:w="70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Cookies HttpOnly/Secure/SameSite y CSRF</w:t>
            </w:r>
          </w:p>
        </w:tc>
      </w:tr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Abuso</w:t>
            </w:r>
          </w:p>
        </w:tc>
        <w:tc>
          <w:tcPr>
            <w:tcW w:type="dxa" w:w="70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Contadores compartidos al operar varias réplicas</w:t>
            </w:r>
          </w:p>
        </w:tc>
      </w:tr>
      <w:tr>
        <w:trPr/>
        <w:tc>
          <w:tcPr>
            <w:tcW w:type="dxa" w:w="23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Identidad</w:t>
            </w:r>
          </w:p>
        </w:tc>
        <w:tc>
          <w:tcPr>
            <w:tcW w:type="dxa" w:w="70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Verificación de correo</w:t>
            </w:r>
          </w:p>
        </w:tc>
      </w:tr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Operación</w:t>
            </w:r>
          </w:p>
        </w:tc>
        <w:tc>
          <w:tcPr>
            <w:tcW w:type="dxa" w:w="70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CI/CD, métricas, alarmas y trazas</w:t>
            </w:r>
          </w:p>
        </w:tc>
      </w:tr>
      <w:tr>
        <w:trPr/>
        <w:tc>
          <w:tcPr>
            <w:tcW w:type="dxa" w:w="230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Recuperación</w:t>
            </w:r>
          </w:p>
        </w:tc>
        <w:tc>
          <w:tcPr>
            <w:tcW w:type="dxa" w:w="7060"/>
            <w:shd w:fill="FFFFFF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Restore de backup y rollback</w:t>
            </w:r>
          </w:p>
        </w:tc>
      </w:tr>
      <w:tr>
        <w:trPr/>
        <w:tc>
          <w:tcPr>
            <w:tcW w:type="dxa" w:w="230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Calidad</w:t>
            </w:r>
          </w:p>
        </w:tc>
        <w:tc>
          <w:tcPr>
            <w:tcW w:type="dxa" w:w="7060"/>
            <w:shd w:fill="F5F7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Carga, canary y auditoría WCAG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Guion de demostración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Abrir /planes y explicar por qué no se publica una tarifa no aprobada.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Iniciar sesión y abrir /cuenta.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Mostrar preferencias sincronizadas y crear una alerta.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Guardar dos inmuebles y abrir /comparador.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Ingresar canon y administración en una ficha.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Descargar la exportación de cuenta.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Abrir /admin solo con una cuenta autorizada.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Cerrar con las dependencias para llegar a 80% de Fase 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  <w:insideH w:val="single" w:sz="4" w:color="EAF2F8"/>
              <w:insideV w:val="single" w:sz="4" w:color="EAF2F8"/>
            </w:tcBorders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Frase de cierre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“La Fase 1 ya superó el 80%. En Fase 2 ya existen planes, cuenta, alertas trazables, comparador, exportación y rentabilidad. Lo pendiente son decisiones y servicios externos que no debemos fingir.”</w:t>
            </w:r>
          </w:p>
        </w:tc>
      </w:tr>
    </w:tbl>
    <w:p>
      <w:pPr>
        <w:spacing w:after="0"/>
      </w:pPr>
    </w:p>
    <w:p>
      <w:pPr>
        <w:pStyle w:val="Heading2"/>
      </w:pPr>
      <w:r>
        <w:t>Criterio de publicación</w:t>
      </w:r>
    </w:p>
    <w:p>
      <w:r>
        <w:rPr>
          <w:rFonts w:ascii="Calibri" w:hAnsi="Calibri"/>
          <w:b w:val="0"/>
          <w:i w:val="0"/>
          <w:color w:val="202124"/>
          <w:sz w:val="22"/>
        </w:rPr>
        <w:t>No desplegar este corte hasta aprobar el texto comercial, configurar el primer canal externo y repetir el smoke test local. Después puede publicarse mediante PR y despliegue controlado.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120"/>
    </w:tblPr>
    <w:tblGrid>
      <w:gridCol w:w="7800"/>
      <w:gridCol w:w="1560"/>
    </w:tblGrid>
    <w:tr>
      <w:trPr/>
      <w:tc>
        <w:tcPr>
          <w:tcW w:type="dxa" w:w="7800"/>
          <w:vAlign w:val="center"/>
          <w:tcMar>
            <w:top w:type="dxa" w:w="80"/>
            <w:bottom w:type="dxa" w:w="80"/>
            <w:start w:type="dxa" w:w="120"/>
            <w:end w:type="dxa" w:w="120"/>
          </w:tcMar>
        </w:tcPr>
        <w:p>
          <w:r>
            <w:rPr>
              <w:rFonts w:ascii="Calibri" w:hAnsi="Calibri"/>
              <w:b w:val="0"/>
              <w:i w:val="0"/>
              <w:color w:val="5F6368"/>
              <w:sz w:val="16"/>
            </w:rPr>
            <w:t>Radar CRECE · 24 jul 2026</w:t>
          </w:r>
        </w:p>
      </w:tc>
      <w:tc>
        <w:tcPr>
          <w:tcW w:type="dxa" w:w="1560"/>
          <w:vAlign w:val="center"/>
          <w:tcMar>
            <w:top w:type="dxa" w:w="80"/>
            <w:bottom w:type="dxa" w:w="80"/>
            <w:start w:type="dxa" w:w="120"/>
            <w:end w:type="dxa" w:w="120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5F6368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color="DADCE0"/>
      </w:pBdr>
    </w:pPr>
    <w:r>
      <w:rPr>
        <w:rFonts w:ascii="Calibri" w:hAnsi="Calibri"/>
        <w:b/>
        <w:i w:val="0"/>
        <w:color w:val="17365D"/>
        <w:sz w:val="16"/>
      </w:rPr>
      <w:t>RADAR DE OPORTUNIDADES  /  FASE 2</w:t>
    </w:r>
    <w:r>
      <w:rPr>
        <w:rFonts w:ascii="Calibri" w:hAnsi="Calibri"/>
        <w:b/>
        <w:i w:val="0"/>
        <w:color w:val="2E74B5"/>
        <w:sz w:val="16"/>
      </w:rPr>
      <w:t xml:space="preserve">     INFORME VERIFICABLE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de Oportunidades - Informe de avance Fase 2</dc:title>
  <dc:subject>Estado funcional, QA, stack y pendientes externos</dc:subject>
  <dc:creator>Equipo Radar CRECE</dc:creator>
  <cp:keywords>Radar CRECE, Fase 2, planes, alertas, comparador, rentabilidad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