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77777777">
      <w:pPr>
        <w:spacing w:line="480" w:lineRule="auto"/>
        <w:jc w:val="center"/>
      </w:pPr>
      <w:r>
        <w:rPr>
          <w:sz w:val="24"/>
        </w:rPr>
        <w:br/>
      </w:r>
      <w:r>
        <w:rPr>
          <w:sz w:val="24"/>
        </w:rPr>
        <w:br/>
      </w:r>
      <w:r>
        <w:rPr>
          <w:sz w:val="24"/>
        </w:rPr>
        <w:br/>
      </w:r>
    </w:p>
    <w:p xmlns:wp14="http://schemas.microsoft.com/office/word/2010/wordml" w14:paraId="48270C0D" wp14:textId="77777777">
      <w:pPr>
        <w:spacing w:line="480" w:lineRule="auto"/>
        <w:jc w:val="center"/>
      </w:pPr>
      <w:r>
        <w:rPr>
          <w:rFonts w:ascii="Times New Roman" w:hAnsi="Times New Roman"/>
          <w:b/>
          <w:sz w:val="24"/>
        </w:rPr>
        <w:t>Clasificación de la Severidad de Casos de Dengue</w:t>
      </w:r>
      <w:r>
        <w:rPr>
          <w:rFonts w:ascii="Times New Roman" w:hAnsi="Times New Roman"/>
          <w:b/>
          <w:sz w:val="24"/>
        </w:rPr>
        <w:br/>
      </w:r>
      <w:r>
        <w:rPr>
          <w:rFonts w:ascii="Times New Roman" w:hAnsi="Times New Roman"/>
          <w:b/>
          <w:sz w:val="24"/>
        </w:rPr>
        <w:t>en Bucaramanga mediante un Árbol de Decisiones</w:t>
      </w:r>
    </w:p>
    <w:p xmlns:wp14="http://schemas.microsoft.com/office/word/2010/wordml" w14:paraId="1E4649FA" wp14:textId="77777777">
      <w:pPr>
        <w:spacing w:line="480" w:lineRule="auto"/>
        <w:jc w:val="center"/>
      </w:pPr>
      <w:r>
        <w:rPr>
          <w:rFonts w:ascii="Times New Roman" w:hAnsi="Times New Roman"/>
          <w:sz w:val="24"/>
        </w:rPr>
        <w:br/>
      </w:r>
      <w:r>
        <w:rPr>
          <w:rFonts w:ascii="Times New Roman" w:hAnsi="Times New Roman"/>
          <w:sz w:val="24"/>
        </w:rPr>
        <w:br/>
      </w:r>
      <w:r>
        <w:rPr>
          <w:rFonts w:ascii="Times New Roman" w:hAnsi="Times New Roman"/>
          <w:sz w:val="24"/>
        </w:rPr>
        <w:t>Breyner Alexis Acosta Sandoval</w:t>
      </w:r>
      <w:r>
        <w:rPr>
          <w:rFonts w:ascii="Times New Roman" w:hAnsi="Times New Roman"/>
          <w:sz w:val="24"/>
        </w:rPr>
        <w:br/>
      </w:r>
      <w:r>
        <w:rPr>
          <w:rFonts w:ascii="Times New Roman" w:hAnsi="Times New Roman"/>
          <w:sz w:val="24"/>
        </w:rPr>
        <w:t>Johan Sebastián Delgado Mantilla</w:t>
      </w:r>
      <w:r>
        <w:rPr>
          <w:rFonts w:ascii="Times New Roman" w:hAnsi="Times New Roman"/>
          <w:sz w:val="24"/>
        </w:rPr>
        <w:br/>
      </w:r>
      <w:r>
        <w:rPr>
          <w:rFonts w:ascii="Times New Roman" w:hAnsi="Times New Roman"/>
          <w:sz w:val="24"/>
        </w:rPr>
        <w:t>Yariangel Gabriela Aray Munar</w:t>
      </w:r>
    </w:p>
    <w:p xmlns:wp14="http://schemas.microsoft.com/office/word/2010/wordml" w14:paraId="685FDC3C" wp14:textId="77777777">
      <w:pPr>
        <w:spacing w:line="480" w:lineRule="auto"/>
        <w:jc w:val="center"/>
      </w:pPr>
      <w:r>
        <w:rPr>
          <w:rFonts w:ascii="Times New Roman" w:hAnsi="Times New Roman"/>
          <w:sz w:val="24"/>
        </w:rPr>
        <w:br/>
      </w:r>
      <w:r>
        <w:rPr>
          <w:rFonts w:ascii="Times New Roman" w:hAnsi="Times New Roman"/>
          <w:sz w:val="24"/>
        </w:rPr>
        <w:t>Universidad Tecnológica del Oriente</w:t>
      </w:r>
      <w:r>
        <w:rPr>
          <w:rFonts w:ascii="Times New Roman" w:hAnsi="Times New Roman"/>
          <w:sz w:val="24"/>
        </w:rPr>
        <w:br/>
      </w:r>
      <w:r>
        <w:rPr>
          <w:rFonts w:ascii="Times New Roman" w:hAnsi="Times New Roman"/>
          <w:sz w:val="24"/>
        </w:rPr>
        <w:t>Facultad de Ingeniería, Programa de Ingeniería de Software</w:t>
      </w:r>
      <w:r>
        <w:rPr>
          <w:rFonts w:ascii="Times New Roman" w:hAnsi="Times New Roman"/>
          <w:sz w:val="24"/>
        </w:rPr>
        <w:br/>
      </w:r>
      <w:r>
        <w:rPr>
          <w:rFonts w:ascii="Times New Roman" w:hAnsi="Times New Roman"/>
          <w:sz w:val="24"/>
        </w:rPr>
        <w:t>Inteligencia Artificial Avanzada</w:t>
      </w:r>
      <w:r>
        <w:rPr>
          <w:rFonts w:ascii="Times New Roman" w:hAnsi="Times New Roman"/>
          <w:sz w:val="24"/>
        </w:rPr>
        <w:br/>
      </w:r>
      <w:r>
        <w:rPr>
          <w:rFonts w:ascii="Times New Roman" w:hAnsi="Times New Roman"/>
          <w:sz w:val="24"/>
        </w:rPr>
        <w:t>Carlos Carrascal Avendaño</w:t>
      </w:r>
    </w:p>
    <w:p xmlns:wp14="http://schemas.microsoft.com/office/word/2010/wordml" w14:paraId="048199DD" wp14:textId="77777777">
      <w:pPr>
        <w:spacing w:line="480" w:lineRule="auto"/>
        <w:jc w:val="center"/>
      </w:pPr>
      <w:r>
        <w:rPr>
          <w:rFonts w:ascii="Times New Roman" w:hAnsi="Times New Roman"/>
          <w:sz w:val="24"/>
        </w:rPr>
        <w:br/>
      </w:r>
      <w:r>
        <w:rPr>
          <w:rFonts w:ascii="Times New Roman" w:hAnsi="Times New Roman"/>
          <w:sz w:val="24"/>
        </w:rPr>
        <w:t>[FECHA DE ENTREGA]</w:t>
      </w:r>
    </w:p>
    <w:p xmlns:wp14="http://schemas.microsoft.com/office/word/2010/wordml" w14:paraId="0A37501D" wp14:textId="77777777">
      <w:r>
        <w:br w:type="page"/>
      </w:r>
    </w:p>
    <w:p xmlns:wp14="http://schemas.microsoft.com/office/word/2010/wordml" w14:paraId="6D2BACD1" wp14:textId="77777777">
      <w:pPr>
        <w:pStyle w:val="Heading1"/>
        <w:spacing w:line="480" w:lineRule="auto"/>
      </w:pPr>
      <w:r w:rsidRPr="4C0BF8D1" w:rsidR="4944B765">
        <w:rPr>
          <w:rFonts w:ascii="Times New Roman" w:hAnsi="Times New Roman"/>
          <w:b w:val="1"/>
          <w:bCs w:val="1"/>
          <w:color w:val="000000" w:themeColor="text1" w:themeTint="FF" w:themeShade="FF"/>
          <w:sz w:val="24"/>
          <w:szCs w:val="24"/>
        </w:rPr>
        <w:t>Resumen</w:t>
      </w:r>
    </w:p>
    <w:p xmlns:wp14="http://schemas.microsoft.com/office/word/2010/wordml" w14:paraId="07E3DAE7" wp14:textId="77777777">
      <w:pPr>
        <w:spacing w:line="480" w:lineRule="auto"/>
        <w:jc w:val="both"/>
      </w:pPr>
      <w:r>
        <w:rPr>
          <w:rFonts w:ascii="Times New Roman" w:hAnsi="Times New Roman"/>
          <w:sz w:val="24"/>
        </w:rPr>
        <w:t>Este trabajo presenta el diseño, la implementación y la evaluación de un árbol de decisiones (un tipo de modelo de inteligencia artificial que toma decisiones basándose en reglas simples, como un diagrama de flujo) para clasificar la severidad clínica individual de casos de dengue en Bucaramanga. El modelo clasifica cada caso en tres categorías: Sin alarma, Con signos de alarma o Grave, utilizando veinte síntomas iniciales y variables demográficas como entradas. El árbol alcanzó una exactitud del 95.8% y un F1-macro de 0.660 en el conjunto de prueba. La evaluación por subgrupos reveló dos hallazgos éticos relevantes: el estrato socioeconómico participa como variable de entrada en las decisiones del árbol, y el sistema de vigilancia epidemiológica registra el estrato de forma desigual entre clases de severidad.</w:t>
      </w:r>
    </w:p>
    <w:p xmlns:wp14="http://schemas.microsoft.com/office/word/2010/wordml" w14:paraId="326C56F7" wp14:textId="77777777">
      <w:r>
        <w:rPr>
          <w:rFonts w:ascii="Times New Roman" w:hAnsi="Times New Roman"/>
          <w:b/>
          <w:sz w:val="24"/>
        </w:rPr>
        <w:t xml:space="preserve">Palabras clave: </w:t>
      </w:r>
      <w:r>
        <w:rPr>
          <w:rFonts w:ascii="Times New Roman" w:hAnsi="Times New Roman"/>
          <w:sz w:val="24"/>
        </w:rPr>
        <w:t>árbol de decisiones, clasificación clínica, triage, dengue, equidad algorítmica, Bucaramanga</w:t>
      </w:r>
    </w:p>
    <w:p xmlns:wp14="http://schemas.microsoft.com/office/word/2010/wordml" w14:paraId="5DAB6C7B" wp14:textId="77777777">
      <w:r>
        <w:br w:type="page"/>
      </w:r>
    </w:p>
    <w:p xmlns:wp14="http://schemas.microsoft.com/office/word/2010/wordml" w14:paraId="29B270AA" wp14:textId="77777777">
      <w:pPr>
        <w:pStyle w:val="Heading1"/>
        <w:spacing w:line="480" w:lineRule="auto"/>
      </w:pPr>
      <w:r w:rsidRPr="4C0BF8D1" w:rsidR="4944B765">
        <w:rPr>
          <w:rFonts w:ascii="Times New Roman" w:hAnsi="Times New Roman"/>
          <w:b w:val="1"/>
          <w:bCs w:val="1"/>
          <w:color w:val="000000" w:themeColor="text1" w:themeTint="FF" w:themeShade="FF"/>
          <w:sz w:val="24"/>
          <w:szCs w:val="24"/>
        </w:rPr>
        <w:t>Introducción y Justificación del Problema</w:t>
      </w:r>
    </w:p>
    <w:p xmlns:wp14="http://schemas.microsoft.com/office/word/2010/wordml" w14:paraId="14E39A13" wp14:textId="77777777">
      <w:pPr>
        <w:spacing w:line="480" w:lineRule="auto"/>
        <w:jc w:val="both"/>
      </w:pPr>
      <w:r>
        <w:rPr>
          <w:rFonts w:ascii="Times New Roman" w:hAnsi="Times New Roman"/>
          <w:sz w:val="24"/>
        </w:rPr>
        <w:t>El dengue es una enfermedad viral transmitida por el mosquito Aedes aegypti que representa un problema de salud pública en Bucaramanga. Esta segunda entrega aborda una pregunta complementaria a la primera entrega (que usó una red neuronal para predecir incidencia semanal): dado un paciente con síntomas iniciales de dengue, ¿qué tan probable es que esté desarrollando una forma grave de la enfermedad?</w:t>
      </w:r>
    </w:p>
    <w:p xmlns:wp14="http://schemas.microsoft.com/office/word/2010/wordml" w14:paraId="58D196C1" wp14:textId="6D9335B5">
      <w:pPr>
        <w:spacing w:line="480" w:lineRule="auto"/>
        <w:jc w:val="both"/>
      </w:pPr>
      <w:r w:rsidRPr="4C0BF8D1" w:rsidR="4C0BF8D1">
        <w:rPr>
          <w:rFonts w:ascii="Times New Roman" w:hAnsi="Times New Roman"/>
          <w:sz w:val="24"/>
          <w:szCs w:val="24"/>
        </w:rPr>
        <w:t xml:space="preserve">Esta pregunta tiene relevancia clínica directa. La OMS clasifica el dengue en tres categorías (Sin alarma, Con alarma y Grave) </w:t>
      </w:r>
      <w:r w:rsidRPr="4C0BF8D1" w:rsidR="21F02B48">
        <w:rPr>
          <w:rFonts w:ascii="Times New Roman" w:hAnsi="Times New Roman"/>
          <w:sz w:val="24"/>
          <w:szCs w:val="24"/>
        </w:rPr>
        <w:t xml:space="preserve">(OMS, 2009) </w:t>
      </w:r>
      <w:r w:rsidRPr="4C0BF8D1" w:rsidR="4C0BF8D1">
        <w:rPr>
          <w:rFonts w:ascii="Times New Roman" w:hAnsi="Times New Roman"/>
          <w:sz w:val="24"/>
          <w:szCs w:val="24"/>
        </w:rPr>
        <w:t>porque distinguirlas a tiempo determina si un paciente puede manejarse de forma ambulatoria o requiere hospitalización. Un modelo que discrimine estas tres categorías puede funcionar como herramienta de apoyo al triage (el p</w:t>
      </w:r>
      <w:r w:rsidRPr="4C0BF8D1" w:rsidR="4C0BF8D1">
        <w:rPr>
          <w:rFonts w:ascii="Times New Roman" w:hAnsi="Times New Roman"/>
          <w:sz w:val="24"/>
          <w:szCs w:val="24"/>
        </w:rPr>
        <w:t>roceso</w:t>
      </w:r>
      <w:r w:rsidRPr="4C0BF8D1" w:rsidR="4C0BF8D1">
        <w:rPr>
          <w:rFonts w:ascii="Times New Roman" w:hAnsi="Times New Roman"/>
          <w:sz w:val="24"/>
          <w:szCs w:val="24"/>
        </w:rPr>
        <w:t xml:space="preserve"> de decidir qué pacientes necesitan atención urgente).</w:t>
      </w:r>
    </w:p>
    <w:p xmlns:wp14="http://schemas.microsoft.com/office/word/2010/wordml" w14:paraId="748B2B98" wp14:textId="77777777">
      <w:pPr>
        <w:spacing w:line="480" w:lineRule="auto"/>
        <w:jc w:val="both"/>
      </w:pPr>
      <w:r>
        <w:rPr>
          <w:rFonts w:ascii="Times New Roman" w:hAnsi="Times New Roman"/>
          <w:sz w:val="24"/>
        </w:rPr>
        <w:t>Se eligió como variable objetivo la clasificación final del caso (clasfinal en el SIVIGILA), por dos razones: es técnicamente más exigente (discrimina entre tres categorías, una extremadamente minoritaria) y es clínicamente más útil que una variable binaria de hospitalización. El árbol de decisiones trabaja a nivel de paciente individual, complementando la red neuronal que opera a nivel poblacional.</w:t>
      </w:r>
    </w:p>
    <w:p xmlns:wp14="http://schemas.microsoft.com/office/word/2010/wordml" w14:paraId="02EB378F" wp14:textId="77777777">
      <w:r>
        <w:br w:type="page"/>
      </w:r>
    </w:p>
    <w:p xmlns:wp14="http://schemas.microsoft.com/office/word/2010/wordml" w:rsidP="4C0BF8D1" w14:paraId="53A48CB1" wp14:textId="77777777">
      <w:pPr>
        <w:pStyle w:val="Heading1"/>
      </w:pPr>
      <w:r w:rsidR="4944B765">
        <w:rPr/>
        <w:t>Revisión Bibliográfica</w:t>
      </w:r>
    </w:p>
    <w:p xmlns:wp14="http://schemas.microsoft.com/office/word/2010/wordml" w14:paraId="0597F95A" wp14:textId="77777777">
      <w:pPr>
        <w:spacing w:line="480" w:lineRule="auto"/>
        <w:jc w:val="both"/>
      </w:pPr>
      <w:r>
        <w:rPr>
          <w:rFonts w:ascii="Times New Roman" w:hAnsi="Times New Roman"/>
          <w:sz w:val="24"/>
        </w:rPr>
        <w:t>La revisión se organiza en cuatro ejes: los fundamentos de los árboles de decisión como modelo de clasificación, sus antecedentes específicos en la clasificación de severidad del dengue, la discusión sobre interpretabilidad y desbalance de clases en modelos de salud, y la equidad algorítmica en modelos predictivos de salud.</w:t>
      </w:r>
    </w:p>
    <w:p xmlns:wp14="http://schemas.microsoft.com/office/word/2010/wordml" w14:paraId="697E3214"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Árboles de Decisión como Modelo de Clasificación</w:t>
      </w:r>
    </w:p>
    <w:p xmlns:wp14="http://schemas.microsoft.com/office/word/2010/wordml" w14:paraId="5FCA12D6" wp14:textId="77777777">
      <w:pPr>
        <w:spacing w:line="480" w:lineRule="auto"/>
        <w:jc w:val="both"/>
      </w:pPr>
      <w:r>
        <w:rPr>
          <w:rFonts w:ascii="Times New Roman" w:hAnsi="Times New Roman"/>
          <w:sz w:val="24"/>
        </w:rPr>
        <w:t>Los árboles de decisión (modelos que toman decisiones siguiendo preguntas sí/no) fueron formalizados por Breiman et al. (1984) en el algoritmo CART. Su principal ventaja en contextos clínicos es la interpretabilidad: cada nodo corresponde a una pregunta que un profesional de salud puede entender y cuestionar (Caruana et al., 2015).</w:t>
      </w:r>
    </w:p>
    <w:p xmlns:wp14="http://schemas.microsoft.com/office/word/2010/wordml" w14:paraId="69E30686"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Árboles de Decisión Aplicados a la Severidad del Dengue</w:t>
      </w:r>
    </w:p>
    <w:p xmlns:wp14="http://schemas.microsoft.com/office/word/2010/wordml" w14:paraId="0692FE07" wp14:textId="0A98A9E4">
      <w:pPr>
        <w:spacing w:line="480" w:lineRule="auto"/>
        <w:jc w:val="both"/>
      </w:pPr>
      <w:r w:rsidRPr="4C0BF8D1" w:rsidR="14CDCCB8">
        <w:rPr>
          <w:rFonts w:ascii="Times New Roman" w:hAnsi="Times New Roman"/>
          <w:sz w:val="24"/>
          <w:szCs w:val="24"/>
          <w:lang w:val="es-ES"/>
        </w:rPr>
        <w:t xml:space="preserve">Thambirajah </w:t>
      </w:r>
      <w:r w:rsidRPr="4C0BF8D1" w:rsidR="4C0BF8D1">
        <w:rPr>
          <w:rFonts w:ascii="Times New Roman" w:hAnsi="Times New Roman"/>
          <w:sz w:val="24"/>
          <w:szCs w:val="24"/>
          <w:lang w:val="es-ES"/>
        </w:rPr>
        <w:t>et al. (2016) construyeron un árbol clínico con tres factores de riesgo (vómito, derrame pleural e hipotensión) para predecir progresión a dengue grave, obteniendo 87.5% de sensibilidad. Madewell et al. (2025) encontraron que árboles individuales tuvieron desempeño inferior a ensambles (combinaciones de modelos) como XGBoost, pero conservaron ventajas en interpretabilidad y facilidad de despliegue.</w:t>
      </w:r>
    </w:p>
    <w:p xmlns:wp14="http://schemas.microsoft.com/office/word/2010/wordml" w14:paraId="4C22E03E"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Interpretabilidad y Desbalance de Clases en Modelos de Salud</w:t>
      </w:r>
    </w:p>
    <w:p xmlns:wp14="http://schemas.microsoft.com/office/word/2010/wordml" w14:paraId="1A3B387F" wp14:textId="77777777">
      <w:pPr>
        <w:spacing w:line="480" w:lineRule="auto"/>
        <w:jc w:val="both"/>
      </w:pPr>
      <w:r>
        <w:rPr>
          <w:rFonts w:ascii="Times New Roman" w:hAnsi="Times New Roman"/>
          <w:sz w:val="24"/>
        </w:rPr>
        <w:t>Caruana et al. (2015) mostraron que existe una tensión entre exactitud e interpretabilidad: los modelos más exactos suelen ser los menos legibles. He y García (2009) señalan que la exactitud global es engañosa cuando hay clases minoritarias, y recomiendan usar el F1-macro y técnicas de ponderación de clases.</w:t>
      </w:r>
    </w:p>
    <w:p xmlns:wp14="http://schemas.microsoft.com/office/word/2010/wordml" w:rsidP="4C0BF8D1" w14:paraId="75474D32" wp14:textId="77777777">
      <w:pPr>
        <w:pStyle w:val="Heading2"/>
      </w:pPr>
      <w:r w:rsidR="4944B765">
        <w:rPr/>
        <w:t>Equidad y Sesgo Algorítmico en Modelos Predictivos de Salud</w:t>
      </w:r>
    </w:p>
    <w:p xmlns:wp14="http://schemas.microsoft.com/office/word/2010/wordml" w:rsidP="5DCDEE31" w14:paraId="6A05A809" wp14:textId="2EAEA75E">
      <w:pPr>
        <w:spacing w:line="480" w:lineRule="auto"/>
        <w:jc w:val="both"/>
      </w:pPr>
      <w:r w:rsidRPr="5DCDEE31" w:rsidR="5DCDEE31">
        <w:rPr>
          <w:rFonts w:ascii="Times New Roman" w:hAnsi="Times New Roman"/>
          <w:sz w:val="24"/>
          <w:szCs w:val="24"/>
        </w:rPr>
        <w:t xml:space="preserve">Obermeyer et al. (2019) </w:t>
      </w:r>
      <w:r w:rsidRPr="5DCDEE31" w:rsidR="5DCDEE31">
        <w:rPr>
          <w:rFonts w:ascii="Times New Roman" w:hAnsi="Times New Roman"/>
          <w:sz w:val="24"/>
          <w:szCs w:val="24"/>
        </w:rPr>
        <w:t>documentaron</w:t>
      </w:r>
      <w:r w:rsidRPr="5DCDEE31" w:rsidR="5DCDEE31">
        <w:rPr>
          <w:rFonts w:ascii="Times New Roman" w:hAnsi="Times New Roman"/>
          <w:sz w:val="24"/>
          <w:szCs w:val="24"/>
        </w:rPr>
        <w:t xml:space="preserve"> </w:t>
      </w:r>
      <w:r w:rsidRPr="5DCDEE31" w:rsidR="5DCDEE31">
        <w:rPr>
          <w:rFonts w:ascii="Times New Roman" w:hAnsi="Times New Roman"/>
          <w:sz w:val="24"/>
          <w:szCs w:val="24"/>
        </w:rPr>
        <w:t>que</w:t>
      </w:r>
      <w:r w:rsidRPr="5DCDEE31" w:rsidR="5DCDEE31">
        <w:rPr>
          <w:rFonts w:ascii="Times New Roman" w:hAnsi="Times New Roman"/>
          <w:sz w:val="24"/>
          <w:szCs w:val="24"/>
        </w:rPr>
        <w:t xml:space="preserve"> un </w:t>
      </w:r>
      <w:r w:rsidRPr="5DCDEE31" w:rsidR="5DCDEE31">
        <w:rPr>
          <w:rFonts w:ascii="Times New Roman" w:hAnsi="Times New Roman"/>
          <w:sz w:val="24"/>
          <w:szCs w:val="24"/>
        </w:rPr>
        <w:t>algoritmo</w:t>
      </w:r>
      <w:r w:rsidRPr="5DCDEE31" w:rsidR="5DCDEE31">
        <w:rPr>
          <w:rFonts w:ascii="Times New Roman" w:hAnsi="Times New Roman"/>
          <w:sz w:val="24"/>
          <w:szCs w:val="24"/>
        </w:rPr>
        <w:t xml:space="preserve"> </w:t>
      </w:r>
      <w:r w:rsidRPr="5DCDEE31" w:rsidR="5DCDEE31">
        <w:rPr>
          <w:rFonts w:ascii="Times New Roman" w:hAnsi="Times New Roman"/>
          <w:sz w:val="24"/>
          <w:szCs w:val="24"/>
        </w:rPr>
        <w:t>usado</w:t>
      </w:r>
      <w:r w:rsidRPr="5DCDEE31" w:rsidR="5DCDEE31">
        <w:rPr>
          <w:rFonts w:ascii="Times New Roman" w:hAnsi="Times New Roman"/>
          <w:sz w:val="24"/>
          <w:szCs w:val="24"/>
        </w:rPr>
        <w:t xml:space="preserve"> </w:t>
      </w:r>
      <w:r w:rsidRPr="5DCDEE31" w:rsidR="5DCDEE31">
        <w:rPr>
          <w:rFonts w:ascii="Times New Roman" w:hAnsi="Times New Roman"/>
          <w:sz w:val="24"/>
          <w:szCs w:val="24"/>
        </w:rPr>
        <w:t>en</w:t>
      </w:r>
      <w:r w:rsidRPr="5DCDEE31" w:rsidR="5DCDEE31">
        <w:rPr>
          <w:rFonts w:ascii="Times New Roman" w:hAnsi="Times New Roman"/>
          <w:sz w:val="24"/>
          <w:szCs w:val="24"/>
        </w:rPr>
        <w:t xml:space="preserve"> </w:t>
      </w:r>
      <w:r w:rsidRPr="5DCDEE31" w:rsidR="5DCDEE31">
        <w:rPr>
          <w:rFonts w:ascii="Times New Roman" w:hAnsi="Times New Roman"/>
          <w:sz w:val="24"/>
          <w:szCs w:val="24"/>
        </w:rPr>
        <w:t>salud</w:t>
      </w:r>
      <w:r w:rsidRPr="5DCDEE31" w:rsidR="5DCDEE31">
        <w:rPr>
          <w:rFonts w:ascii="Times New Roman" w:hAnsi="Times New Roman"/>
          <w:sz w:val="24"/>
          <w:szCs w:val="24"/>
        </w:rPr>
        <w:t xml:space="preserve"> de </w:t>
      </w:r>
      <w:r w:rsidRPr="5DCDEE31" w:rsidR="5DCDEE31">
        <w:rPr>
          <w:rFonts w:ascii="Times New Roman" w:hAnsi="Times New Roman"/>
          <w:sz w:val="24"/>
          <w:szCs w:val="24"/>
        </w:rPr>
        <w:t>Estados</w:t>
      </w:r>
      <w:r w:rsidRPr="5DCDEE31" w:rsidR="5DCDEE31">
        <w:rPr>
          <w:rFonts w:ascii="Times New Roman" w:hAnsi="Times New Roman"/>
          <w:sz w:val="24"/>
          <w:szCs w:val="24"/>
        </w:rPr>
        <w:t xml:space="preserve"> Unidos </w:t>
      </w:r>
      <w:r w:rsidRPr="5DCDEE31" w:rsidR="5DCDEE31">
        <w:rPr>
          <w:rFonts w:ascii="Times New Roman" w:hAnsi="Times New Roman"/>
          <w:sz w:val="24"/>
          <w:szCs w:val="24"/>
        </w:rPr>
        <w:t>subestimaba</w:t>
      </w:r>
      <w:r w:rsidRPr="5DCDEE31" w:rsidR="5DCDEE31">
        <w:rPr>
          <w:rFonts w:ascii="Times New Roman" w:hAnsi="Times New Roman"/>
          <w:sz w:val="24"/>
          <w:szCs w:val="24"/>
        </w:rPr>
        <w:t xml:space="preserve"> las </w:t>
      </w:r>
      <w:r w:rsidRPr="5DCDEE31" w:rsidR="5DCDEE31">
        <w:rPr>
          <w:rFonts w:ascii="Times New Roman" w:hAnsi="Times New Roman"/>
          <w:sz w:val="24"/>
          <w:szCs w:val="24"/>
        </w:rPr>
        <w:t>necesidades</w:t>
      </w:r>
      <w:r w:rsidRPr="5DCDEE31" w:rsidR="5DCDEE31">
        <w:rPr>
          <w:rFonts w:ascii="Times New Roman" w:hAnsi="Times New Roman"/>
          <w:sz w:val="24"/>
          <w:szCs w:val="24"/>
        </w:rPr>
        <w:t xml:space="preserve"> de </w:t>
      </w:r>
      <w:r w:rsidRPr="5DCDEE31" w:rsidR="5DCDEE31">
        <w:rPr>
          <w:rFonts w:ascii="Times New Roman" w:hAnsi="Times New Roman"/>
          <w:sz w:val="24"/>
          <w:szCs w:val="24"/>
        </w:rPr>
        <w:t>pacientes</w:t>
      </w:r>
      <w:r w:rsidRPr="5DCDEE31" w:rsidR="5DCDEE31">
        <w:rPr>
          <w:rFonts w:ascii="Times New Roman" w:hAnsi="Times New Roman"/>
          <w:sz w:val="24"/>
          <w:szCs w:val="24"/>
        </w:rPr>
        <w:t xml:space="preserve"> </w:t>
      </w:r>
      <w:r w:rsidRPr="5DCDEE31" w:rsidR="5DCDEE31">
        <w:rPr>
          <w:rFonts w:ascii="Times New Roman" w:hAnsi="Times New Roman"/>
          <w:sz w:val="24"/>
          <w:szCs w:val="24"/>
        </w:rPr>
        <w:t>afrodescendientes</w:t>
      </w:r>
      <w:r w:rsidRPr="5DCDEE31" w:rsidR="5DCDEE31">
        <w:rPr>
          <w:rFonts w:ascii="Times New Roman" w:hAnsi="Times New Roman"/>
          <w:sz w:val="24"/>
          <w:szCs w:val="24"/>
        </w:rPr>
        <w:t xml:space="preserve"> </w:t>
      </w:r>
      <w:r w:rsidRPr="5DCDEE31" w:rsidR="5DCDEE31">
        <w:rPr>
          <w:rFonts w:ascii="Times New Roman" w:hAnsi="Times New Roman"/>
          <w:sz w:val="24"/>
          <w:szCs w:val="24"/>
        </w:rPr>
        <w:t>porque</w:t>
      </w:r>
      <w:r w:rsidRPr="5DCDEE31" w:rsidR="5DCDEE31">
        <w:rPr>
          <w:rFonts w:ascii="Times New Roman" w:hAnsi="Times New Roman"/>
          <w:sz w:val="24"/>
          <w:szCs w:val="24"/>
        </w:rPr>
        <w:t xml:space="preserve"> </w:t>
      </w:r>
      <w:r w:rsidRPr="5DCDEE31" w:rsidR="5DCDEE31">
        <w:rPr>
          <w:rFonts w:ascii="Times New Roman" w:hAnsi="Times New Roman"/>
          <w:sz w:val="24"/>
          <w:szCs w:val="24"/>
        </w:rPr>
        <w:t>aprendía</w:t>
      </w:r>
      <w:r w:rsidRPr="5DCDEE31" w:rsidR="5DCDEE31">
        <w:rPr>
          <w:rFonts w:ascii="Times New Roman" w:hAnsi="Times New Roman"/>
          <w:sz w:val="24"/>
          <w:szCs w:val="24"/>
        </w:rPr>
        <w:t xml:space="preserve"> </w:t>
      </w:r>
      <w:r w:rsidRPr="5DCDEE31" w:rsidR="5DCDEE31">
        <w:rPr>
          <w:rFonts w:ascii="Times New Roman" w:hAnsi="Times New Roman"/>
          <w:sz w:val="24"/>
          <w:szCs w:val="24"/>
        </w:rPr>
        <w:t>patrones</w:t>
      </w:r>
      <w:r w:rsidRPr="5DCDEE31" w:rsidR="5DCDEE31">
        <w:rPr>
          <w:rFonts w:ascii="Times New Roman" w:hAnsi="Times New Roman"/>
          <w:sz w:val="24"/>
          <w:szCs w:val="24"/>
        </w:rPr>
        <w:t xml:space="preserve"> de </w:t>
      </w:r>
      <w:r w:rsidRPr="5DCDEE31" w:rsidR="5DCDEE31">
        <w:rPr>
          <w:rFonts w:ascii="Times New Roman" w:hAnsi="Times New Roman"/>
          <w:sz w:val="24"/>
          <w:szCs w:val="24"/>
        </w:rPr>
        <w:t>datos</w:t>
      </w:r>
      <w:r w:rsidRPr="5DCDEE31" w:rsidR="5DCDEE31">
        <w:rPr>
          <w:rFonts w:ascii="Times New Roman" w:hAnsi="Times New Roman"/>
          <w:sz w:val="24"/>
          <w:szCs w:val="24"/>
        </w:rPr>
        <w:t xml:space="preserve"> con </w:t>
      </w:r>
      <w:r w:rsidRPr="5DCDEE31" w:rsidR="5DCDEE31">
        <w:rPr>
          <w:rFonts w:ascii="Times New Roman" w:hAnsi="Times New Roman"/>
          <w:sz w:val="24"/>
          <w:szCs w:val="24"/>
        </w:rPr>
        <w:t>sesgos</w:t>
      </w:r>
      <w:r w:rsidRPr="5DCDEE31" w:rsidR="5DCDEE31">
        <w:rPr>
          <w:rFonts w:ascii="Times New Roman" w:hAnsi="Times New Roman"/>
          <w:sz w:val="24"/>
          <w:szCs w:val="24"/>
        </w:rPr>
        <w:t xml:space="preserve"> </w:t>
      </w:r>
      <w:r w:rsidRPr="5DCDEE31" w:rsidR="5DCDEE31">
        <w:rPr>
          <w:rFonts w:ascii="Times New Roman" w:hAnsi="Times New Roman"/>
          <w:sz w:val="24"/>
          <w:szCs w:val="24"/>
        </w:rPr>
        <w:t>estructurales</w:t>
      </w:r>
      <w:r w:rsidRPr="5DCDEE31" w:rsidR="5DCDEE31">
        <w:rPr>
          <w:rFonts w:ascii="Times New Roman" w:hAnsi="Times New Roman"/>
          <w:sz w:val="24"/>
          <w:szCs w:val="24"/>
        </w:rPr>
        <w:t xml:space="preserve">. Este </w:t>
      </w:r>
      <w:r w:rsidRPr="5DCDEE31" w:rsidR="5DCDEE31">
        <w:rPr>
          <w:rFonts w:ascii="Times New Roman" w:hAnsi="Times New Roman"/>
          <w:sz w:val="24"/>
          <w:szCs w:val="24"/>
        </w:rPr>
        <w:t>hallazgo</w:t>
      </w:r>
      <w:r w:rsidRPr="5DCDEE31" w:rsidR="5DCDEE31">
        <w:rPr>
          <w:rFonts w:ascii="Times New Roman" w:hAnsi="Times New Roman"/>
          <w:sz w:val="24"/>
          <w:szCs w:val="24"/>
        </w:rPr>
        <w:t xml:space="preserve"> </w:t>
      </w:r>
      <w:r w:rsidRPr="5DCDEE31" w:rsidR="5DCDEE31">
        <w:rPr>
          <w:rFonts w:ascii="Times New Roman" w:hAnsi="Times New Roman"/>
          <w:sz w:val="24"/>
          <w:szCs w:val="24"/>
        </w:rPr>
        <w:t>subraya</w:t>
      </w:r>
      <w:r w:rsidRPr="5DCDEE31" w:rsidR="5DCDEE31">
        <w:rPr>
          <w:rFonts w:ascii="Times New Roman" w:hAnsi="Times New Roman"/>
          <w:sz w:val="24"/>
          <w:szCs w:val="24"/>
        </w:rPr>
        <w:t xml:space="preserve"> la </w:t>
      </w:r>
      <w:r w:rsidRPr="5DCDEE31" w:rsidR="5DCDEE31">
        <w:rPr>
          <w:rFonts w:ascii="Times New Roman" w:hAnsi="Times New Roman"/>
          <w:sz w:val="24"/>
          <w:szCs w:val="24"/>
        </w:rPr>
        <w:t>necesidad</w:t>
      </w:r>
      <w:r w:rsidRPr="5DCDEE31" w:rsidR="5DCDEE31">
        <w:rPr>
          <w:rFonts w:ascii="Times New Roman" w:hAnsi="Times New Roman"/>
          <w:sz w:val="24"/>
          <w:szCs w:val="24"/>
        </w:rPr>
        <w:t xml:space="preserve"> de </w:t>
      </w:r>
      <w:r w:rsidRPr="5DCDEE31" w:rsidR="5DCDEE31">
        <w:rPr>
          <w:rFonts w:ascii="Times New Roman" w:hAnsi="Times New Roman"/>
          <w:sz w:val="24"/>
          <w:szCs w:val="24"/>
        </w:rPr>
        <w:t>evaluar</w:t>
      </w:r>
      <w:r w:rsidRPr="5DCDEE31" w:rsidR="5DCDEE31">
        <w:rPr>
          <w:rFonts w:ascii="Times New Roman" w:hAnsi="Times New Roman"/>
          <w:sz w:val="24"/>
          <w:szCs w:val="24"/>
        </w:rPr>
        <w:t xml:space="preserve"> </w:t>
      </w:r>
      <w:r w:rsidRPr="5DCDEE31" w:rsidR="5DCDEE31">
        <w:rPr>
          <w:rFonts w:ascii="Times New Roman" w:hAnsi="Times New Roman"/>
          <w:sz w:val="24"/>
          <w:szCs w:val="24"/>
        </w:rPr>
        <w:t>cómo</w:t>
      </w:r>
      <w:r w:rsidRPr="5DCDEE31" w:rsidR="5DCDEE31">
        <w:rPr>
          <w:rFonts w:ascii="Times New Roman" w:hAnsi="Times New Roman"/>
          <w:sz w:val="24"/>
          <w:szCs w:val="24"/>
        </w:rPr>
        <w:t xml:space="preserve"> se </w:t>
      </w:r>
      <w:r w:rsidRPr="5DCDEE31" w:rsidR="5DCDEE31">
        <w:rPr>
          <w:rFonts w:ascii="Times New Roman" w:hAnsi="Times New Roman"/>
          <w:sz w:val="24"/>
          <w:szCs w:val="24"/>
        </w:rPr>
        <w:t>distribuye</w:t>
      </w:r>
      <w:r w:rsidRPr="5DCDEE31" w:rsidR="5DCDEE31">
        <w:rPr>
          <w:rFonts w:ascii="Times New Roman" w:hAnsi="Times New Roman"/>
          <w:sz w:val="24"/>
          <w:szCs w:val="24"/>
        </w:rPr>
        <w:t xml:space="preserve"> la </w:t>
      </w:r>
      <w:r w:rsidRPr="5DCDEE31" w:rsidR="5DCDEE31">
        <w:rPr>
          <w:rFonts w:ascii="Times New Roman" w:hAnsi="Times New Roman"/>
          <w:sz w:val="24"/>
          <w:szCs w:val="24"/>
        </w:rPr>
        <w:t>exactitud</w:t>
      </w:r>
      <w:r w:rsidRPr="5DCDEE31" w:rsidR="5DCDEE31">
        <w:rPr>
          <w:rFonts w:ascii="Times New Roman" w:hAnsi="Times New Roman"/>
          <w:sz w:val="24"/>
          <w:szCs w:val="24"/>
        </w:rPr>
        <w:t xml:space="preserve"> entre </w:t>
      </w:r>
      <w:r w:rsidRPr="5DCDEE31" w:rsidR="5DCDEE31">
        <w:rPr>
          <w:rFonts w:ascii="Times New Roman" w:hAnsi="Times New Roman"/>
          <w:sz w:val="24"/>
          <w:szCs w:val="24"/>
        </w:rPr>
        <w:t>diferentes</w:t>
      </w:r>
      <w:r w:rsidRPr="5DCDEE31" w:rsidR="5DCDEE31">
        <w:rPr>
          <w:rFonts w:ascii="Times New Roman" w:hAnsi="Times New Roman"/>
          <w:sz w:val="24"/>
          <w:szCs w:val="24"/>
        </w:rPr>
        <w:t xml:space="preserve"> </w:t>
      </w:r>
      <w:r w:rsidRPr="5DCDEE31" w:rsidR="5DCDEE31">
        <w:rPr>
          <w:rFonts w:ascii="Times New Roman" w:hAnsi="Times New Roman"/>
          <w:sz w:val="24"/>
          <w:szCs w:val="24"/>
        </w:rPr>
        <w:t>grupos</w:t>
      </w:r>
      <w:r w:rsidRPr="5DCDEE31" w:rsidR="5DCDEE31">
        <w:rPr>
          <w:rFonts w:ascii="Times New Roman" w:hAnsi="Times New Roman"/>
          <w:sz w:val="24"/>
          <w:szCs w:val="24"/>
        </w:rPr>
        <w:t xml:space="preserve"> </w:t>
      </w:r>
      <w:r w:rsidRPr="5DCDEE31" w:rsidR="5DCDEE31">
        <w:rPr>
          <w:rFonts w:ascii="Times New Roman" w:hAnsi="Times New Roman"/>
          <w:sz w:val="24"/>
          <w:szCs w:val="24"/>
        </w:rPr>
        <w:t>poblacionales</w:t>
      </w:r>
      <w:r w:rsidRPr="5DCDEE31" w:rsidR="5DCDEE31">
        <w:rPr>
          <w:rFonts w:ascii="Times New Roman" w:hAnsi="Times New Roman"/>
          <w:sz w:val="24"/>
          <w:szCs w:val="24"/>
        </w:rPr>
        <w:t>.</w:t>
      </w:r>
    </w:p>
    <w:p xmlns:wp14="http://schemas.microsoft.com/office/word/2010/wordml" w:rsidP="5DCDEE31" w14:paraId="4EC06C50" wp14:textId="77777777">
      <w:pPr>
        <w:pStyle w:val="Heading1"/>
      </w:pPr>
      <w:r w:rsidR="4944B765">
        <w:rPr/>
        <w:t>Diseño del Algoritmo</w:t>
      </w:r>
    </w:p>
    <w:p xmlns:wp14="http://schemas.microsoft.com/office/word/2010/wordml" w:rsidP="5DCDEE31" w14:paraId="3BA4E0C4" wp14:textId="77777777">
      <w:pPr>
        <w:pStyle w:val="Heading2"/>
      </w:pPr>
      <w:r w:rsidR="4944B765">
        <w:rPr/>
        <w:t>Fuente de Datos y Codificación de Variables</w:t>
      </w:r>
    </w:p>
    <w:p xmlns:wp14="http://schemas.microsoft.com/office/word/2010/wordml" w14:paraId="7264EC51" wp14:textId="2E45416E">
      <w:pPr>
        <w:spacing w:line="480" w:lineRule="auto"/>
        <w:jc w:val="both"/>
      </w:pPr>
      <w:r w:rsidRPr="4C0BF8D1" w:rsidR="4C0BF8D1">
        <w:rPr>
          <w:rFonts w:ascii="Times New Roman" w:hAnsi="Times New Roman"/>
          <w:sz w:val="24"/>
          <w:szCs w:val="24"/>
        </w:rPr>
        <w:t xml:space="preserve">Los </w:t>
      </w:r>
      <w:r w:rsidRPr="4C0BF8D1" w:rsidR="4C0BF8D1">
        <w:rPr>
          <w:rFonts w:ascii="Times New Roman" w:hAnsi="Times New Roman"/>
          <w:sz w:val="24"/>
          <w:szCs w:val="24"/>
        </w:rPr>
        <w:t>datos</w:t>
      </w:r>
      <w:r w:rsidRPr="4C0BF8D1" w:rsidR="4C0BF8D1">
        <w:rPr>
          <w:rFonts w:ascii="Times New Roman" w:hAnsi="Times New Roman"/>
          <w:sz w:val="24"/>
          <w:szCs w:val="24"/>
        </w:rPr>
        <w:t xml:space="preserve"> </w:t>
      </w:r>
      <w:r w:rsidRPr="4C0BF8D1" w:rsidR="4C0BF8D1">
        <w:rPr>
          <w:rFonts w:ascii="Times New Roman" w:hAnsi="Times New Roman"/>
          <w:sz w:val="24"/>
          <w:szCs w:val="24"/>
        </w:rPr>
        <w:t>provienen</w:t>
      </w:r>
      <w:r w:rsidRPr="4C0BF8D1" w:rsidR="4C0BF8D1">
        <w:rPr>
          <w:rFonts w:ascii="Times New Roman" w:hAnsi="Times New Roman"/>
          <w:sz w:val="24"/>
          <w:szCs w:val="24"/>
        </w:rPr>
        <w:t xml:space="preserve"> del </w:t>
      </w:r>
      <w:r w:rsidRPr="4C0BF8D1" w:rsidR="4C0BF8D1">
        <w:rPr>
          <w:rFonts w:ascii="Times New Roman" w:hAnsi="Times New Roman"/>
          <w:sz w:val="24"/>
          <w:szCs w:val="24"/>
        </w:rPr>
        <w:t>sistema</w:t>
      </w:r>
      <w:r w:rsidRPr="4C0BF8D1" w:rsidR="4C0BF8D1">
        <w:rPr>
          <w:rFonts w:ascii="Times New Roman" w:hAnsi="Times New Roman"/>
          <w:sz w:val="24"/>
          <w:szCs w:val="24"/>
        </w:rPr>
        <w:t xml:space="preserve"> de </w:t>
      </w:r>
      <w:r w:rsidRPr="4C0BF8D1" w:rsidR="4C0BF8D1">
        <w:rPr>
          <w:rFonts w:ascii="Times New Roman" w:hAnsi="Times New Roman"/>
          <w:sz w:val="24"/>
          <w:szCs w:val="24"/>
        </w:rPr>
        <w:t>vigilancia</w:t>
      </w:r>
      <w:r w:rsidRPr="4C0BF8D1" w:rsidR="4C0BF8D1">
        <w:rPr>
          <w:rFonts w:ascii="Times New Roman" w:hAnsi="Times New Roman"/>
          <w:sz w:val="24"/>
          <w:szCs w:val="24"/>
        </w:rPr>
        <w:t xml:space="preserve"> SIVIGILA, </w:t>
      </w:r>
      <w:r w:rsidRPr="4C0BF8D1" w:rsidR="4C0BF8D1">
        <w:rPr>
          <w:rFonts w:ascii="Times New Roman" w:hAnsi="Times New Roman"/>
          <w:sz w:val="24"/>
          <w:szCs w:val="24"/>
        </w:rPr>
        <w:t>publicados</w:t>
      </w:r>
      <w:r w:rsidRPr="4C0BF8D1" w:rsidR="4C0BF8D1">
        <w:rPr>
          <w:rFonts w:ascii="Times New Roman" w:hAnsi="Times New Roman"/>
          <w:sz w:val="24"/>
          <w:szCs w:val="24"/>
        </w:rPr>
        <w:t xml:space="preserve"> </w:t>
      </w:r>
      <w:r w:rsidRPr="4C0BF8D1" w:rsidR="4C0BF8D1">
        <w:rPr>
          <w:rFonts w:ascii="Times New Roman" w:hAnsi="Times New Roman"/>
          <w:sz w:val="24"/>
          <w:szCs w:val="24"/>
        </w:rPr>
        <w:t>en</w:t>
      </w:r>
      <w:r w:rsidRPr="4C0BF8D1" w:rsidR="4C0BF8D1">
        <w:rPr>
          <w:rFonts w:ascii="Times New Roman" w:hAnsi="Times New Roman"/>
          <w:sz w:val="24"/>
          <w:szCs w:val="24"/>
        </w:rPr>
        <w:t xml:space="preserve"> datos.gov.co. La consulta </w:t>
      </w:r>
      <w:r w:rsidRPr="4C0BF8D1" w:rsidR="4C0BF8D1">
        <w:rPr>
          <w:rFonts w:ascii="Times New Roman" w:hAnsi="Times New Roman"/>
          <w:sz w:val="24"/>
          <w:szCs w:val="24"/>
        </w:rPr>
        <w:t>devolvió</w:t>
      </w:r>
      <w:r w:rsidRPr="4C0BF8D1" w:rsidR="4C0BF8D1">
        <w:rPr>
          <w:rFonts w:ascii="Times New Roman" w:hAnsi="Times New Roman"/>
          <w:sz w:val="24"/>
          <w:szCs w:val="24"/>
        </w:rPr>
        <w:t xml:space="preserve"> 27.460 </w:t>
      </w:r>
      <w:r w:rsidRPr="4C0BF8D1" w:rsidR="4C0BF8D1">
        <w:rPr>
          <w:rFonts w:ascii="Times New Roman" w:hAnsi="Times New Roman"/>
          <w:sz w:val="24"/>
          <w:szCs w:val="24"/>
        </w:rPr>
        <w:t>registros</w:t>
      </w:r>
      <w:r w:rsidRPr="4C0BF8D1" w:rsidR="4C0BF8D1">
        <w:rPr>
          <w:rFonts w:ascii="Times New Roman" w:hAnsi="Times New Roman"/>
          <w:sz w:val="24"/>
          <w:szCs w:val="24"/>
        </w:rPr>
        <w:t xml:space="preserve"> </w:t>
      </w:r>
      <w:r w:rsidRPr="4C0BF8D1" w:rsidR="4C0BF8D1">
        <w:rPr>
          <w:rFonts w:ascii="Times New Roman" w:hAnsi="Times New Roman"/>
          <w:sz w:val="24"/>
          <w:szCs w:val="24"/>
        </w:rPr>
        <w:t>individuales</w:t>
      </w:r>
      <w:r w:rsidRPr="4C0BF8D1" w:rsidR="4C0BF8D1">
        <w:rPr>
          <w:rFonts w:ascii="Times New Roman" w:hAnsi="Times New Roman"/>
          <w:sz w:val="24"/>
          <w:szCs w:val="24"/>
        </w:rPr>
        <w:t xml:space="preserve"> con </w:t>
      </w:r>
      <w:r w:rsidRPr="4C0BF8D1" w:rsidR="4C0BF8D1">
        <w:rPr>
          <w:rFonts w:ascii="Times New Roman" w:hAnsi="Times New Roman"/>
          <w:sz w:val="24"/>
          <w:szCs w:val="24"/>
        </w:rPr>
        <w:t>veinte</w:t>
      </w:r>
      <w:r w:rsidRPr="4C0BF8D1" w:rsidR="4C0BF8D1">
        <w:rPr>
          <w:rFonts w:ascii="Times New Roman" w:hAnsi="Times New Roman"/>
          <w:sz w:val="24"/>
          <w:szCs w:val="24"/>
        </w:rPr>
        <w:t xml:space="preserve"> </w:t>
      </w:r>
      <w:r w:rsidRPr="4C0BF8D1" w:rsidR="4C0BF8D1">
        <w:rPr>
          <w:rFonts w:ascii="Times New Roman" w:hAnsi="Times New Roman"/>
          <w:sz w:val="24"/>
          <w:szCs w:val="24"/>
        </w:rPr>
        <w:t>síntomas</w:t>
      </w:r>
      <w:r w:rsidRPr="4C0BF8D1" w:rsidR="4C0BF8D1">
        <w:rPr>
          <w:rFonts w:ascii="Times New Roman" w:hAnsi="Times New Roman"/>
          <w:sz w:val="24"/>
          <w:szCs w:val="24"/>
        </w:rPr>
        <w:t xml:space="preserve"> </w:t>
      </w:r>
      <w:r w:rsidRPr="4C0BF8D1" w:rsidR="4C0BF8D1">
        <w:rPr>
          <w:rFonts w:ascii="Times New Roman" w:hAnsi="Times New Roman"/>
          <w:sz w:val="24"/>
          <w:szCs w:val="24"/>
        </w:rPr>
        <w:t>binarios</w:t>
      </w:r>
      <w:r w:rsidRPr="4C0BF8D1" w:rsidR="4C0BF8D1">
        <w:rPr>
          <w:rFonts w:ascii="Times New Roman" w:hAnsi="Times New Roman"/>
          <w:sz w:val="24"/>
          <w:szCs w:val="24"/>
        </w:rPr>
        <w:t xml:space="preserve"> (</w:t>
      </w:r>
      <w:r w:rsidRPr="4C0BF8D1" w:rsidR="4C0BF8D1">
        <w:rPr>
          <w:rFonts w:ascii="Times New Roman" w:hAnsi="Times New Roman"/>
          <w:sz w:val="24"/>
          <w:szCs w:val="24"/>
        </w:rPr>
        <w:t>cefalea</w:t>
      </w:r>
      <w:r w:rsidRPr="4C0BF8D1" w:rsidR="4C0BF8D1">
        <w:rPr>
          <w:rFonts w:ascii="Times New Roman" w:hAnsi="Times New Roman"/>
          <w:sz w:val="24"/>
          <w:szCs w:val="24"/>
        </w:rPr>
        <w:t xml:space="preserve">, </w:t>
      </w:r>
      <w:r w:rsidRPr="4C0BF8D1" w:rsidR="4C0BF8D1">
        <w:rPr>
          <w:rFonts w:ascii="Times New Roman" w:hAnsi="Times New Roman"/>
          <w:sz w:val="24"/>
          <w:szCs w:val="24"/>
        </w:rPr>
        <w:t>mialgias</w:t>
      </w:r>
      <w:r w:rsidRPr="4C0BF8D1" w:rsidR="4C0BF8D1">
        <w:rPr>
          <w:rFonts w:ascii="Times New Roman" w:hAnsi="Times New Roman"/>
          <w:sz w:val="24"/>
          <w:szCs w:val="24"/>
        </w:rPr>
        <w:t xml:space="preserve">, </w:t>
      </w:r>
      <w:r w:rsidRPr="4C0BF8D1" w:rsidR="4C0BF8D1">
        <w:rPr>
          <w:rFonts w:ascii="Times New Roman" w:hAnsi="Times New Roman"/>
          <w:sz w:val="24"/>
          <w:szCs w:val="24"/>
        </w:rPr>
        <w:t>artralgia</w:t>
      </w:r>
      <w:r w:rsidRPr="4C0BF8D1" w:rsidR="4C0BF8D1">
        <w:rPr>
          <w:rFonts w:ascii="Times New Roman" w:hAnsi="Times New Roman"/>
          <w:sz w:val="24"/>
          <w:szCs w:val="24"/>
        </w:rPr>
        <w:t xml:space="preserve">, </w:t>
      </w:r>
      <w:r w:rsidRPr="4C0BF8D1" w:rsidR="4C0BF8D1">
        <w:rPr>
          <w:rFonts w:ascii="Times New Roman" w:hAnsi="Times New Roman"/>
          <w:sz w:val="24"/>
          <w:szCs w:val="24"/>
        </w:rPr>
        <w:t>vómito</w:t>
      </w:r>
      <w:r w:rsidRPr="4C0BF8D1" w:rsidR="4C0BF8D1">
        <w:rPr>
          <w:rFonts w:ascii="Times New Roman" w:hAnsi="Times New Roman"/>
          <w:sz w:val="24"/>
          <w:szCs w:val="24"/>
        </w:rPr>
        <w:t xml:space="preserve">, </w:t>
      </w:r>
      <w:r w:rsidRPr="4C0BF8D1" w:rsidR="4C0BF8D1">
        <w:rPr>
          <w:rFonts w:ascii="Times New Roman" w:hAnsi="Times New Roman"/>
          <w:sz w:val="24"/>
          <w:szCs w:val="24"/>
        </w:rPr>
        <w:t>diarrea</w:t>
      </w:r>
      <w:r w:rsidRPr="4C0BF8D1" w:rsidR="4C0BF8D1">
        <w:rPr>
          <w:rFonts w:ascii="Times New Roman" w:hAnsi="Times New Roman"/>
          <w:sz w:val="24"/>
          <w:szCs w:val="24"/>
        </w:rPr>
        <w:t xml:space="preserve">, </w:t>
      </w:r>
      <w:r w:rsidRPr="4C0BF8D1" w:rsidR="4C0BF8D1">
        <w:rPr>
          <w:rFonts w:ascii="Times New Roman" w:hAnsi="Times New Roman"/>
          <w:sz w:val="24"/>
          <w:szCs w:val="24"/>
        </w:rPr>
        <w:t>somnolencia</w:t>
      </w:r>
      <w:r w:rsidRPr="4C0BF8D1" w:rsidR="4C0BF8D1">
        <w:rPr>
          <w:rFonts w:ascii="Times New Roman" w:hAnsi="Times New Roman"/>
          <w:sz w:val="24"/>
          <w:szCs w:val="24"/>
        </w:rPr>
        <w:t xml:space="preserve">, </w:t>
      </w:r>
      <w:r w:rsidRPr="4C0BF8D1" w:rsidR="4C0BF8D1">
        <w:rPr>
          <w:rFonts w:ascii="Times New Roman" w:hAnsi="Times New Roman"/>
          <w:sz w:val="24"/>
          <w:szCs w:val="24"/>
        </w:rPr>
        <w:t>hipotensión</w:t>
      </w:r>
      <w:r w:rsidRPr="4C0BF8D1" w:rsidR="4C0BF8D1">
        <w:rPr>
          <w:rFonts w:ascii="Times New Roman" w:hAnsi="Times New Roman"/>
          <w:sz w:val="24"/>
          <w:szCs w:val="24"/>
        </w:rPr>
        <w:t xml:space="preserve">, entre </w:t>
      </w:r>
      <w:r w:rsidRPr="4C0BF8D1" w:rsidR="4C0BF8D1">
        <w:rPr>
          <w:rFonts w:ascii="Times New Roman" w:hAnsi="Times New Roman"/>
          <w:sz w:val="24"/>
          <w:szCs w:val="24"/>
        </w:rPr>
        <w:t>otros</w:t>
      </w:r>
      <w:r w:rsidRPr="4C0BF8D1" w:rsidR="4C0BF8D1">
        <w:rPr>
          <w:rFonts w:ascii="Times New Roman" w:hAnsi="Times New Roman"/>
          <w:sz w:val="24"/>
          <w:szCs w:val="24"/>
        </w:rPr>
        <w:t xml:space="preserve">) y variables </w:t>
      </w:r>
      <w:r w:rsidRPr="4C0BF8D1" w:rsidR="4C0BF8D1">
        <w:rPr>
          <w:rFonts w:ascii="Times New Roman" w:hAnsi="Times New Roman"/>
          <w:sz w:val="24"/>
          <w:szCs w:val="24"/>
        </w:rPr>
        <w:t>demográficas</w:t>
      </w:r>
      <w:r w:rsidRPr="4C0BF8D1" w:rsidR="4C0BF8D1">
        <w:rPr>
          <w:rFonts w:ascii="Times New Roman" w:hAnsi="Times New Roman"/>
          <w:sz w:val="24"/>
          <w:szCs w:val="24"/>
        </w:rPr>
        <w:t xml:space="preserve"> </w:t>
      </w:r>
      <w:r w:rsidRPr="4C0BF8D1" w:rsidR="4C0BF8D1">
        <w:rPr>
          <w:rFonts w:ascii="Times New Roman" w:hAnsi="Times New Roman"/>
          <w:sz w:val="24"/>
          <w:szCs w:val="24"/>
        </w:rPr>
        <w:t>como</w:t>
      </w:r>
      <w:r w:rsidRPr="4C0BF8D1" w:rsidR="4C0BF8D1">
        <w:rPr>
          <w:rFonts w:ascii="Times New Roman" w:hAnsi="Times New Roman"/>
          <w:sz w:val="24"/>
          <w:szCs w:val="24"/>
        </w:rPr>
        <w:t xml:space="preserve"> </w:t>
      </w:r>
      <w:r w:rsidRPr="4C0BF8D1" w:rsidR="4C0BF8D1">
        <w:rPr>
          <w:rFonts w:ascii="Times New Roman" w:hAnsi="Times New Roman"/>
          <w:sz w:val="24"/>
          <w:szCs w:val="24"/>
        </w:rPr>
        <w:t>sexo</w:t>
      </w:r>
      <w:r w:rsidRPr="4C0BF8D1" w:rsidR="4C0BF8D1">
        <w:rPr>
          <w:rFonts w:ascii="Times New Roman" w:hAnsi="Times New Roman"/>
          <w:sz w:val="24"/>
          <w:szCs w:val="24"/>
        </w:rPr>
        <w:t xml:space="preserve">, </w:t>
      </w:r>
      <w:r w:rsidRPr="4C0BF8D1" w:rsidR="4C0BF8D1">
        <w:rPr>
          <w:rFonts w:ascii="Times New Roman" w:hAnsi="Times New Roman"/>
          <w:sz w:val="24"/>
          <w:szCs w:val="24"/>
        </w:rPr>
        <w:t>grupo</w:t>
      </w:r>
      <w:r w:rsidRPr="4C0BF8D1" w:rsidR="4C0BF8D1">
        <w:rPr>
          <w:rFonts w:ascii="Times New Roman" w:hAnsi="Times New Roman"/>
          <w:sz w:val="24"/>
          <w:szCs w:val="24"/>
        </w:rPr>
        <w:t xml:space="preserve"> </w:t>
      </w:r>
      <w:r w:rsidRPr="4C0BF8D1" w:rsidR="4C0BF8D1">
        <w:rPr>
          <w:rFonts w:ascii="Times New Roman" w:hAnsi="Times New Roman"/>
          <w:sz w:val="24"/>
          <w:szCs w:val="24"/>
        </w:rPr>
        <w:t>etario</w:t>
      </w:r>
      <w:r w:rsidRPr="4C0BF8D1" w:rsidR="4C0BF8D1">
        <w:rPr>
          <w:rFonts w:ascii="Times New Roman" w:hAnsi="Times New Roman"/>
          <w:sz w:val="24"/>
          <w:szCs w:val="24"/>
        </w:rPr>
        <w:t xml:space="preserve"> y </w:t>
      </w:r>
      <w:r w:rsidRPr="4C0BF8D1" w:rsidR="4C0BF8D1">
        <w:rPr>
          <w:rFonts w:ascii="Times New Roman" w:hAnsi="Times New Roman"/>
          <w:sz w:val="24"/>
          <w:szCs w:val="24"/>
        </w:rPr>
        <w:t>estrato</w:t>
      </w:r>
      <w:r w:rsidRPr="4C0BF8D1" w:rsidR="4C0BF8D1">
        <w:rPr>
          <w:rFonts w:ascii="Times New Roman" w:hAnsi="Times New Roman"/>
          <w:sz w:val="24"/>
          <w:szCs w:val="24"/>
        </w:rPr>
        <w:t xml:space="preserve"> </w:t>
      </w:r>
      <w:r w:rsidRPr="4C0BF8D1" w:rsidR="4C0BF8D1">
        <w:rPr>
          <w:rFonts w:ascii="Times New Roman" w:hAnsi="Times New Roman"/>
          <w:sz w:val="24"/>
          <w:szCs w:val="24"/>
        </w:rPr>
        <w:t>socioeconómico</w:t>
      </w:r>
      <w:r w:rsidRPr="4C0BF8D1" w:rsidR="4C0BF8D1">
        <w:rPr>
          <w:rFonts w:ascii="Times New Roman" w:hAnsi="Times New Roman"/>
          <w:sz w:val="24"/>
          <w:szCs w:val="24"/>
        </w:rPr>
        <w:t>.</w:t>
      </w:r>
      <w:r w:rsidRPr="4C0BF8D1" w:rsidR="24B60186">
        <w:rPr>
          <w:rFonts w:ascii="Times New Roman" w:hAnsi="Times New Roman"/>
          <w:sz w:val="24"/>
          <w:szCs w:val="24"/>
        </w:rPr>
        <w:t xml:space="preserve"> Tras filtrar registros con clasificación final válida y variables de entrada completas, el dataset se redujo a 9.808 casos analizables.</w:t>
      </w:r>
    </w:p>
    <w:p xmlns:wp14="http://schemas.microsoft.com/office/word/2010/wordml" w14:paraId="31798FD7" wp14:textId="77777777">
      <w:pPr>
        <w:spacing w:line="480" w:lineRule="auto"/>
        <w:jc w:val="both"/>
      </w:pPr>
      <w:r>
        <w:rPr>
          <w:rFonts w:ascii="Times New Roman" w:hAnsi="Times New Roman"/>
          <w:sz w:val="24"/>
        </w:rPr>
        <w:t>Los síntomas se recodificaron a variables binarias 1/0. El estrato socioeconómico se transformó a numérico, tratando el código -89 como valor faltante. La variable objetivo (clasfinal) se simplificó a tres categorías clínicas: Sin alarma, Con alarma y Grave.</w:t>
      </w:r>
    </w:p>
    <w:p xmlns:wp14="http://schemas.microsoft.com/office/word/2010/wordml" w14:paraId="2EA098A9"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Exclusión de la Variable Fiebre</w:t>
      </w:r>
    </w:p>
    <w:p xmlns:wp14="http://schemas.microsoft.com/office/word/2010/wordml" w14:paraId="0B5D3EB0" wp14:textId="77777777">
      <w:pPr>
        <w:spacing w:line="480" w:lineRule="auto"/>
        <w:jc w:val="both"/>
      </w:pPr>
      <w:r>
        <w:rPr>
          <w:rFonts w:ascii="Times New Roman" w:hAnsi="Times New Roman"/>
          <w:sz w:val="24"/>
        </w:rPr>
        <w:t>Durante el entrenamiento se detectó que la variable fiebre dominaba la primera partición del árbol: la ausencia de fiebre conducía directamente a "Con alarma". Esto se debía a que en el SIVIGILA la fiebre es criterio obligatorio de sospecha, por lo que prácticamente todos los casos notificados presentaban fiebre = 1. El modelo aprendió un patrón estadísticamente válido pero clínicamente irrelevante. La exclusión de esta variable obligó al árbol a discriminar mediante los otros síntomas, convirtiéndolo en una herramienta de triage más útil.</w:t>
      </w:r>
    </w:p>
    <w:p xmlns:wp14="http://schemas.microsoft.com/office/word/2010/wordml" w14:paraId="6312CF08"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División de Datos y Selección del Hiperparámetro max_depth</w:t>
      </w:r>
    </w:p>
    <w:p xmlns:wp14="http://schemas.microsoft.com/office/word/2010/wordml" w14:paraId="42A79252" wp14:textId="77777777">
      <w:pPr>
        <w:spacing w:line="480" w:lineRule="auto"/>
        <w:jc w:val="both"/>
      </w:pPr>
      <w:r>
        <w:rPr>
          <w:rFonts w:ascii="Times New Roman" w:hAnsi="Times New Roman"/>
          <w:sz w:val="24"/>
        </w:rPr>
        <w:t>Los 9.808 casos se dividieron en 80% entrenamiento (7.846) y 20% prueba (1.962), con muestreo estratificado para preservar la proporción de las tres clases. Para elegir la profundidad máxima del árbol (max_depth) se exploró el rango de 2 a 15, comparando el F1-macro en entrenamiento y validación cruzada.</w:t>
      </w:r>
    </w:p>
    <w:p xmlns:wp14="http://schemas.microsoft.com/office/word/2010/wordml" w14:paraId="6F3A82EA" wp14:textId="77777777">
      <w:pPr>
        <w:jc w:val="center"/>
      </w:pPr>
      <w:r>
        <w:rPr>
          <w:rFonts w:ascii="Times New Roman" w:hAnsi="Times New Roman"/>
          <w:b/>
          <w:sz w:val="22"/>
        </w:rPr>
        <w:t>Figura 1</w:t>
      </w:r>
    </w:p>
    <w:p xmlns:wp14="http://schemas.microsoft.com/office/word/2010/wordml" w14:paraId="1EA73C14" wp14:textId="77777777">
      <w:pPr>
        <w:jc w:val="center"/>
      </w:pPr>
      <w:r>
        <w:rPr>
          <w:rFonts w:ascii="Times New Roman" w:hAnsi="Times New Roman"/>
          <w:i/>
          <w:sz w:val="22"/>
        </w:rPr>
        <w:t>Ajuste de Hiperparámetro: F1-macro en Entrenamiento y en Validación Cruzada</w:t>
      </w:r>
    </w:p>
    <w:p xmlns:wp14="http://schemas.microsoft.com/office/word/2010/wordml" w14:paraId="5A39BBE3" wp14:textId="7B75CA39">
      <w:pPr>
        <w:jc w:val="center"/>
      </w:pPr>
      <w:r w:rsidR="7286ED02">
        <w:drawing>
          <wp:inline xmlns:wp14="http://schemas.microsoft.com/office/word/2010/wordprocessingDrawing" wp14:editId="532B68BF" wp14:anchorId="4B86CBB5">
            <wp:extent cx="5305425" cy="2627206"/>
            <wp:effectExtent l="0" t="0" r="0" b="0"/>
            <wp:docPr id="256734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734185" name="Picture 256734185"/>
                    <pic:cNvPicPr/>
                  </pic:nvPicPr>
                  <pic:blipFill>
                    <a:blip xmlns:r="http://schemas.openxmlformats.org/officeDocument/2006/relationships" r:embed="rId1387484060">
                      <a:extLst>
                        <a:ext uri="{28A0092B-C50C-407E-A947-70E740481C1C}">
                          <a14:useLocalDpi xmlns:a14="http://schemas.microsoft.com/office/drawing/2010/main"/>
                        </a:ext>
                      </a:extLst>
                    </a:blip>
                    <a:stretch>
                      <a:fillRect/>
                    </a:stretch>
                  </pic:blipFill>
                  <pic:spPr>
                    <a:xfrm rot="0">
                      <a:off x="0" y="0"/>
                      <a:ext cx="5305425" cy="2627206"/>
                    </a:xfrm>
                    <a:prstGeom prst="rect">
                      <a:avLst/>
                    </a:prstGeom>
                  </pic:spPr>
                </pic:pic>
              </a:graphicData>
            </a:graphic>
          </wp:inline>
        </w:drawing>
      </w:r>
    </w:p>
    <w:p xmlns:wp14="http://schemas.microsoft.com/office/word/2010/wordml" w14:paraId="42D8464D" wp14:textId="77777777">
      <w:pPr>
        <w:spacing w:line="480" w:lineRule="auto"/>
        <w:jc w:val="both"/>
      </w:pPr>
      <w:r>
        <w:rPr>
          <w:rFonts w:ascii="Times New Roman" w:hAnsi="Times New Roman"/>
          <w:sz w:val="24"/>
        </w:rPr>
        <w:t>El máximo de F1-macro en validación cruzada se alcanzó en profundidad 13 (F1 = 0.776). Sin embargo, se eligió max_depth = 8 porque: (a) a partir de la profundidad 9 el F1 de entrenamiento se dispara por encima de 0.90, indicando memorización; (b) la brecha entre entrenamiento y validación se abre a partir de 9; y (c) profundidad 8 conserva la interpretabilidad clínica necesaria.</w:t>
      </w:r>
    </w:p>
    <w:p xmlns:wp14="http://schemas.microsoft.com/office/word/2010/wordml" w14:paraId="36290EB9"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Manejo del Desbalance de Clases e Hiperparámetros Finales</w:t>
      </w:r>
    </w:p>
    <w:p xmlns:wp14="http://schemas.microsoft.com/office/word/2010/wordml" w:rsidP="5DCDEE31" w14:paraId="41C8F396" wp14:textId="1A6C82AA">
      <w:pPr>
        <w:spacing w:line="480" w:lineRule="auto"/>
        <w:jc w:val="both"/>
      </w:pPr>
      <w:r w:rsidRPr="5DCDEE31" w:rsidR="5DCDEE31">
        <w:rPr>
          <w:rFonts w:ascii="Times New Roman" w:hAnsi="Times New Roman"/>
          <w:sz w:val="24"/>
          <w:szCs w:val="24"/>
          <w:lang w:val="es-ES"/>
        </w:rPr>
        <w:t>Siguiendo</w:t>
      </w:r>
      <w:r w:rsidRPr="5DCDEE31" w:rsidR="5DCDEE31">
        <w:rPr>
          <w:rFonts w:ascii="Times New Roman" w:hAnsi="Times New Roman"/>
          <w:sz w:val="24"/>
          <w:szCs w:val="24"/>
          <w:lang w:val="es-ES"/>
        </w:rPr>
        <w:t xml:space="preserve"> la </w:t>
      </w:r>
      <w:r w:rsidRPr="5DCDEE31" w:rsidR="5DCDEE31">
        <w:rPr>
          <w:rFonts w:ascii="Times New Roman" w:hAnsi="Times New Roman"/>
          <w:sz w:val="24"/>
          <w:szCs w:val="24"/>
          <w:lang w:val="es-ES"/>
        </w:rPr>
        <w:t>recomendación</w:t>
      </w:r>
      <w:r w:rsidRPr="5DCDEE31" w:rsidR="5DCDEE31">
        <w:rPr>
          <w:rFonts w:ascii="Times New Roman" w:hAnsi="Times New Roman"/>
          <w:sz w:val="24"/>
          <w:szCs w:val="24"/>
          <w:lang w:val="es-ES"/>
        </w:rPr>
        <w:t xml:space="preserve"> de He y García (2009), se </w:t>
      </w:r>
      <w:r w:rsidRPr="5DCDEE31" w:rsidR="5DCDEE31">
        <w:rPr>
          <w:rFonts w:ascii="Times New Roman" w:hAnsi="Times New Roman"/>
          <w:sz w:val="24"/>
          <w:szCs w:val="24"/>
          <w:lang w:val="es-ES"/>
        </w:rPr>
        <w:t>entrenó</w:t>
      </w:r>
      <w:r w:rsidRPr="5DCDEE31" w:rsidR="5DCDEE31">
        <w:rPr>
          <w:rFonts w:ascii="Times New Roman" w:hAnsi="Times New Roman"/>
          <w:sz w:val="24"/>
          <w:szCs w:val="24"/>
          <w:lang w:val="es-ES"/>
        </w:rPr>
        <w:t xml:space="preserve"> </w:t>
      </w:r>
      <w:r w:rsidRPr="5DCDEE31" w:rsidR="5DCDEE31">
        <w:rPr>
          <w:rFonts w:ascii="Times New Roman" w:hAnsi="Times New Roman"/>
          <w:sz w:val="24"/>
          <w:szCs w:val="24"/>
          <w:lang w:val="es-ES"/>
        </w:rPr>
        <w:t>el árbol</w:t>
      </w:r>
      <w:r w:rsidRPr="5DCDEE31" w:rsidR="5DCDEE31">
        <w:rPr>
          <w:rFonts w:ascii="Times New Roman" w:hAnsi="Times New Roman"/>
          <w:sz w:val="24"/>
          <w:szCs w:val="24"/>
          <w:lang w:val="es-ES"/>
        </w:rPr>
        <w:t xml:space="preserve"> con </w:t>
      </w:r>
      <w:r w:rsidRPr="5DCDEE31" w:rsidR="5DCDEE31">
        <w:rPr>
          <w:rFonts w:ascii="Times New Roman" w:hAnsi="Times New Roman"/>
          <w:sz w:val="24"/>
          <w:szCs w:val="24"/>
          <w:lang w:val="es-ES"/>
        </w:rPr>
        <w:t>ponderación</w:t>
      </w:r>
      <w:r w:rsidRPr="5DCDEE31" w:rsidR="5DCDEE31">
        <w:rPr>
          <w:rFonts w:ascii="Times New Roman" w:hAnsi="Times New Roman"/>
          <w:sz w:val="24"/>
          <w:szCs w:val="24"/>
          <w:lang w:val="es-ES"/>
        </w:rPr>
        <w:t xml:space="preserve"> </w:t>
      </w:r>
      <w:r w:rsidRPr="5DCDEE31" w:rsidR="5DCDEE31">
        <w:rPr>
          <w:rFonts w:ascii="Times New Roman" w:hAnsi="Times New Roman"/>
          <w:sz w:val="24"/>
          <w:szCs w:val="24"/>
          <w:lang w:val="es-ES"/>
        </w:rPr>
        <w:t>balanceada</w:t>
      </w:r>
      <w:r w:rsidRPr="5DCDEE31" w:rsidR="5DCDEE31">
        <w:rPr>
          <w:rFonts w:ascii="Times New Roman" w:hAnsi="Times New Roman"/>
          <w:sz w:val="24"/>
          <w:szCs w:val="24"/>
          <w:lang w:val="es-ES"/>
        </w:rPr>
        <w:t xml:space="preserve"> de </w:t>
      </w:r>
      <w:r w:rsidRPr="5DCDEE31" w:rsidR="5DCDEE31">
        <w:rPr>
          <w:rFonts w:ascii="Times New Roman" w:hAnsi="Times New Roman"/>
          <w:sz w:val="24"/>
          <w:szCs w:val="24"/>
          <w:lang w:val="es-ES"/>
        </w:rPr>
        <w:t>clases</w:t>
      </w:r>
      <w:r w:rsidRPr="5DCDEE31" w:rsidR="5DCDEE31">
        <w:rPr>
          <w:rFonts w:ascii="Times New Roman" w:hAnsi="Times New Roman"/>
          <w:sz w:val="24"/>
          <w:szCs w:val="24"/>
          <w:lang w:val="es-ES"/>
        </w:rPr>
        <w:t xml:space="preserve"> (</w:t>
      </w:r>
      <w:r w:rsidRPr="5DCDEE31" w:rsidR="5DCDEE31">
        <w:rPr>
          <w:rFonts w:ascii="Times New Roman" w:hAnsi="Times New Roman"/>
          <w:sz w:val="24"/>
          <w:szCs w:val="24"/>
          <w:lang w:val="es-ES"/>
        </w:rPr>
        <w:t>class_weight</w:t>
      </w:r>
      <w:r w:rsidRPr="5DCDEE31" w:rsidR="5DCDEE31">
        <w:rPr>
          <w:rFonts w:ascii="Times New Roman" w:hAnsi="Times New Roman"/>
          <w:sz w:val="24"/>
          <w:szCs w:val="24"/>
          <w:lang w:val="es-ES"/>
        </w:rPr>
        <w:t xml:space="preserve"> = "balanced"). Los </w:t>
      </w:r>
      <w:r w:rsidRPr="5DCDEE31" w:rsidR="5DCDEE31">
        <w:rPr>
          <w:rFonts w:ascii="Times New Roman" w:hAnsi="Times New Roman"/>
          <w:sz w:val="24"/>
          <w:szCs w:val="24"/>
          <w:lang w:val="es-ES"/>
        </w:rPr>
        <w:t>hiperparámetros</w:t>
      </w:r>
      <w:r w:rsidRPr="5DCDEE31" w:rsidR="5DCDEE31">
        <w:rPr>
          <w:rFonts w:ascii="Times New Roman" w:hAnsi="Times New Roman"/>
          <w:sz w:val="24"/>
          <w:szCs w:val="24"/>
          <w:lang w:val="es-ES"/>
        </w:rPr>
        <w:t xml:space="preserve"> finales </w:t>
      </w:r>
      <w:r w:rsidRPr="5DCDEE31" w:rsidR="5DCDEE31">
        <w:rPr>
          <w:rFonts w:ascii="Times New Roman" w:hAnsi="Times New Roman"/>
          <w:sz w:val="24"/>
          <w:szCs w:val="24"/>
          <w:lang w:val="es-ES"/>
        </w:rPr>
        <w:t>fueron</w:t>
      </w:r>
      <w:r w:rsidRPr="5DCDEE31" w:rsidR="5DCDEE31">
        <w:rPr>
          <w:rFonts w:ascii="Times New Roman" w:hAnsi="Times New Roman"/>
          <w:sz w:val="24"/>
          <w:szCs w:val="24"/>
          <w:lang w:val="es-ES"/>
        </w:rPr>
        <w:t xml:space="preserve">: </w:t>
      </w:r>
      <w:r w:rsidRPr="5DCDEE31" w:rsidR="5DCDEE31">
        <w:rPr>
          <w:rFonts w:ascii="Times New Roman" w:hAnsi="Times New Roman"/>
          <w:sz w:val="24"/>
          <w:szCs w:val="24"/>
          <w:lang w:val="es-ES"/>
        </w:rPr>
        <w:t>max_depth</w:t>
      </w:r>
      <w:r w:rsidRPr="5DCDEE31" w:rsidR="5DCDEE31">
        <w:rPr>
          <w:rFonts w:ascii="Times New Roman" w:hAnsi="Times New Roman"/>
          <w:sz w:val="24"/>
          <w:szCs w:val="24"/>
          <w:lang w:val="es-ES"/>
        </w:rPr>
        <w:t xml:space="preserve"> = 8, </w:t>
      </w:r>
      <w:r w:rsidRPr="5DCDEE31" w:rsidR="5DCDEE31">
        <w:rPr>
          <w:rFonts w:ascii="Times New Roman" w:hAnsi="Times New Roman"/>
          <w:sz w:val="24"/>
          <w:szCs w:val="24"/>
          <w:lang w:val="es-ES"/>
        </w:rPr>
        <w:t>min_samples_leaf</w:t>
      </w:r>
      <w:r w:rsidRPr="5DCDEE31" w:rsidR="5DCDEE31">
        <w:rPr>
          <w:rFonts w:ascii="Times New Roman" w:hAnsi="Times New Roman"/>
          <w:sz w:val="24"/>
          <w:szCs w:val="24"/>
          <w:lang w:val="es-ES"/>
        </w:rPr>
        <w:t xml:space="preserve"> = 20, </w:t>
      </w:r>
      <w:r w:rsidRPr="5DCDEE31" w:rsidR="5DCDEE31">
        <w:rPr>
          <w:rFonts w:ascii="Times New Roman" w:hAnsi="Times New Roman"/>
          <w:sz w:val="24"/>
          <w:szCs w:val="24"/>
          <w:lang w:val="es-ES"/>
        </w:rPr>
        <w:t>class_weight</w:t>
      </w:r>
      <w:r w:rsidRPr="5DCDEE31" w:rsidR="5DCDEE31">
        <w:rPr>
          <w:rFonts w:ascii="Times New Roman" w:hAnsi="Times New Roman"/>
          <w:sz w:val="24"/>
          <w:szCs w:val="24"/>
          <w:lang w:val="es-ES"/>
        </w:rPr>
        <w:t xml:space="preserve"> = "balanced" y </w:t>
      </w:r>
      <w:r w:rsidRPr="5DCDEE31" w:rsidR="5DCDEE31">
        <w:rPr>
          <w:rFonts w:ascii="Times New Roman" w:hAnsi="Times New Roman"/>
          <w:sz w:val="24"/>
          <w:szCs w:val="24"/>
          <w:lang w:val="es-ES"/>
        </w:rPr>
        <w:t>random_state</w:t>
      </w:r>
      <w:r w:rsidRPr="5DCDEE31" w:rsidR="5DCDEE31">
        <w:rPr>
          <w:rFonts w:ascii="Times New Roman" w:hAnsi="Times New Roman"/>
          <w:sz w:val="24"/>
          <w:szCs w:val="24"/>
          <w:lang w:val="es-ES"/>
        </w:rPr>
        <w:t xml:space="preserve"> = 42.</w:t>
      </w:r>
    </w:p>
    <w:p xmlns:wp14="http://schemas.microsoft.com/office/word/2010/wordml" w14:paraId="67DE37F1" wp14:textId="77777777">
      <w:pPr>
        <w:pStyle w:val="Heading1"/>
        <w:spacing w:line="480" w:lineRule="auto"/>
      </w:pPr>
      <w:r w:rsidRPr="4C0BF8D1" w:rsidR="4944B765">
        <w:rPr>
          <w:rFonts w:ascii="Times New Roman" w:hAnsi="Times New Roman"/>
          <w:b w:val="1"/>
          <w:bCs w:val="1"/>
          <w:color w:val="000000" w:themeColor="text1" w:themeTint="FF" w:themeShade="FF"/>
          <w:sz w:val="24"/>
          <w:szCs w:val="24"/>
        </w:rPr>
        <w:t>Resultados de Entrenamiento y Evaluación</w:t>
      </w:r>
    </w:p>
    <w:p xmlns:wp14="http://schemas.microsoft.com/office/word/2010/wordml" w14:paraId="6358DC42" wp14:textId="77777777">
      <w:pPr>
        <w:spacing w:line="480" w:lineRule="auto"/>
        <w:jc w:val="both"/>
      </w:pPr>
      <w:r>
        <w:rPr>
          <w:rFonts w:ascii="Times New Roman" w:hAnsi="Times New Roman"/>
          <w:sz w:val="24"/>
        </w:rPr>
        <w:t>El modelo se implementó en Python con scikit-learn. La Tabla 1 resume las métricas sobre el conjunto de prueba (1.962 casos no usados en entrenamiento).</w:t>
      </w:r>
    </w:p>
    <w:p xmlns:wp14="http://schemas.microsoft.com/office/word/2010/wordml" w14:paraId="106E44A4" wp14:textId="77777777">
      <w:pPr>
        <w:jc w:val="center"/>
      </w:pPr>
      <w:r>
        <w:rPr>
          <w:rFonts w:ascii="Times New Roman" w:hAnsi="Times New Roman"/>
          <w:b/>
          <w:sz w:val="22"/>
        </w:rPr>
        <w:t>Tabla 1</w:t>
      </w:r>
    </w:p>
    <w:p xmlns:wp14="http://schemas.microsoft.com/office/word/2010/wordml" w14:paraId="229EC03E" wp14:textId="77777777">
      <w:pPr>
        <w:jc w:val="center"/>
      </w:pPr>
      <w:r>
        <w:rPr>
          <w:rFonts w:ascii="Times New Roman" w:hAnsi="Times New Roman"/>
          <w:i/>
          <w:sz w:val="22"/>
        </w:rPr>
        <w:t>Desempeño del Árbol de Decisiones Final sobre el Conjunto de Prueba, por Clase</w:t>
      </w:r>
    </w:p>
    <w:tbl>
      <w:tblPr>
        <w:tblStyle w:val="TableGrid"/>
        <w:tblW w:w="0" w:type="auto"/>
        <w:tblLook w:val="04A0" w:firstRow="1" w:lastRow="0" w:firstColumn="1" w:lastColumn="0" w:noHBand="0" w:noVBand="1"/>
      </w:tblPr>
      <w:tblGrid>
        <w:gridCol w:w="1872"/>
        <w:gridCol w:w="1872"/>
        <w:gridCol w:w="1872"/>
        <w:gridCol w:w="1872"/>
        <w:gridCol w:w="1872"/>
      </w:tblGrid>
      <w:tr xmlns:wp14="http://schemas.microsoft.com/office/word/2010/wordml" w14:paraId="084A1350" wp14:textId="77777777">
        <w:tc>
          <w:tcPr>
            <w:tcW w:w="1872" w:type="dxa"/>
          </w:tcPr>
          <w:p w14:paraId="47CA6D6D" wp14:textId="77777777">
            <w:r>
              <w:rPr>
                <w:rFonts w:ascii="Times New Roman" w:hAnsi="Times New Roman"/>
                <w:sz w:val="20"/>
              </w:rPr>
              <w:t>Clase</w:t>
            </w:r>
          </w:p>
        </w:tc>
        <w:tc>
          <w:tcPr>
            <w:tcW w:w="1872" w:type="dxa"/>
          </w:tcPr>
          <w:p w14:paraId="38187533" wp14:textId="77777777">
            <w:r>
              <w:rPr>
                <w:rFonts w:ascii="Times New Roman" w:hAnsi="Times New Roman"/>
                <w:sz w:val="20"/>
              </w:rPr>
              <w:t>Precisión</w:t>
            </w:r>
          </w:p>
        </w:tc>
        <w:tc>
          <w:tcPr>
            <w:tcW w:w="1872" w:type="dxa"/>
          </w:tcPr>
          <w:p w14:paraId="007BA675" wp14:textId="77777777">
            <w:r>
              <w:rPr>
                <w:rFonts w:ascii="Times New Roman" w:hAnsi="Times New Roman"/>
                <w:sz w:val="20"/>
              </w:rPr>
              <w:t>Sensibilidad (recall)</w:t>
            </w:r>
          </w:p>
        </w:tc>
        <w:tc>
          <w:tcPr>
            <w:tcW w:w="1872" w:type="dxa"/>
          </w:tcPr>
          <w:p w14:paraId="65BF7228" wp14:textId="77777777">
            <w:r>
              <w:rPr>
                <w:rFonts w:ascii="Times New Roman" w:hAnsi="Times New Roman"/>
                <w:sz w:val="20"/>
              </w:rPr>
              <w:t>F1</w:t>
            </w:r>
          </w:p>
        </w:tc>
        <w:tc>
          <w:tcPr>
            <w:tcW w:w="1872" w:type="dxa"/>
          </w:tcPr>
          <w:p w14:paraId="243BBB97" wp14:textId="77777777">
            <w:r>
              <w:rPr>
                <w:rFonts w:ascii="Times New Roman" w:hAnsi="Times New Roman"/>
                <w:sz w:val="20"/>
              </w:rPr>
              <w:t>Casos en prueba</w:t>
            </w:r>
          </w:p>
        </w:tc>
      </w:tr>
      <w:tr xmlns:wp14="http://schemas.microsoft.com/office/word/2010/wordml" w14:paraId="201AA0A0" wp14:textId="77777777">
        <w:tc>
          <w:tcPr>
            <w:tcW w:w="1872" w:type="dxa"/>
          </w:tcPr>
          <w:p w14:paraId="0DD5561D" wp14:textId="77777777">
            <w:r>
              <w:rPr>
                <w:rFonts w:ascii="Times New Roman" w:hAnsi="Times New Roman"/>
                <w:sz w:val="20"/>
              </w:rPr>
              <w:t>Con alarma</w:t>
            </w:r>
          </w:p>
        </w:tc>
        <w:tc>
          <w:tcPr>
            <w:tcW w:w="1872" w:type="dxa"/>
          </w:tcPr>
          <w:p w14:paraId="50A01100" wp14:textId="77777777">
            <w:r>
              <w:rPr>
                <w:rFonts w:ascii="Times New Roman" w:hAnsi="Times New Roman"/>
                <w:sz w:val="20"/>
              </w:rPr>
              <w:t>0.995</w:t>
            </w:r>
          </w:p>
        </w:tc>
        <w:tc>
          <w:tcPr>
            <w:tcW w:w="1872" w:type="dxa"/>
          </w:tcPr>
          <w:p w14:paraId="4AAE4C91" wp14:textId="77777777">
            <w:r>
              <w:rPr>
                <w:rFonts w:ascii="Times New Roman" w:hAnsi="Times New Roman"/>
                <w:sz w:val="20"/>
              </w:rPr>
              <w:t>0.946</w:t>
            </w:r>
          </w:p>
        </w:tc>
        <w:tc>
          <w:tcPr>
            <w:tcW w:w="1872" w:type="dxa"/>
          </w:tcPr>
          <w:p w14:paraId="0541C1E2" wp14:textId="77777777">
            <w:r>
              <w:rPr>
                <w:rFonts w:ascii="Times New Roman" w:hAnsi="Times New Roman"/>
                <w:sz w:val="20"/>
              </w:rPr>
              <w:t>0.970</w:t>
            </w:r>
          </w:p>
        </w:tc>
        <w:tc>
          <w:tcPr>
            <w:tcW w:w="1872" w:type="dxa"/>
          </w:tcPr>
          <w:p w14:paraId="5E108F67" wp14:textId="77777777">
            <w:r>
              <w:rPr>
                <w:rFonts w:ascii="Times New Roman" w:hAnsi="Times New Roman"/>
                <w:sz w:val="20"/>
              </w:rPr>
              <w:t>1172</w:t>
            </w:r>
          </w:p>
        </w:tc>
      </w:tr>
      <w:tr xmlns:wp14="http://schemas.microsoft.com/office/word/2010/wordml" w14:paraId="5C1207BB" wp14:textId="77777777">
        <w:tc>
          <w:tcPr>
            <w:tcW w:w="1872" w:type="dxa"/>
          </w:tcPr>
          <w:p w14:paraId="5E8BBEFA" wp14:textId="77777777">
            <w:r>
              <w:rPr>
                <w:rFonts w:ascii="Times New Roman" w:hAnsi="Times New Roman"/>
                <w:sz w:val="20"/>
              </w:rPr>
              <w:t>Grave</w:t>
            </w:r>
          </w:p>
        </w:tc>
        <w:tc>
          <w:tcPr>
            <w:tcW w:w="1872" w:type="dxa"/>
          </w:tcPr>
          <w:p w14:paraId="21AA1CD3" wp14:textId="77777777">
            <w:r>
              <w:rPr>
                <w:rFonts w:ascii="Times New Roman" w:hAnsi="Times New Roman"/>
                <w:sz w:val="20"/>
              </w:rPr>
              <w:t>0.016</w:t>
            </w:r>
          </w:p>
        </w:tc>
        <w:tc>
          <w:tcPr>
            <w:tcW w:w="1872" w:type="dxa"/>
          </w:tcPr>
          <w:p w14:paraId="6EEB381F" wp14:textId="77777777">
            <w:r>
              <w:rPr>
                <w:rFonts w:ascii="Times New Roman" w:hAnsi="Times New Roman"/>
                <w:sz w:val="20"/>
              </w:rPr>
              <w:t>0.200</w:t>
            </w:r>
          </w:p>
        </w:tc>
        <w:tc>
          <w:tcPr>
            <w:tcW w:w="1872" w:type="dxa"/>
          </w:tcPr>
          <w:p w14:paraId="6083CFF9" wp14:textId="77777777">
            <w:r>
              <w:rPr>
                <w:rFonts w:ascii="Times New Roman" w:hAnsi="Times New Roman"/>
                <w:sz w:val="20"/>
              </w:rPr>
              <w:t>0.029</w:t>
            </w:r>
          </w:p>
        </w:tc>
        <w:tc>
          <w:tcPr>
            <w:tcW w:w="1872" w:type="dxa"/>
          </w:tcPr>
          <w:p w14:paraId="78941E47" wp14:textId="77777777">
            <w:r>
              <w:rPr>
                <w:rFonts w:ascii="Times New Roman" w:hAnsi="Times New Roman"/>
                <w:sz w:val="20"/>
              </w:rPr>
              <w:t>5</w:t>
            </w:r>
          </w:p>
        </w:tc>
      </w:tr>
      <w:tr xmlns:wp14="http://schemas.microsoft.com/office/word/2010/wordml" w14:paraId="204162D4" wp14:textId="77777777">
        <w:tc>
          <w:tcPr>
            <w:tcW w:w="1872" w:type="dxa"/>
          </w:tcPr>
          <w:p w14:paraId="06601C6F" wp14:textId="77777777">
            <w:r>
              <w:rPr>
                <w:rFonts w:ascii="Times New Roman" w:hAnsi="Times New Roman"/>
                <w:sz w:val="20"/>
              </w:rPr>
              <w:t>Sin alarma</w:t>
            </w:r>
          </w:p>
        </w:tc>
        <w:tc>
          <w:tcPr>
            <w:tcW w:w="1872" w:type="dxa"/>
          </w:tcPr>
          <w:p w14:paraId="3988D601" wp14:textId="77777777">
            <w:r>
              <w:rPr>
                <w:rFonts w:ascii="Times New Roman" w:hAnsi="Times New Roman"/>
                <w:sz w:val="20"/>
              </w:rPr>
              <w:t>0.982</w:t>
            </w:r>
          </w:p>
        </w:tc>
        <w:tc>
          <w:tcPr>
            <w:tcW w:w="1872" w:type="dxa"/>
          </w:tcPr>
          <w:p w14:paraId="2D5E392C" wp14:textId="77777777">
            <w:r>
              <w:rPr>
                <w:rFonts w:ascii="Times New Roman" w:hAnsi="Times New Roman"/>
                <w:sz w:val="20"/>
              </w:rPr>
              <w:t>0.981</w:t>
            </w:r>
          </w:p>
        </w:tc>
        <w:tc>
          <w:tcPr>
            <w:tcW w:w="1872" w:type="dxa"/>
          </w:tcPr>
          <w:p w14:paraId="095B1FF2" wp14:textId="77777777">
            <w:r>
              <w:rPr>
                <w:rFonts w:ascii="Times New Roman" w:hAnsi="Times New Roman"/>
                <w:sz w:val="20"/>
              </w:rPr>
              <w:t>0.982</w:t>
            </w:r>
          </w:p>
        </w:tc>
        <w:tc>
          <w:tcPr>
            <w:tcW w:w="1872" w:type="dxa"/>
          </w:tcPr>
          <w:p w14:paraId="29CAFD07" wp14:textId="77777777">
            <w:r>
              <w:rPr>
                <w:rFonts w:ascii="Times New Roman" w:hAnsi="Times New Roman"/>
                <w:sz w:val="20"/>
              </w:rPr>
              <w:t>785</w:t>
            </w:r>
          </w:p>
        </w:tc>
      </w:tr>
      <w:tr xmlns:wp14="http://schemas.microsoft.com/office/word/2010/wordml" w14:paraId="260D1870" wp14:textId="77777777">
        <w:tc>
          <w:tcPr>
            <w:tcW w:w="1872" w:type="dxa"/>
          </w:tcPr>
          <w:p w14:paraId="7839685A" wp14:textId="77777777">
            <w:r>
              <w:rPr>
                <w:rFonts w:ascii="Times New Roman" w:hAnsi="Times New Roman"/>
                <w:sz w:val="20"/>
              </w:rPr>
              <w:t>Exactitud global</w:t>
            </w:r>
          </w:p>
        </w:tc>
        <w:tc>
          <w:tcPr>
            <w:tcW w:w="1872" w:type="dxa"/>
          </w:tcPr>
          <w:p w14:paraId="2D366E0F" wp14:textId="77777777">
            <w:r>
              <w:rPr>
                <w:rFonts w:ascii="Times New Roman" w:hAnsi="Times New Roman"/>
                <w:sz w:val="20"/>
              </w:rPr>
              <w:t>—</w:t>
            </w:r>
          </w:p>
        </w:tc>
        <w:tc>
          <w:tcPr>
            <w:tcW w:w="1872" w:type="dxa"/>
          </w:tcPr>
          <w:p w14:paraId="1230D8BB" wp14:textId="77777777">
            <w:r>
              <w:rPr>
                <w:rFonts w:ascii="Times New Roman" w:hAnsi="Times New Roman"/>
                <w:sz w:val="20"/>
              </w:rPr>
              <w:t>—</w:t>
            </w:r>
          </w:p>
        </w:tc>
        <w:tc>
          <w:tcPr>
            <w:tcW w:w="1872" w:type="dxa"/>
          </w:tcPr>
          <w:p w14:paraId="4C861283" wp14:textId="77777777">
            <w:r>
              <w:rPr>
                <w:rFonts w:ascii="Times New Roman" w:hAnsi="Times New Roman"/>
                <w:sz w:val="20"/>
              </w:rPr>
              <w:t>0.958</w:t>
            </w:r>
          </w:p>
        </w:tc>
        <w:tc>
          <w:tcPr>
            <w:tcW w:w="1872" w:type="dxa"/>
          </w:tcPr>
          <w:p w14:paraId="6F05E3AE" wp14:textId="77777777">
            <w:r>
              <w:rPr>
                <w:rFonts w:ascii="Times New Roman" w:hAnsi="Times New Roman"/>
                <w:sz w:val="20"/>
              </w:rPr>
              <w:t>1962</w:t>
            </w:r>
          </w:p>
        </w:tc>
      </w:tr>
      <w:tr xmlns:wp14="http://schemas.microsoft.com/office/word/2010/wordml" w14:paraId="0F0FFEFE" wp14:textId="77777777">
        <w:tc>
          <w:tcPr>
            <w:tcW w:w="1872" w:type="dxa"/>
          </w:tcPr>
          <w:p w14:paraId="26DE1D9A" wp14:textId="77777777">
            <w:r>
              <w:rPr>
                <w:rFonts w:ascii="Times New Roman" w:hAnsi="Times New Roman"/>
                <w:sz w:val="20"/>
              </w:rPr>
              <w:t>Promedio macro</w:t>
            </w:r>
          </w:p>
        </w:tc>
        <w:tc>
          <w:tcPr>
            <w:tcW w:w="1872" w:type="dxa"/>
          </w:tcPr>
          <w:p w14:paraId="0A228509" wp14:textId="77777777">
            <w:r>
              <w:rPr>
                <w:rFonts w:ascii="Times New Roman" w:hAnsi="Times New Roman"/>
                <w:sz w:val="20"/>
              </w:rPr>
              <w:t>0.664</w:t>
            </w:r>
          </w:p>
        </w:tc>
        <w:tc>
          <w:tcPr>
            <w:tcW w:w="1872" w:type="dxa"/>
          </w:tcPr>
          <w:p w14:paraId="517E9BE4" wp14:textId="77777777">
            <w:r>
              <w:rPr>
                <w:rFonts w:ascii="Times New Roman" w:hAnsi="Times New Roman"/>
                <w:sz w:val="20"/>
              </w:rPr>
              <w:t>0.709</w:t>
            </w:r>
          </w:p>
        </w:tc>
        <w:tc>
          <w:tcPr>
            <w:tcW w:w="1872" w:type="dxa"/>
          </w:tcPr>
          <w:p w14:paraId="15F97380" wp14:textId="77777777">
            <w:r>
              <w:rPr>
                <w:rFonts w:ascii="Times New Roman" w:hAnsi="Times New Roman"/>
                <w:sz w:val="20"/>
              </w:rPr>
              <w:t>0.660</w:t>
            </w:r>
          </w:p>
        </w:tc>
        <w:tc>
          <w:tcPr>
            <w:tcW w:w="1872" w:type="dxa"/>
          </w:tcPr>
          <w:p w14:paraId="429ADD1C" wp14:textId="77777777">
            <w:r>
              <w:rPr>
                <w:rFonts w:ascii="Times New Roman" w:hAnsi="Times New Roman"/>
                <w:sz w:val="20"/>
              </w:rPr>
              <w:t>1962</w:t>
            </w:r>
          </w:p>
        </w:tc>
      </w:tr>
      <w:tr xmlns:wp14="http://schemas.microsoft.com/office/word/2010/wordml" w14:paraId="6A0DE745" wp14:textId="77777777">
        <w:tc>
          <w:tcPr>
            <w:tcW w:w="1872" w:type="dxa"/>
          </w:tcPr>
          <w:p w14:paraId="64459BEE" wp14:textId="77777777">
            <w:r>
              <w:rPr>
                <w:rFonts w:ascii="Times New Roman" w:hAnsi="Times New Roman"/>
                <w:sz w:val="20"/>
              </w:rPr>
              <w:t>Promedio ponderado</w:t>
            </w:r>
          </w:p>
        </w:tc>
        <w:tc>
          <w:tcPr>
            <w:tcW w:w="1872" w:type="dxa"/>
          </w:tcPr>
          <w:p w14:paraId="6DF1B88E" wp14:textId="77777777">
            <w:r>
              <w:rPr>
                <w:rFonts w:ascii="Times New Roman" w:hAnsi="Times New Roman"/>
                <w:sz w:val="20"/>
              </w:rPr>
              <w:t>0.987</w:t>
            </w:r>
          </w:p>
        </w:tc>
        <w:tc>
          <w:tcPr>
            <w:tcW w:w="1872" w:type="dxa"/>
          </w:tcPr>
          <w:p w14:paraId="08D56432" wp14:textId="77777777">
            <w:r>
              <w:rPr>
                <w:rFonts w:ascii="Times New Roman" w:hAnsi="Times New Roman"/>
                <w:sz w:val="20"/>
              </w:rPr>
              <w:t>0.958</w:t>
            </w:r>
          </w:p>
        </w:tc>
        <w:tc>
          <w:tcPr>
            <w:tcW w:w="1872" w:type="dxa"/>
          </w:tcPr>
          <w:p w14:paraId="24E075C5" wp14:textId="77777777">
            <w:r>
              <w:rPr>
                <w:rFonts w:ascii="Times New Roman" w:hAnsi="Times New Roman"/>
                <w:sz w:val="20"/>
              </w:rPr>
              <w:t>0.972</w:t>
            </w:r>
          </w:p>
        </w:tc>
        <w:tc>
          <w:tcPr>
            <w:tcW w:w="1872" w:type="dxa"/>
          </w:tcPr>
          <w:p w14:paraId="112ACF76" wp14:textId="77777777">
            <w:r>
              <w:rPr>
                <w:rFonts w:ascii="Times New Roman" w:hAnsi="Times New Roman"/>
                <w:sz w:val="20"/>
              </w:rPr>
              <w:t>1962</w:t>
            </w:r>
          </w:p>
        </w:tc>
      </w:tr>
    </w:tbl>
    <w:p xmlns:wp14="http://schemas.microsoft.com/office/word/2010/wordml" w14:paraId="195FFBBA" wp14:textId="40481C06">
      <w:pPr>
        <w:jc w:val="center"/>
      </w:pPr>
      <w:r w:rsidRPr="5DCDEE31" w:rsidR="5DCDEE31">
        <w:rPr>
          <w:rFonts w:ascii="Times New Roman" w:hAnsi="Times New Roman"/>
          <w:i w:val="1"/>
          <w:iCs w:val="1"/>
          <w:sz w:val="20"/>
          <w:szCs w:val="20"/>
        </w:rPr>
        <w:t xml:space="preserve">Nota.  El </w:t>
      </w:r>
      <w:r w:rsidRPr="5DCDEE31" w:rsidR="5DCDEE31">
        <w:rPr>
          <w:rFonts w:ascii="Times New Roman" w:hAnsi="Times New Roman"/>
          <w:i w:val="1"/>
          <w:iCs w:val="1"/>
          <w:sz w:val="20"/>
          <w:szCs w:val="20"/>
        </w:rPr>
        <w:t>promedio</w:t>
      </w:r>
      <w:r w:rsidRPr="5DCDEE31" w:rsidR="5DCDEE31">
        <w:rPr>
          <w:rFonts w:ascii="Times New Roman" w:hAnsi="Times New Roman"/>
          <w:i w:val="1"/>
          <w:iCs w:val="1"/>
          <w:sz w:val="20"/>
          <w:szCs w:val="20"/>
        </w:rPr>
        <w:t xml:space="preserve"> macro es la </w:t>
      </w:r>
      <w:r w:rsidRPr="5DCDEE31" w:rsidR="5DCDEE31">
        <w:rPr>
          <w:rFonts w:ascii="Times New Roman" w:hAnsi="Times New Roman"/>
          <w:i w:val="1"/>
          <w:iCs w:val="1"/>
          <w:sz w:val="20"/>
          <w:szCs w:val="20"/>
        </w:rPr>
        <w:t>métrica</w:t>
      </w:r>
      <w:r w:rsidRPr="5DCDEE31" w:rsidR="5DCDEE31">
        <w:rPr>
          <w:rFonts w:ascii="Times New Roman" w:hAnsi="Times New Roman"/>
          <w:i w:val="1"/>
          <w:iCs w:val="1"/>
          <w:sz w:val="20"/>
          <w:szCs w:val="20"/>
        </w:rPr>
        <w:t xml:space="preserve"> </w:t>
      </w:r>
      <w:r w:rsidRPr="5DCDEE31" w:rsidR="5DCDEE31">
        <w:rPr>
          <w:rFonts w:ascii="Times New Roman" w:hAnsi="Times New Roman"/>
          <w:i w:val="1"/>
          <w:iCs w:val="1"/>
          <w:sz w:val="20"/>
          <w:szCs w:val="20"/>
        </w:rPr>
        <w:t>guía</w:t>
      </w:r>
      <w:r w:rsidRPr="5DCDEE31" w:rsidR="5DCDEE31">
        <w:rPr>
          <w:rFonts w:ascii="Times New Roman" w:hAnsi="Times New Roman"/>
          <w:i w:val="1"/>
          <w:iCs w:val="1"/>
          <w:sz w:val="20"/>
          <w:szCs w:val="20"/>
        </w:rPr>
        <w:t xml:space="preserve"> de </w:t>
      </w:r>
      <w:r w:rsidRPr="5DCDEE31" w:rsidR="5DCDEE31">
        <w:rPr>
          <w:rFonts w:ascii="Times New Roman" w:hAnsi="Times New Roman"/>
          <w:i w:val="1"/>
          <w:iCs w:val="1"/>
          <w:sz w:val="20"/>
          <w:szCs w:val="20"/>
        </w:rPr>
        <w:t>este</w:t>
      </w:r>
      <w:r w:rsidRPr="5DCDEE31" w:rsidR="5DCDEE31">
        <w:rPr>
          <w:rFonts w:ascii="Times New Roman" w:hAnsi="Times New Roman"/>
          <w:i w:val="1"/>
          <w:iCs w:val="1"/>
          <w:sz w:val="20"/>
          <w:szCs w:val="20"/>
        </w:rPr>
        <w:t xml:space="preserve"> </w:t>
      </w:r>
      <w:r w:rsidRPr="5DCDEE31" w:rsidR="5DCDEE31">
        <w:rPr>
          <w:rFonts w:ascii="Times New Roman" w:hAnsi="Times New Roman"/>
          <w:i w:val="1"/>
          <w:iCs w:val="1"/>
          <w:sz w:val="20"/>
          <w:szCs w:val="20"/>
        </w:rPr>
        <w:t>trabajo</w:t>
      </w:r>
      <w:r w:rsidRPr="5DCDEE31" w:rsidR="5DCDEE31">
        <w:rPr>
          <w:rFonts w:ascii="Times New Roman" w:hAnsi="Times New Roman"/>
          <w:i w:val="1"/>
          <w:iCs w:val="1"/>
          <w:sz w:val="20"/>
          <w:szCs w:val="20"/>
        </w:rPr>
        <w:t xml:space="preserve"> (He y García, 2009).</w:t>
      </w:r>
    </w:p>
    <w:p xmlns:wp14="http://schemas.microsoft.com/office/word/2010/wordml" w14:paraId="3AE6B8F6" wp14:textId="77777777">
      <w:pPr>
        <w:spacing w:line="480" w:lineRule="auto"/>
        <w:jc w:val="both"/>
      </w:pPr>
      <w:r>
        <w:rPr>
          <w:rFonts w:ascii="Times New Roman" w:hAnsi="Times New Roman"/>
          <w:sz w:val="24"/>
        </w:rPr>
        <w:t>La exactitud global (95.8%) es alta pero engañosa por el desbalance de clases: un modelo que clasificara todo como "Con alarma" o "Sin alarma" alcanzaría una exactitud similar. Por eso el F1-macro (0.660) se usó como métrica principal. La clase "Grave" obtuvo F1 de 0.029 (solo 5 casos en prueba), mientras "Sin alarma" y "Con alarma" obtuvieron 0.982 y 0.970 respectivamente.</w:t>
      </w:r>
    </w:p>
    <w:p xmlns:wp14="http://schemas.microsoft.com/office/word/2010/wordml" w14:paraId="514328CE" wp14:textId="77777777">
      <w:pPr>
        <w:jc w:val="center"/>
      </w:pPr>
      <w:r>
        <w:rPr>
          <w:rFonts w:ascii="Times New Roman" w:hAnsi="Times New Roman"/>
          <w:b/>
          <w:sz w:val="22"/>
        </w:rPr>
        <w:t>Figura 2</w:t>
      </w:r>
    </w:p>
    <w:p xmlns:wp14="http://schemas.microsoft.com/office/word/2010/wordml" w14:paraId="00337F22" wp14:textId="77777777">
      <w:pPr>
        <w:jc w:val="center"/>
      </w:pPr>
      <w:r>
        <w:rPr>
          <w:rFonts w:ascii="Times New Roman" w:hAnsi="Times New Roman"/>
          <w:i/>
          <w:sz w:val="22"/>
        </w:rPr>
        <w:t>Árbol de Decisiones Entrenado (Primeras Tres Capas de Ocho)</w:t>
      </w:r>
    </w:p>
    <w:p xmlns:wp14="http://schemas.microsoft.com/office/word/2010/wordml" w14:paraId="72A3D3EC" wp14:textId="77777777">
      <w:pPr>
        <w:jc w:val="center"/>
      </w:pPr>
      <w:r>
        <w:drawing>
          <wp:inline xmlns:a="http://schemas.openxmlformats.org/drawingml/2006/main" xmlns:pic="http://schemas.openxmlformats.org/drawingml/2006/picture" xmlns:wp14="http://schemas.microsoft.com/office/word/2010/wordprocessingDrawing" wp14:anchorId="0B25D568" wp14:editId="7777777">
            <wp:extent cx="4572000" cy="2066795"/>
            <wp:docPr id="2" name="Picture 2"/>
            <wp:cNvGraphicFramePr>
              <a:graphicFrameLocks noChangeAspect="1"/>
            </wp:cNvGraphicFramePr>
            <a:graphic>
              <a:graphicData uri="http://schemas.openxmlformats.org/drawingml/2006/picture">
                <pic:pic>
                  <pic:nvPicPr>
                    <pic:cNvPr id="0" name="fig_1.png"/>
                    <pic:cNvPicPr/>
                  </pic:nvPicPr>
                  <pic:blipFill>
                    <a:blip r:embed="rId10"/>
                    <a:stretch>
                      <a:fillRect/>
                    </a:stretch>
                  </pic:blipFill>
                  <pic:spPr>
                    <a:xfrm>
                      <a:off x="0" y="0"/>
                      <a:ext cx="4572000" cy="2066795"/>
                    </a:xfrm>
                    <a:prstGeom prst="rect"/>
                  </pic:spPr>
                </pic:pic>
              </a:graphicData>
            </a:graphic>
          </wp:inline>
        </w:drawing>
      </w:r>
    </w:p>
    <w:p xmlns:wp14="http://schemas.microsoft.com/office/word/2010/wordml" w14:paraId="00708AA3" wp14:textId="77777777">
      <w:pPr>
        <w:jc w:val="center"/>
      </w:pPr>
      <w:r>
        <w:rPr>
          <w:rFonts w:ascii="Times New Roman" w:hAnsi="Times New Roman"/>
          <w:i/>
          <w:sz w:val="20"/>
        </w:rPr>
        <w:t>Nota. Elaboración propia. El árbol completo tiene ocho niveles; se muestran los primeros tres por legibilidad.</w:t>
      </w:r>
    </w:p>
    <w:p xmlns:wp14="http://schemas.microsoft.com/office/word/2010/wordml" w14:paraId="3144410A" wp14:textId="77777777">
      <w:pPr>
        <w:spacing w:line="480" w:lineRule="auto"/>
        <w:jc w:val="both"/>
      </w:pPr>
      <w:r>
        <w:rPr>
          <w:rFonts w:ascii="Times New Roman" w:hAnsi="Times New Roman"/>
          <w:sz w:val="24"/>
        </w:rPr>
        <w:t>La primera partición del modelo es la caída de plaquetas, seguida de mialgias y dolor abdominal, un patrón coherente con los signos de alarma de la literatura. De los cinco casos "Grave" reales, el modelo predijo correctamente uno, clasificó cuatro como "Con alarma" y ninguno como "Sin alarma", lo cual es positivo desde el punto de vista de seguridad clínica.</w:t>
      </w:r>
    </w:p>
    <w:p xmlns:wp14="http://schemas.microsoft.com/office/word/2010/wordml" w14:paraId="085A8AAE" wp14:textId="77777777">
      <w:pPr>
        <w:jc w:val="center"/>
      </w:pPr>
      <w:r>
        <w:rPr>
          <w:rFonts w:ascii="Times New Roman" w:hAnsi="Times New Roman"/>
          <w:b/>
          <w:sz w:val="22"/>
        </w:rPr>
        <w:t>Figura 3</w:t>
      </w:r>
    </w:p>
    <w:p xmlns:wp14="http://schemas.microsoft.com/office/word/2010/wordml" w14:paraId="5DBF04F5" wp14:textId="77777777">
      <w:pPr>
        <w:jc w:val="center"/>
      </w:pPr>
      <w:r>
        <w:rPr>
          <w:rFonts w:ascii="Times New Roman" w:hAnsi="Times New Roman"/>
          <w:i/>
          <w:sz w:val="22"/>
        </w:rPr>
        <w:t>Matriz de Confusión del Árbol de Decisiones sobre el Conjunto de Prueba</w:t>
      </w:r>
    </w:p>
    <w:p xmlns:wp14="http://schemas.microsoft.com/office/word/2010/wordml" w14:paraId="0D0B940D" wp14:textId="77777777">
      <w:pPr>
        <w:jc w:val="center"/>
      </w:pPr>
      <w:r w:rsidR="5DCDEE31">
        <w:drawing>
          <wp:inline xmlns:wp14="http://schemas.microsoft.com/office/word/2010/wordprocessingDrawing" wp14:editId="5230263B" wp14:anchorId="63B66DEC">
            <wp:extent cx="3657600" cy="2971800"/>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2.png"/>
                    <pic:cNvPicPr/>
                  </pic:nvPicPr>
                  <pic:blipFill>
                    <a:blip xmlns:r="http://schemas.openxmlformats.org/officeDocument/2006/relationships" r:embed="rId11"/>
                    <a:stretch>
                      <a:fillRect/>
                    </a:stretch>
                  </pic:blipFill>
                  <pic:spPr>
                    <a:xfrm>
                      <a:off x="0" y="0"/>
                      <a:ext cx="3657600" cy="2971800"/>
                    </a:xfrm>
                    <a:prstGeom prst="rect"/>
                  </pic:spPr>
                </pic:pic>
              </a:graphicData>
            </a:graphic>
          </wp:inline>
        </w:drawing>
      </w:r>
    </w:p>
    <w:p xmlns:wp14="http://schemas.microsoft.com/office/word/2010/wordml" w14:paraId="3CDCDBCD" wp14:textId="77777777">
      <w:pPr>
        <w:spacing w:line="480" w:lineRule="auto"/>
        <w:jc w:val="both"/>
      </w:pPr>
      <w:r>
        <w:rPr>
          <w:rFonts w:ascii="Times New Roman" w:hAnsi="Times New Roman"/>
          <w:sz w:val="24"/>
        </w:rPr>
        <w:t>La Figura 4 muestra la importancia de cada variable, medida por la reducción de impureza. La caída de plaquetas es la variable más determinante, seguida de mialgias, dolor abdominal y cefalea. El estrato socioeconómico aparece con una importancia de aproximadamente 0.03, con implicaciones éticas que se discuten en la siguiente sección.</w:t>
      </w:r>
    </w:p>
    <w:p xmlns:wp14="http://schemas.microsoft.com/office/word/2010/wordml" w14:paraId="6BB9415C" wp14:textId="77777777">
      <w:pPr>
        <w:jc w:val="center"/>
      </w:pPr>
      <w:r>
        <w:rPr>
          <w:rFonts w:ascii="Times New Roman" w:hAnsi="Times New Roman"/>
          <w:b/>
          <w:sz w:val="22"/>
        </w:rPr>
        <w:t>Figura 4</w:t>
      </w:r>
    </w:p>
    <w:p xmlns:wp14="http://schemas.microsoft.com/office/word/2010/wordml" w14:paraId="2ADB2ABD" wp14:textId="77777777">
      <w:pPr>
        <w:jc w:val="center"/>
      </w:pPr>
      <w:r>
        <w:rPr>
          <w:rFonts w:ascii="Times New Roman" w:hAnsi="Times New Roman"/>
          <w:i/>
          <w:sz w:val="22"/>
        </w:rPr>
        <w:t>Importancia de las Variables en las Decisiones del Árbol</w:t>
      </w:r>
    </w:p>
    <w:p xmlns:wp14="http://schemas.microsoft.com/office/word/2010/wordml" w14:paraId="0E27B00A" wp14:textId="77777777">
      <w:pPr>
        <w:jc w:val="center"/>
      </w:pPr>
      <w:r w:rsidR="5DCDEE31">
        <w:drawing>
          <wp:inline xmlns:wp14="http://schemas.microsoft.com/office/word/2010/wordprocessingDrawing" wp14:editId="22D1C0AA" wp14:anchorId="7382E7C7">
            <wp:extent cx="4114800" cy="2494923"/>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_3.png"/>
                    <pic:cNvPicPr/>
                  </pic:nvPicPr>
                  <pic:blipFill>
                    <a:blip xmlns:r="http://schemas.openxmlformats.org/officeDocument/2006/relationships" r:embed="rId12"/>
                    <a:stretch>
                      <a:fillRect/>
                    </a:stretch>
                  </pic:blipFill>
                  <pic:spPr>
                    <a:xfrm>
                      <a:off x="0" y="0"/>
                      <a:ext cx="4114800" cy="2494923"/>
                    </a:xfrm>
                    <a:prstGeom prst="rect"/>
                  </pic:spPr>
                </pic:pic>
              </a:graphicData>
            </a:graphic>
          </wp:inline>
        </w:drawing>
      </w:r>
    </w:p>
    <w:p xmlns:wp14="http://schemas.microsoft.com/office/word/2010/wordml" w14:paraId="60061E4C" wp14:textId="77777777">
      <w:r>
        <w:br w:type="page"/>
      </w:r>
    </w:p>
    <w:p xmlns:wp14="http://schemas.microsoft.com/office/word/2010/wordml" w14:paraId="3373A936" wp14:textId="77777777">
      <w:pPr>
        <w:pStyle w:val="Heading1"/>
        <w:spacing w:line="480" w:lineRule="auto"/>
      </w:pPr>
      <w:r w:rsidRPr="4C0BF8D1" w:rsidR="4944B765">
        <w:rPr>
          <w:rFonts w:ascii="Times New Roman" w:hAnsi="Times New Roman"/>
          <w:b w:val="1"/>
          <w:bCs w:val="1"/>
          <w:color w:val="000000" w:themeColor="text1" w:themeTint="FF" w:themeShade="FF"/>
          <w:sz w:val="24"/>
          <w:szCs w:val="24"/>
        </w:rPr>
        <w:t>Evaluación y Reflexión: Aspectos Éticos y de Equidad</w:t>
      </w:r>
    </w:p>
    <w:p xmlns:wp14="http://schemas.microsoft.com/office/word/2010/wordml" w14:paraId="3560D2C1" wp14:textId="77777777">
      <w:pPr>
        <w:spacing w:line="480" w:lineRule="auto"/>
        <w:jc w:val="both"/>
      </w:pPr>
      <w:r>
        <w:rPr>
          <w:rFonts w:ascii="Times New Roman" w:hAnsi="Times New Roman"/>
          <w:sz w:val="24"/>
        </w:rPr>
        <w:t>El desempeño técnico global no es suficiente para considerar un modelo apto para apoyar decisiones clínicas. Esta sección presenta tres hallazgos de la evaluación por subgrupos.</w:t>
      </w:r>
    </w:p>
    <w:p xmlns:wp14="http://schemas.microsoft.com/office/word/2010/wordml" w14:paraId="11A71DD8"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El Riesgo de los Falsos Negativos en la Clase Grave</w:t>
      </w:r>
    </w:p>
    <w:p xmlns:wp14="http://schemas.microsoft.com/office/word/2010/wordml" w14:paraId="0CCA416B" wp14:textId="77A4B0FB">
      <w:pPr>
        <w:spacing w:line="480" w:lineRule="auto"/>
        <w:jc w:val="both"/>
      </w:pPr>
      <w:r w:rsidRPr="5DCDEE31" w:rsidR="5DCDEE31">
        <w:rPr>
          <w:rFonts w:ascii="Times New Roman" w:hAnsi="Times New Roman"/>
          <w:sz w:val="24"/>
          <w:szCs w:val="24"/>
        </w:rPr>
        <w:t>El modelo detecta correctamente solo uno de cinco casos graves, con una precisión de apenas 0.016 para esa clase. Esto no es un error del algoritmo sino una consecuencia de la extrema rareza de la clase: con solo 25 casos en todo el histórico hasta 2025, el modelo no tiene ejemplos suficientes. Sin embargo, es relevante que no clasificó ningún caso grave como "Sin alarma": los cuatro falsos negativos fueron asignados a "Con alarma", lo que significa que el paciente sería evaluado con un nivel de sospecha intermedio, no dado de alta.</w:t>
      </w:r>
    </w:p>
    <w:p xmlns:wp14="http://schemas.microsoft.com/office/word/2010/wordml" w14:paraId="2AB144A3"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El Estrato Socioeconómico como Variable de Entrada</w:t>
      </w:r>
    </w:p>
    <w:p xmlns:wp14="http://schemas.microsoft.com/office/word/2010/wordml" w14:paraId="58B8AFBB" wp14:textId="77777777">
      <w:pPr>
        <w:spacing w:line="480" w:lineRule="auto"/>
        <w:jc w:val="both"/>
      </w:pPr>
      <w:r>
        <w:rPr>
          <w:rFonts w:ascii="Times New Roman" w:hAnsi="Times New Roman"/>
          <w:sz w:val="24"/>
        </w:rPr>
        <w:t>El estrato socioeconómico participa directamente en las decisiones del árbol, con una importancia de aproximadamente 0.03. Esto plantea un dilema ético: puede mejorar la precisión pero también introducir un sesgo indirecto. No se evaluó en este trabajo el efecto de excluir el estrato por motivos éticos, quedando esa comparación como trabajo futuro.</w:t>
      </w:r>
    </w:p>
    <w:p xmlns:wp14="http://schemas.microsoft.com/office/word/2010/wordml" w14:paraId="2AA15774"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Sesgo en el Registro del Estrato Socioeconómico</w:t>
      </w:r>
    </w:p>
    <w:p w:rsidR="1CFA5A14" w:rsidP="4C0BF8D1" w:rsidRDefault="1CFA5A14" w14:paraId="6A12F7FE" w14:textId="030F63C8">
      <w:pPr>
        <w:spacing w:line="480" w:lineRule="auto"/>
        <w:jc w:val="both"/>
      </w:pPr>
      <w:r w:rsidRPr="4C0BF8D1" w:rsidR="1CFA5A14">
        <w:rPr>
          <w:rFonts w:ascii="Times New Roman" w:hAnsi="Times New Roman"/>
          <w:sz w:val="24"/>
          <w:szCs w:val="24"/>
        </w:rPr>
        <w:t>El análisis de equidad por estrato reveló un sesgo de registro que invalida cualquier conclusión sobre inequidad socioeconómica en la severidad del dengue. Los datos muestran que el estrato está reportado en el 70.1% de los casos "Con alarma", pero solo en el 5.5% de los casos "Sin alarma" y en el 0% de los casos "Grave". Es decir, el sistema de vigilancia no captura el estrato de forma uniforme: los casos graves y leves llegan prácticamente sin esta información, mientras que los casos intermedios ("Con alarma") son los únicos con registro demográfico completo.</w:t>
      </w:r>
    </w:p>
    <w:p w:rsidR="1CFA5A14" w:rsidP="4C0BF8D1" w:rsidRDefault="1CFA5A14" w14:paraId="768524BE" w14:textId="458A236C">
      <w:pPr>
        <w:pStyle w:val="Normal"/>
        <w:spacing w:line="480" w:lineRule="auto"/>
        <w:jc w:val="both"/>
      </w:pPr>
      <w:r w:rsidRPr="4C0BF8D1" w:rsidR="1CFA5A14">
        <w:rPr>
          <w:rFonts w:ascii="Times New Roman" w:hAnsi="Times New Roman"/>
          <w:sz w:val="24"/>
          <w:szCs w:val="24"/>
        </w:rPr>
        <w:t>Esta desigualdad en el registro impide determinar si existe una relación real entre estrato y severidad. Una primera versión del análisis —que excluía los casos sin estrato— mostraba tasas de alarma/gravedad del 91-100% en todos los estratos reportados. Sin embargo, al incluir la categoría "No reportado" (que agrupa al 94.5% de los casos "Sin alarma" y al 100% de los casos "Grave"), la tasa de casos graves/alarma en ese grupo cae al 32.4%. Esto demuestra que excluir los datos faltantes sesga artificialmente el resultado hacia los casos con registro más completo, que no son representativos de la totalidad. Por tanto, no es posible afirmar si existe inequidad real en la severidad del dengue entre estratos socioeconómicos con los datos actuales del SIVIGILA.</w:t>
      </w:r>
    </w:p>
    <w:p xmlns:wp14="http://schemas.microsoft.com/office/word/2010/wordml" w14:paraId="7E148EFF" wp14:textId="77777777">
      <w:pPr>
        <w:jc w:val="center"/>
      </w:pPr>
      <w:r>
        <w:rPr>
          <w:rFonts w:ascii="Times New Roman" w:hAnsi="Times New Roman"/>
          <w:b/>
          <w:sz w:val="22"/>
        </w:rPr>
        <w:t>Figura 5</w:t>
      </w:r>
    </w:p>
    <w:p xmlns:wp14="http://schemas.microsoft.com/office/word/2010/wordml" w14:paraId="55EEEB7A" wp14:textId="77777777">
      <w:pPr>
        <w:jc w:val="center"/>
      </w:pPr>
      <w:r>
        <w:rPr>
          <w:rFonts w:ascii="Times New Roman" w:hAnsi="Times New Roman"/>
          <w:i/>
          <w:sz w:val="22"/>
        </w:rPr>
        <w:t>Tasa de Casos con Alarma o Graves por Estrato, Incluyendo "No Reportado"</w:t>
      </w:r>
    </w:p>
    <w:p xmlns:wp14="http://schemas.microsoft.com/office/word/2010/wordml" w14:paraId="44EAFD9C" wp14:textId="77777777">
      <w:pPr>
        <w:jc w:val="center"/>
      </w:pPr>
      <w:r>
        <w:drawing>
          <wp:inline xmlns:a="http://schemas.openxmlformats.org/drawingml/2006/main" xmlns:pic="http://schemas.openxmlformats.org/drawingml/2006/picture" xmlns:wp14="http://schemas.microsoft.com/office/word/2010/wordprocessingDrawing" wp14:anchorId="7DCD8A1E" wp14:editId="7777777">
            <wp:extent cx="4114800" cy="2268000"/>
            <wp:docPr id="5" name="Picture 5"/>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4114800" cy="2268000"/>
                    </a:xfrm>
                    <a:prstGeom prst="rect"/>
                  </pic:spPr>
                </pic:pic>
              </a:graphicData>
            </a:graphic>
          </wp:inline>
        </w:drawing>
      </w:r>
    </w:p>
    <w:p xmlns:wp14="http://schemas.microsoft.com/office/word/2010/wordml" w14:paraId="15843222" wp14:textId="0F1B033F">
      <w:pPr>
        <w:jc w:val="center"/>
      </w:pPr>
      <w:r w:rsidRPr="5DCDEE31" w:rsidR="5DCDEE31">
        <w:rPr>
          <w:rFonts w:ascii="Times New Roman" w:hAnsi="Times New Roman"/>
          <w:i w:val="1"/>
          <w:iCs w:val="1"/>
          <w:sz w:val="20"/>
          <w:szCs w:val="20"/>
        </w:rPr>
        <w:t>Nota. Los estratos muestran tasas de 91-100%, mientras "No reportado" muestra 32.4%.</w:t>
      </w:r>
    </w:p>
    <w:p xmlns:wp14="http://schemas.microsoft.com/office/word/2010/wordml" w14:paraId="5A652168"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Comparativa con la Red Neuronal</w:t>
      </w:r>
    </w:p>
    <w:p xmlns:wp14="http://schemas.microsoft.com/office/word/2010/wordml" w14:paraId="3641CAF5" wp14:textId="77777777">
      <w:pPr>
        <w:spacing w:line="480" w:lineRule="auto"/>
        <w:jc w:val="both"/>
      </w:pPr>
      <w:r>
        <w:rPr>
          <w:rFonts w:ascii="Times New Roman" w:hAnsi="Times New Roman"/>
          <w:sz w:val="24"/>
        </w:rPr>
        <w:t>Los dos modelos comparten la misma fuente de datos pero difieren en su unidad de análisis. La red neuronal opera a nivel poblacional prediciendo incidencia semanal, mientras que el árbol opera a nivel individual. La red neuronal es un modelo de caja negra con mejor exactitud pero menor interpretabilidad, mientras que el árbol permite explicar cada decisión clínica de forma transparente.</w:t>
      </w:r>
    </w:p>
    <w:p xmlns:wp14="http://schemas.microsoft.com/office/word/2010/wordml" w14:paraId="4B94D5A5" wp14:textId="77777777">
      <w:r>
        <w:br w:type="page"/>
      </w:r>
    </w:p>
    <w:p xmlns:wp14="http://schemas.microsoft.com/office/word/2010/wordml" w14:paraId="626B46E8" wp14:textId="77777777">
      <w:pPr>
        <w:pStyle w:val="Heading1"/>
        <w:spacing w:line="480" w:lineRule="auto"/>
      </w:pPr>
      <w:r w:rsidRPr="4C0BF8D1" w:rsidR="4944B765">
        <w:rPr>
          <w:rFonts w:ascii="Times New Roman" w:hAnsi="Times New Roman"/>
          <w:b w:val="1"/>
          <w:bCs w:val="1"/>
          <w:color w:val="000000" w:themeColor="text1" w:themeTint="FF" w:themeShade="FF"/>
          <w:sz w:val="24"/>
          <w:szCs w:val="24"/>
        </w:rPr>
        <w:t>Limitaciones y Trabajo Futuro</w:t>
      </w:r>
    </w:p>
    <w:p xmlns:wp14="http://schemas.microsoft.com/office/word/2010/wordml" w14:paraId="690A8083"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Limitaciones</w:t>
      </w:r>
    </w:p>
    <w:p xmlns:wp14="http://schemas.microsoft.com/office/word/2010/wordml" w14:paraId="1E9F938A" wp14:textId="22828654">
      <w:pPr>
        <w:pStyle w:val="ListBullet"/>
        <w:spacing w:line="480" w:lineRule="auto"/>
        <w:rPr/>
      </w:pPr>
      <w:r w:rsidRPr="4C0BF8D1" w:rsidR="4944B765">
        <w:rPr>
          <w:rFonts w:ascii="Times New Roman" w:hAnsi="Times New Roman"/>
          <w:sz w:val="24"/>
          <w:szCs w:val="24"/>
        </w:rPr>
        <w:t>La clase "Grave" tiene solo 25 casos en el histórico hasta 2025, insuficiente para un modelo de aprendizaje supervisado.</w:t>
      </w:r>
    </w:p>
    <w:p xmlns:wp14="http://schemas.microsoft.com/office/word/2010/wordml" w14:paraId="0EEE85B0" wp14:textId="5B703B02">
      <w:pPr>
        <w:pStyle w:val="ListBullet"/>
        <w:spacing w:line="480" w:lineRule="auto"/>
        <w:rPr/>
      </w:pPr>
      <w:r w:rsidRPr="4C0BF8D1" w:rsidR="0CF554A8">
        <w:rPr>
          <w:rFonts w:ascii="Times New Roman" w:hAnsi="Times New Roman"/>
          <w:sz w:val="24"/>
          <w:szCs w:val="24"/>
        </w:rPr>
        <w:t>El estrato socioeconómico no se reporta con la misma frecuencia en las tres clases: se registra en el 70% de los casos 'Con alarma', pero solo en el 5.5% de los 'Sin alarma' y en el 0% de los 'Grave', lo que impide un análisis de equidad confiable.</w:t>
      </w:r>
    </w:p>
    <w:p xmlns:wp14="http://schemas.microsoft.com/office/word/2010/wordml" w14:paraId="60BD38E8" wp14:textId="77777777">
      <w:pPr>
        <w:pStyle w:val="ListBullet"/>
        <w:spacing w:line="480" w:lineRule="auto"/>
        <w:rPr/>
      </w:pPr>
      <w:r w:rsidRPr="4C0BF8D1" w:rsidR="4C0BF8D1">
        <w:rPr>
          <w:rFonts w:ascii="Times New Roman" w:hAnsi="Times New Roman"/>
          <w:sz w:val="24"/>
          <w:szCs w:val="24"/>
        </w:rPr>
        <w:t>No se evaluó el efecto de excluir el estrato socioeconómico por motivos éticos.</w:t>
      </w:r>
    </w:p>
    <w:p xmlns:wp14="http://schemas.microsoft.com/office/word/2010/wordml" w14:paraId="06A7BE3F" wp14:textId="77777777">
      <w:pPr>
        <w:pStyle w:val="ListBullet"/>
        <w:spacing w:line="480" w:lineRule="auto"/>
        <w:rPr/>
      </w:pPr>
      <w:r w:rsidRPr="4C0BF8D1" w:rsidR="4C0BF8D1">
        <w:rPr>
          <w:rFonts w:ascii="Times New Roman" w:hAnsi="Times New Roman"/>
          <w:sz w:val="24"/>
          <w:szCs w:val="24"/>
        </w:rPr>
        <w:t>La selección de max_depth se apoyó en validación cruzada de 5 pliegues, pero no se realizó una búsqueda conjunta de otros hiperparámetros.</w:t>
      </w:r>
    </w:p>
    <w:p xmlns:wp14="http://schemas.microsoft.com/office/word/2010/wordml" w14:paraId="601A0CF3" wp14:textId="77777777">
      <w:pPr>
        <w:pStyle w:val="ListBullet"/>
        <w:spacing w:line="480" w:lineRule="auto"/>
        <w:rPr/>
      </w:pPr>
      <w:r w:rsidRPr="4C0BF8D1" w:rsidR="4C0BF8D1">
        <w:rPr>
          <w:rFonts w:ascii="Times New Roman" w:hAnsi="Times New Roman"/>
          <w:sz w:val="24"/>
          <w:szCs w:val="24"/>
        </w:rPr>
        <w:t>El análisis se limita a Bucaramanga; extenderlo a Santander aumentaría el volumen de datos.</w:t>
      </w:r>
    </w:p>
    <w:p xmlns:wp14="http://schemas.microsoft.com/office/word/2010/wordml" w14:paraId="0DA473F0" wp14:textId="77777777">
      <w:pPr>
        <w:pStyle w:val="Heading2"/>
        <w:spacing w:line="480" w:lineRule="auto"/>
      </w:pPr>
      <w:r w:rsidRPr="4C0BF8D1" w:rsidR="4944B765">
        <w:rPr>
          <w:rFonts w:ascii="Times New Roman" w:hAnsi="Times New Roman"/>
          <w:b w:val="1"/>
          <w:bCs w:val="1"/>
          <w:color w:val="000000" w:themeColor="text1" w:themeTint="FF" w:themeShade="FF"/>
          <w:sz w:val="24"/>
          <w:szCs w:val="24"/>
        </w:rPr>
        <w:t>Mejoras Futuras</w:t>
      </w:r>
    </w:p>
    <w:p xmlns:wp14="http://schemas.microsoft.com/office/word/2010/wordml" w14:paraId="2D257F5E" wp14:textId="77777777">
      <w:pPr>
        <w:pStyle w:val="ListBullet"/>
        <w:spacing w:line="480" w:lineRule="auto"/>
        <w:rPr/>
      </w:pPr>
      <w:r w:rsidRPr="4C0BF8D1" w:rsidR="4C0BF8D1">
        <w:rPr>
          <w:rFonts w:ascii="Times New Roman" w:hAnsi="Times New Roman"/>
          <w:sz w:val="24"/>
          <w:szCs w:val="24"/>
        </w:rPr>
        <w:t>Entrenar el árbol excluyendo el estrato socioeconómico para cuantificar el costo ético de su inclusión.</w:t>
      </w:r>
    </w:p>
    <w:p xmlns:wp14="http://schemas.microsoft.com/office/word/2010/wordml" w14:paraId="7BD41235" wp14:textId="77777777">
      <w:pPr>
        <w:pStyle w:val="ListBullet"/>
        <w:spacing w:line="480" w:lineRule="auto"/>
        <w:rPr/>
      </w:pPr>
      <w:r w:rsidRPr="4C0BF8D1" w:rsidR="4C0BF8D1">
        <w:rPr>
          <w:rFonts w:ascii="Times New Roman" w:hAnsi="Times New Roman"/>
          <w:sz w:val="24"/>
          <w:szCs w:val="24"/>
        </w:rPr>
        <w:t>Explorar SMOTE (sobremuestreo sintético) para mejorar la detección de la clase minoritaria.</w:t>
      </w:r>
    </w:p>
    <w:p xmlns:wp14="http://schemas.microsoft.com/office/word/2010/wordml" w14:paraId="30A9D23A" wp14:textId="77777777">
      <w:pPr>
        <w:pStyle w:val="ListBullet"/>
        <w:spacing w:line="480" w:lineRule="auto"/>
        <w:rPr/>
      </w:pPr>
      <w:r w:rsidRPr="4C0BF8D1" w:rsidR="4C0BF8D1">
        <w:rPr>
          <w:rFonts w:ascii="Times New Roman" w:hAnsi="Times New Roman"/>
          <w:sz w:val="24"/>
          <w:szCs w:val="24"/>
        </w:rPr>
        <w:t>Extender el histórico a Santander o a un periodo más largo para aumentar casos graves.</w:t>
      </w:r>
    </w:p>
    <w:p xmlns:wp14="http://schemas.microsoft.com/office/word/2010/wordml" w14:paraId="2D0F0E71" wp14:textId="77777777">
      <w:pPr>
        <w:pStyle w:val="ListBullet"/>
        <w:spacing w:line="480" w:lineRule="auto"/>
        <w:rPr/>
      </w:pPr>
      <w:r w:rsidRPr="4C0BF8D1" w:rsidR="4C0BF8D1">
        <w:rPr>
          <w:rFonts w:ascii="Times New Roman" w:hAnsi="Times New Roman"/>
          <w:sz w:val="24"/>
          <w:szCs w:val="24"/>
        </w:rPr>
        <w:t>Explorar ensambles (bosques aleatorios, XGBoost) y evaluar el costo en interpretabilidad.</w:t>
      </w:r>
    </w:p>
    <w:p xmlns:wp14="http://schemas.microsoft.com/office/word/2010/wordml" w14:paraId="7FEE680C" wp14:textId="77777777">
      <w:pPr>
        <w:pStyle w:val="ListBullet"/>
        <w:spacing w:line="480" w:lineRule="auto"/>
        <w:rPr/>
      </w:pPr>
      <w:r w:rsidRPr="4C0BF8D1" w:rsidR="4C0BF8D1">
        <w:rPr>
          <w:rFonts w:ascii="Times New Roman" w:hAnsi="Times New Roman"/>
          <w:sz w:val="24"/>
          <w:szCs w:val="24"/>
        </w:rPr>
        <w:t>Investigar por qué el estrato socioeconómico se reporta de forma desigual entre clases.</w:t>
      </w:r>
    </w:p>
    <w:p xmlns:wp14="http://schemas.microsoft.com/office/word/2010/wordml" w14:paraId="3DEEC669" wp14:textId="77777777">
      <w:r>
        <w:br w:type="page"/>
      </w:r>
    </w:p>
    <w:p xmlns:wp14="http://schemas.microsoft.com/office/word/2010/wordml" w14:paraId="19FF5C40" wp14:textId="77777777">
      <w:pPr>
        <w:pStyle w:val="Heading1"/>
        <w:spacing w:line="480" w:lineRule="auto"/>
      </w:pPr>
      <w:r w:rsidRPr="4C0BF8D1" w:rsidR="4944B765">
        <w:rPr>
          <w:rFonts w:ascii="Times New Roman" w:hAnsi="Times New Roman"/>
          <w:b w:val="1"/>
          <w:bCs w:val="1"/>
          <w:color w:val="000000" w:themeColor="text1" w:themeTint="FF" w:themeShade="FF"/>
          <w:sz w:val="24"/>
          <w:szCs w:val="24"/>
        </w:rPr>
        <w:t>Conclusiones</w:t>
      </w:r>
    </w:p>
    <w:p xmlns:wp14="http://schemas.microsoft.com/office/word/2010/wordml" w14:paraId="7C1418A7" wp14:textId="77777777">
      <w:pPr>
        <w:spacing w:line="480" w:lineRule="auto"/>
        <w:jc w:val="both"/>
      </w:pPr>
      <w:r>
        <w:rPr>
          <w:rFonts w:ascii="Times New Roman" w:hAnsi="Times New Roman"/>
          <w:sz w:val="24"/>
        </w:rPr>
        <w:t>Se diseñó, implementó y evaluó un árbol de decisiones para clasificar la severidad clínica de dengue en Bucaramanga (Sin alarma, Con alarma, Grave), alcanzando 95.8% de exactitud y 0.660 de F1-macro. El modelo es interpretable: su primera partición corresponde a la caída de plaquetas, un indicador clave de dengue grave, y las variables de mayor importancia son coherentes con las guías de la OMS.</w:t>
      </w:r>
    </w:p>
    <w:p xmlns:wp14="http://schemas.microsoft.com/office/word/2010/wordml" w14:paraId="66943ADA" wp14:textId="77777777">
      <w:pPr>
        <w:spacing w:line="480" w:lineRule="auto"/>
        <w:jc w:val="both"/>
      </w:pPr>
      <w:r>
        <w:rPr>
          <w:rFonts w:ascii="Times New Roman" w:hAnsi="Times New Roman"/>
          <w:sz w:val="24"/>
        </w:rPr>
        <w:t>El aporte más importante no es la métrica global sino los dos hallazgos éticos: el estrato socioeconómico participa como variable de entrada, y el sistema de vigilancia registra el estrato de forma desigual entre clases. Estos hallazgos señalan la importancia de evaluar los modelos de salud no solo por su precisión global, sino por la forma en que esa precisión se distribuye entre diferentes grupos.</w:t>
      </w:r>
    </w:p>
    <w:p xmlns:wp14="http://schemas.microsoft.com/office/word/2010/wordml" w14:paraId="77FC5B57" wp14:textId="77777777">
      <w:pPr>
        <w:spacing w:line="480" w:lineRule="auto"/>
        <w:jc w:val="both"/>
      </w:pPr>
      <w:r>
        <w:rPr>
          <w:rFonts w:ascii="Times New Roman" w:hAnsi="Times New Roman"/>
          <w:sz w:val="24"/>
        </w:rPr>
        <w:t>Como trabajo futuro se propone excluir el estrato socioeconómico para evaluar el costo ético de su inclusión, explorar SMOTE para mejorar la detección de casos graves, y extender el análisis a un volumen mayor de datos.</w:t>
      </w:r>
    </w:p>
    <w:p xmlns:wp14="http://schemas.microsoft.com/office/word/2010/wordml" w14:paraId="3656B9AB" wp14:textId="77777777">
      <w:r>
        <w:br w:type="page"/>
      </w:r>
    </w:p>
    <w:p xmlns:wp14="http://schemas.microsoft.com/office/word/2010/wordml" w14:paraId="4E1F9A16" wp14:textId="77777777">
      <w:pPr>
        <w:pStyle w:val="Heading1"/>
        <w:spacing w:line="480" w:lineRule="auto"/>
      </w:pPr>
      <w:r w:rsidRPr="4C0BF8D1" w:rsidR="4944B765">
        <w:rPr>
          <w:rFonts w:ascii="Times New Roman" w:hAnsi="Times New Roman"/>
          <w:b w:val="1"/>
          <w:bCs w:val="1"/>
          <w:color w:val="000000" w:themeColor="text1" w:themeTint="FF" w:themeShade="FF"/>
          <w:sz w:val="24"/>
          <w:szCs w:val="24"/>
        </w:rPr>
        <w:t>Referencias</w:t>
      </w:r>
    </w:p>
    <w:p xmlns:wp14="http://schemas.microsoft.com/office/word/2010/wordml" w14:paraId="1F1F34CC" wp14:textId="77777777">
      <w:pPr>
        <w:ind w:left="720" w:hanging="720"/>
      </w:pPr>
      <w:r>
        <w:rPr>
          <w:rFonts w:ascii="Times New Roman" w:hAnsi="Times New Roman"/>
          <w:sz w:val="24"/>
        </w:rPr>
        <w:t>Breiman, L., Friedman, J. H., Olshen, R. A., y Stone, C. J. (1984). Classification and regression trees. Wadsworth International Group.</w:t>
      </w:r>
    </w:p>
    <w:p xmlns:wp14="http://schemas.microsoft.com/office/word/2010/wordml" w14:paraId="44C48C4A" wp14:textId="77777777">
      <w:pPr>
        <w:ind w:left="720" w:hanging="720"/>
      </w:pPr>
      <w:r>
        <w:rPr>
          <w:rFonts w:ascii="Times New Roman" w:hAnsi="Times New Roman"/>
          <w:sz w:val="24"/>
        </w:rPr>
        <w:t>Caruana, R., Lou, Y., Gehrke, J., Koch, P., Sturm, M., y Elhadad, N. (2015). Intelligible models for healthcare: Predicting pneumonia risk and hospital 30-day readmission. Proceedings of the 21st ACM SIGKDD International Conference on Knowledge Discovery and Data Mining, 1721-1730.</w:t>
      </w:r>
    </w:p>
    <w:p xmlns:wp14="http://schemas.microsoft.com/office/word/2010/wordml" w14:paraId="1E222534" wp14:textId="77777777">
      <w:pPr>
        <w:ind w:left="720" w:hanging="720"/>
      </w:pPr>
      <w:r>
        <w:rPr>
          <w:rFonts w:ascii="Times New Roman" w:hAnsi="Times New Roman"/>
          <w:sz w:val="24"/>
        </w:rPr>
        <w:t>He, H., y García, E. A. (2009). Learning from imbalanced data. IEEE Transactions on Knowledge and Data Engineering, 21(9), 1263-1284.</w:t>
      </w:r>
    </w:p>
    <w:p xmlns:wp14="http://schemas.microsoft.com/office/word/2010/wordml" w14:paraId="0A9EDC12" wp14:textId="77777777">
      <w:pPr>
        <w:ind w:left="720" w:hanging="720"/>
      </w:pPr>
      <w:r w:rsidRPr="4C0BF8D1" w:rsidR="4C0BF8D1">
        <w:rPr>
          <w:rFonts w:ascii="Times New Roman" w:hAnsi="Times New Roman"/>
          <w:sz w:val="24"/>
          <w:szCs w:val="24"/>
        </w:rPr>
        <w:t>Madewell, Z. J., Rodriguez, D. M., et al. (2025). Machine learning for predicting severe dengue in Puerto Rico. Infectious Diseases of Poverty, 14(1), Artículo 5.</w:t>
      </w:r>
    </w:p>
    <w:p xmlns:wp14="http://schemas.microsoft.com/office/word/2010/wordml" w14:paraId="56F83D6A" wp14:textId="77777777">
      <w:pPr>
        <w:ind w:left="720" w:hanging="720"/>
      </w:pPr>
      <w:r>
        <w:rPr>
          <w:rFonts w:ascii="Times New Roman" w:hAnsi="Times New Roman"/>
          <w:sz w:val="24"/>
        </w:rPr>
        <w:t>Obermeyer, Z., Powers, B., Vogeli, C., y Mullainathan, S. (2019). Dissecting racial bias in an algorithm used to manage the health of populations. Science, 366(6464), 447-453.</w:t>
      </w:r>
    </w:p>
    <w:p xmlns:wp14="http://schemas.microsoft.com/office/word/2010/wordml" w14:paraId="3CA9A4DD" wp14:textId="58C2B115">
      <w:pPr>
        <w:ind w:left="720" w:hanging="720"/>
      </w:pPr>
      <w:r w:rsidRPr="4C0BF8D1" w:rsidR="3B25EA2F">
        <w:rPr>
          <w:rFonts w:ascii="Times New Roman" w:hAnsi="Times New Roman"/>
          <w:sz w:val="24"/>
          <w:szCs w:val="24"/>
        </w:rPr>
        <w:t>Thambirajah</w:t>
      </w:r>
      <w:r w:rsidRPr="4C0BF8D1" w:rsidR="4C0BF8D1">
        <w:rPr>
          <w:rFonts w:ascii="Times New Roman" w:hAnsi="Times New Roman"/>
          <w:sz w:val="24"/>
          <w:szCs w:val="24"/>
        </w:rPr>
        <w:t>, J., Hussin, N., Cheah, W. K., Ng, K. S., y Muninathan, P. (2016). Proposal of a clinical decision tree algorithm using factors associated with severe dengue infection. PLOS ONE, 11(8), e0161696.</w:t>
      </w:r>
    </w:p>
    <w:p xmlns:wp14="http://schemas.microsoft.com/office/word/2010/wordml" w14:paraId="39150D17" wp14:textId="77777777">
      <w:pPr>
        <w:ind w:left="720" w:hanging="720"/>
      </w:pPr>
      <w:r>
        <w:rPr>
          <w:rFonts w:ascii="Times New Roman" w:hAnsi="Times New Roman"/>
          <w:sz w:val="24"/>
        </w:rPr>
        <w:t>World Health Organization. (2009). Dengue: Guidelines for diagnosis, treatment, prevention and control (Nueva edición). WHO/TDR.</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4ee0e03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31F8C"/>
    <w:rsid w:val="01F31F8C"/>
    <w:rsid w:val="0CF554A8"/>
    <w:rsid w:val="14944624"/>
    <w:rsid w:val="14CDCCB8"/>
    <w:rsid w:val="19F622EA"/>
    <w:rsid w:val="1CFA5A14"/>
    <w:rsid w:val="21F02B48"/>
    <w:rsid w:val="24B60186"/>
    <w:rsid w:val="255B6D3F"/>
    <w:rsid w:val="2B3D0146"/>
    <w:rsid w:val="3045D16E"/>
    <w:rsid w:val="3B25EA2F"/>
    <w:rsid w:val="4944B765"/>
    <w:rsid w:val="4C0BF8D1"/>
    <w:rsid w:val="4F25037C"/>
    <w:rsid w:val="52CE7EAF"/>
    <w:rsid w:val="588E5D40"/>
    <w:rsid w:val="5DCDEE31"/>
    <w:rsid w:val="5E483118"/>
    <w:rsid w:val="6223CF9F"/>
    <w:rsid w:val="709CBA52"/>
    <w:rsid w:val="709CBA52"/>
    <w:rsid w:val="7286ED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DF81EAD-5E2E-471D-92C2-391CFE1D72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line="480" w:lineRule="auto"/>
    </w:pPr>
    <w:rPr>
      <w:rFonts w:ascii="Times New Roman" w:hAnsi="Times New Roman"/>
      <w:sz w:val="24"/>
      <w:rFonts w:eastAsia="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es-CO"/>
    </w:rPr>
  </w:style>
  <w:style w:type="character" w:styleId="HeaderChar" w:customStyle="1">
    <w:name w:val="Header Char"/>
    <w:basedOn w:val="DefaultParagraphFont"/>
    <w:link w:val="Header"/>
    <w:uiPriority w:val="99"/>
    <w:rsid w:val="00E618BF"/>
    <w:rPr>
      <w:rFonts w:eastAsia="es-CO"/>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es-CO"/>
    </w:rPr>
  </w:style>
  <w:style w:type="character" w:styleId="FooterChar" w:customStyle="1">
    <w:name w:val="Footer Char"/>
    <w:basedOn w:val="DefaultParagraphFont"/>
    <w:link w:val="Footer"/>
    <w:uiPriority w:val="99"/>
    <w:rsid w:val="00E618BF"/>
    <w:rPr>
      <w:rFonts w:eastAsia="es-CO"/>
    </w:rPr>
  </w:style>
  <w:style w:type="paragraph" w:styleId="Heading1">
    <w:uiPriority w:val="9"/>
    <w:name w:val="heading 1"/>
    <w:basedOn w:val="Normal"/>
    <w:next w:val="Normal"/>
    <w:link w:val="Heading1Char"/>
    <w:qFormat/>
    <w:rsid w:val="4C0BF8D1"/>
    <w:rPr>
      <w:rFonts w:eastAsia="ＭＳ ゴシック" w:cs="" w:asciiTheme="majorAscii" w:hAnsiTheme="majorAscii" w:eastAsiaTheme="majorEastAsia" w:cstheme="majorBidi"/>
      <w:b w:val="1"/>
      <w:bCs w:val="1"/>
      <w:color w:val="000000" w:themeColor="text1" w:themeTint="FF" w:themeShade="FF"/>
    </w:rPr>
    <w:pPr>
      <w:keepNext w:val="1"/>
      <w:keepLines w:val="1"/>
      <w:spacing w:before="480" w:after="0"/>
      <w:jc w:val="center"/>
      <w:outlineLvl w:val="0"/>
    </w:pPr>
  </w:style>
  <w:style w:type="paragraph" w:styleId="Heading2">
    <w:uiPriority w:val="9"/>
    <w:name w:val="heading 2"/>
    <w:basedOn w:val="Normal"/>
    <w:next w:val="Normal"/>
    <w:unhideWhenUsed/>
    <w:link w:val="Heading2Char"/>
    <w:qFormat/>
    <w:rsid w:val="4C0BF8D1"/>
    <w:rPr>
      <w:rFonts w:eastAsia="ＭＳ ゴシック" w:cs="" w:asciiTheme="majorAscii" w:hAnsiTheme="majorAscii" w:eastAsiaTheme="majorEastAsia" w:cstheme="majorBidi"/>
      <w:b w:val="1"/>
      <w:bCs w:val="1"/>
      <w:color w:val="000000" w:themeColor="text1" w:themeTint="FF" w:themeShade="FF"/>
    </w:rPr>
    <w:pPr>
      <w:keepNext w:val="1"/>
      <w:keepLines w:val="1"/>
      <w:spacing w:before="200" w:after="0"/>
      <w:outlineLvl w:val="1"/>
    </w:p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Fonts w:eastAsia="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Fonts w:eastAsia="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Fonts w:eastAsia="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Fonts w:eastAsia="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Fonts w:eastAsia="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Fonts w:eastAsia="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Fonts w:eastAsia="es-CO"/>
    </w:rPr>
  </w:style>
  <w:style w:type="character" w:styleId="DefaultParagraphFont" w:default="1">
    <w:name w:val="Default Paragraph Font"/>
    <w:uiPriority w:val="1"/>
    <w:semiHidden/>
    <w:unhideWhenUsed/>
    <w:rPr>
      <w:rFonts w:eastAsia="es-CO"/>
    </w:rPr>
  </w:style>
  <w:style w:type="table" w:styleId="TableNormal" w:default="1">
    <w:name w:val="Normal Table"/>
    <w:uiPriority w:val="99"/>
    <w:semiHidden/>
    <w:unhideWhenUsed/>
    <w:rPr>
      <w:rFonts w:eastAsia="es-CO"/>
    </w:rPr>
    <w:tblPr>
      <w:tblInd w:w="0" w:type="dxa"/>
      <w:tblCellMar>
        <w:top w:w="0" w:type="dxa"/>
        <w:left w:w="108" w:type="dxa"/>
        <w:bottom w:w="0" w:type="dxa"/>
        <w:right w:w="108" w:type="dxa"/>
      </w:tblCellMar>
    </w:tblPr>
  </w:style>
  <w:style w:type="numbering" w:styleId="NoList" w:default="1">
    <w:name w:val="No List"/>
    <w:uiPriority w:val="99"/>
    <w:semiHidden/>
    <w:unhideWhenUsed/>
    <w:rPr>
      <w:rFonts w:eastAsia="es-CO"/>
    </w:rPr>
  </w:style>
  <w:style w:type="paragraph" w:styleId="NoSpacing">
    <w:name w:val="No Spacing"/>
    <w:uiPriority w:val="1"/>
    <w:qFormat/>
    <w:rsid w:val="00FC693F"/>
    <w:pPr>
      <w:spacing w:after="0" w:line="240" w:lineRule="auto"/>
    </w:pPr>
    <w:rPr>
      <w:rFonts w:eastAsia="es-CO"/>
    </w:rPr>
  </w:style>
  <w:style w:type="character" w:styleId="Heading1Char" w:customStyle="true">
    <w:uiPriority w:val="9"/>
    <w:name w:val="Heading 1 Char"/>
    <w:basedOn w:val="DefaultParagraphFont"/>
    <w:link w:val="Heading1"/>
    <w:rsid w:val="4C0BF8D1"/>
    <w:rPr>
      <w:rFonts w:ascii="Times New Roman" w:hAnsi="Times New Roman" w:eastAsia="ＭＳ ゴシック" w:cs="" w:asciiTheme="majorAscii" w:hAnsiTheme="majorAscii" w:eastAsiaTheme="majorEastAsia" w:cstheme="majorBidi"/>
      <w:b w:val="1"/>
      <w:bCs w:val="1"/>
      <w:color w:val="000000" w:themeColor="text1" w:themeTint="FF" w:themeShade="FF"/>
      <w:sz w:val="24"/>
      <w:szCs w:val="24"/>
    </w:rPr>
  </w:style>
  <w:style w:type="character" w:styleId="Heading2Char" w:customStyle="true">
    <w:uiPriority w:val="9"/>
    <w:name w:val="Heading 2 Char"/>
    <w:basedOn w:val="DefaultParagraphFont"/>
    <w:link w:val="Heading2"/>
    <w:rsid w:val="4C0BF8D1"/>
    <w:rPr>
      <w:rFonts w:ascii="Times New Roman" w:hAnsi="Times New Roman" w:eastAsia="ＭＳ ゴシック" w:cs="" w:asciiTheme="majorAscii" w:hAnsiTheme="majorAscii" w:eastAsiaTheme="majorEastAsia" w:cstheme="majorBidi"/>
      <w:b w:val="1"/>
      <w:bCs w:val="1"/>
      <w:color w:val="000000" w:themeColor="text1" w:themeTint="FF" w:themeShade="FF"/>
      <w:sz w:val="24"/>
      <w:szCs w:val="24"/>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Fonts w:eastAsia="es-CO"/>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Fonts w:eastAsia="es-CO"/>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Fonts w:eastAsia="es-CO"/>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Fonts w:eastAsia="es-CO"/>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Fonts w:eastAsia="es-CO"/>
    </w:rPr>
  </w:style>
  <w:style w:type="paragraph" w:styleId="ListParagraph">
    <w:name w:val="List Paragraph"/>
    <w:basedOn w:val="Normal"/>
    <w:uiPriority w:val="34"/>
    <w:qFormat/>
    <w:rsid w:val="00FC693F"/>
    <w:pPr>
      <w:ind w:left="720"/>
      <w:contextualSpacing/>
    </w:pPr>
    <w:rPr>
      <w:rFonts w:eastAsia="es-CO"/>
    </w:rPr>
  </w:style>
  <w:style w:type="paragraph" w:styleId="BodyText">
    <w:name w:val="Body Text"/>
    <w:basedOn w:val="Normal"/>
    <w:link w:val="BodyTextChar"/>
    <w:uiPriority w:val="99"/>
    <w:unhideWhenUsed/>
    <w:rsid w:val="00AA1D8D"/>
    <w:pPr>
      <w:spacing w:after="120"/>
    </w:pPr>
    <w:rPr>
      <w:rFonts w:eastAsia="es-CO"/>
    </w:rPr>
  </w:style>
  <w:style w:type="character" w:styleId="BodyTextChar" w:customStyle="1">
    <w:name w:val="Body Text Char"/>
    <w:basedOn w:val="DefaultParagraphFont"/>
    <w:link w:val="BodyText"/>
    <w:uiPriority w:val="99"/>
    <w:rsid w:val="00AA1D8D"/>
    <w:rPr>
      <w:rFonts w:eastAsia="es-CO"/>
    </w:rPr>
  </w:style>
  <w:style w:type="paragraph" w:styleId="BodyText2">
    <w:name w:val="Body Text 2"/>
    <w:basedOn w:val="Normal"/>
    <w:link w:val="BodyText2Char"/>
    <w:uiPriority w:val="99"/>
    <w:unhideWhenUsed/>
    <w:rsid w:val="00AA1D8D"/>
    <w:pPr>
      <w:spacing w:after="120" w:line="480" w:lineRule="auto"/>
    </w:pPr>
    <w:rPr>
      <w:rFonts w:eastAsia="es-CO"/>
    </w:rPr>
  </w:style>
  <w:style w:type="character" w:styleId="BodyText2Char" w:customStyle="1">
    <w:name w:val="Body Text 2 Char"/>
    <w:basedOn w:val="DefaultParagraphFont"/>
    <w:link w:val="BodyText2"/>
    <w:uiPriority w:val="99"/>
    <w:rsid w:val="00AA1D8D"/>
    <w:rPr>
      <w:rFonts w:eastAsia="es-CO"/>
    </w:rPr>
  </w:style>
  <w:style w:type="paragraph" w:styleId="BodyText3">
    <w:name w:val="Body Text 3"/>
    <w:basedOn w:val="Normal"/>
    <w:link w:val="BodyText3Char"/>
    <w:uiPriority w:val="99"/>
    <w:unhideWhenUsed/>
    <w:rsid w:val="00AA1D8D"/>
    <w:pPr>
      <w:spacing w:after="120"/>
    </w:pPr>
    <w:rPr>
      <w:sz w:val="16"/>
      <w:szCs w:val="16"/>
      <w:rFonts w:eastAsia="es-CO"/>
    </w:rPr>
  </w:style>
  <w:style w:type="character" w:styleId="BodyText3Char" w:customStyle="1">
    <w:name w:val="Body Text 3 Char"/>
    <w:basedOn w:val="DefaultParagraphFont"/>
    <w:link w:val="BodyText3"/>
    <w:uiPriority w:val="99"/>
    <w:rsid w:val="00AA1D8D"/>
    <w:rPr>
      <w:sz w:val="16"/>
      <w:szCs w:val="16"/>
      <w:rFonts w:eastAsia="es-CO"/>
    </w:rPr>
  </w:style>
  <w:style w:type="paragraph" w:styleId="List">
    <w:name w:val="List"/>
    <w:basedOn w:val="Normal"/>
    <w:uiPriority w:val="99"/>
    <w:unhideWhenUsed/>
    <w:rsid w:val="00AA1D8D"/>
    <w:pPr>
      <w:ind w:left="360" w:hanging="360"/>
      <w:contextualSpacing/>
    </w:pPr>
    <w:rPr>
      <w:rFonts w:eastAsia="es-CO"/>
    </w:rPr>
  </w:style>
  <w:style w:type="paragraph" w:styleId="List2">
    <w:name w:val="List 2"/>
    <w:basedOn w:val="Normal"/>
    <w:uiPriority w:val="99"/>
    <w:unhideWhenUsed/>
    <w:rsid w:val="00326F90"/>
    <w:pPr>
      <w:ind w:left="720" w:hanging="360"/>
      <w:contextualSpacing/>
    </w:pPr>
    <w:rPr>
      <w:rFonts w:eastAsia="es-CO"/>
    </w:rPr>
  </w:style>
  <w:style w:type="paragraph" w:styleId="List3">
    <w:name w:val="List 3"/>
    <w:basedOn w:val="Normal"/>
    <w:uiPriority w:val="99"/>
    <w:unhideWhenUsed/>
    <w:rsid w:val="00326F90"/>
    <w:pPr>
      <w:ind w:left="1080" w:hanging="360"/>
      <w:contextualSpacing/>
    </w:pPr>
    <w:rPr>
      <w:rFonts w:eastAsia="es-CO"/>
    </w:rPr>
  </w:style>
  <w:style w:type="paragraph" w:styleId="ListBullet">
    <w:name w:val="List Bullet"/>
    <w:basedOn w:val="Normal"/>
    <w:uiPriority w:val="99"/>
    <w:unhideWhenUsed/>
    <w:rsid w:val="00326F90"/>
    <w:pPr>
      <w:numPr>
        <w:numId w:val="1"/>
      </w:numPr>
      <w:contextualSpacing/>
    </w:pPr>
    <w:rPr>
      <w:rFonts w:eastAsia="es-CO"/>
    </w:rPr>
  </w:style>
  <w:style w:type="paragraph" w:styleId="ListBullet2">
    <w:name w:val="List Bullet 2"/>
    <w:basedOn w:val="Normal"/>
    <w:uiPriority w:val="99"/>
    <w:unhideWhenUsed/>
    <w:rsid w:val="00326F90"/>
    <w:pPr>
      <w:numPr>
        <w:numId w:val="2"/>
      </w:numPr>
      <w:contextualSpacing/>
    </w:pPr>
    <w:rPr>
      <w:rFonts w:eastAsia="es-CO"/>
    </w:rPr>
  </w:style>
  <w:style w:type="paragraph" w:styleId="ListBullet3">
    <w:name w:val="List Bullet 3"/>
    <w:basedOn w:val="Normal"/>
    <w:uiPriority w:val="99"/>
    <w:unhideWhenUsed/>
    <w:rsid w:val="00326F90"/>
    <w:pPr>
      <w:numPr>
        <w:numId w:val="3"/>
      </w:numPr>
      <w:contextualSpacing/>
    </w:pPr>
    <w:rPr>
      <w:rFonts w:eastAsia="es-CO"/>
    </w:rPr>
  </w:style>
  <w:style w:type="paragraph" w:styleId="ListNumber">
    <w:name w:val="List Number"/>
    <w:basedOn w:val="Normal"/>
    <w:uiPriority w:val="99"/>
    <w:unhideWhenUsed/>
    <w:rsid w:val="00326F90"/>
    <w:pPr>
      <w:numPr>
        <w:numId w:val="5"/>
      </w:numPr>
      <w:contextualSpacing/>
    </w:pPr>
    <w:rPr>
      <w:rFonts w:eastAsia="es-CO"/>
    </w:rPr>
  </w:style>
  <w:style w:type="paragraph" w:styleId="ListNumber2">
    <w:name w:val="List Number 2"/>
    <w:basedOn w:val="Normal"/>
    <w:uiPriority w:val="99"/>
    <w:unhideWhenUsed/>
    <w:rsid w:val="0029639D"/>
    <w:pPr>
      <w:numPr>
        <w:numId w:val="6"/>
      </w:numPr>
      <w:contextualSpacing/>
    </w:pPr>
    <w:rPr>
      <w:rFonts w:eastAsia="es-CO"/>
    </w:rPr>
  </w:style>
  <w:style w:type="paragraph" w:styleId="ListNumber3">
    <w:name w:val="List Number 3"/>
    <w:basedOn w:val="Normal"/>
    <w:uiPriority w:val="99"/>
    <w:unhideWhenUsed/>
    <w:rsid w:val="0029639D"/>
    <w:pPr>
      <w:numPr>
        <w:numId w:val="7"/>
      </w:numPr>
      <w:contextualSpacing/>
    </w:pPr>
    <w:rPr>
      <w:rFonts w:eastAsia="es-CO"/>
    </w:rPr>
  </w:style>
  <w:style w:type="paragraph" w:styleId="ListContinue">
    <w:name w:val="List Continue"/>
    <w:basedOn w:val="Normal"/>
    <w:uiPriority w:val="99"/>
    <w:unhideWhenUsed/>
    <w:rsid w:val="0029639D"/>
    <w:pPr>
      <w:spacing w:after="120"/>
      <w:ind w:left="360"/>
      <w:contextualSpacing/>
    </w:pPr>
    <w:rPr>
      <w:rFonts w:eastAsia="es-CO"/>
    </w:rPr>
  </w:style>
  <w:style w:type="paragraph" w:styleId="ListContinue2">
    <w:name w:val="List Continue 2"/>
    <w:basedOn w:val="Normal"/>
    <w:uiPriority w:val="99"/>
    <w:unhideWhenUsed/>
    <w:rsid w:val="0029639D"/>
    <w:pPr>
      <w:spacing w:after="120"/>
      <w:ind w:left="720"/>
      <w:contextualSpacing/>
    </w:pPr>
    <w:rPr>
      <w:rFonts w:eastAsia="es-CO"/>
    </w:rPr>
  </w:style>
  <w:style w:type="paragraph" w:styleId="ListContinue3">
    <w:name w:val="List Continue 3"/>
    <w:basedOn w:val="Normal"/>
    <w:uiPriority w:val="99"/>
    <w:unhideWhenUsed/>
    <w:rsid w:val="0029639D"/>
    <w:pPr>
      <w:spacing w:after="120"/>
      <w:ind w:left="1080"/>
      <w:contextualSpacing/>
    </w:pPr>
    <w:rPr>
      <w:rFonts w:eastAsia="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Fonts w:eastAsia="es-CO"/>
    </w:rPr>
  </w:style>
  <w:style w:type="character" w:styleId="MacroTextChar" w:customStyle="1">
    <w:name w:val="Macro Text Char"/>
    <w:basedOn w:val="DefaultParagraphFont"/>
    <w:link w:val="MacroText"/>
    <w:uiPriority w:val="99"/>
    <w:rsid w:val="0029639D"/>
    <w:rPr>
      <w:rFonts w:ascii="Courier" w:hAnsi="Courier"/>
      <w:sz w:val="20"/>
      <w:szCs w:val="20"/>
      <w:rFonts w:eastAsia="es-CO"/>
    </w:rPr>
  </w:style>
  <w:style w:type="paragraph" w:styleId="Quote">
    <w:name w:val="Quote"/>
    <w:basedOn w:val="Normal"/>
    <w:next w:val="Normal"/>
    <w:link w:val="QuoteChar"/>
    <w:uiPriority w:val="29"/>
    <w:qFormat/>
    <w:rsid w:val="00FC693F"/>
    <w:rPr>
      <w:i/>
      <w:iCs/>
      <w:color w:val="000000" w:themeColor="text1"/>
      <w:rFonts w:eastAsia="es-CO"/>
    </w:rPr>
  </w:style>
  <w:style w:type="character" w:styleId="QuoteChar" w:customStyle="1">
    <w:name w:val="Quote Char"/>
    <w:basedOn w:val="DefaultParagraphFont"/>
    <w:link w:val="Quote"/>
    <w:uiPriority w:val="29"/>
    <w:rsid w:val="00FC693F"/>
    <w:rPr>
      <w:i/>
      <w:iCs/>
      <w:color w:val="000000" w:themeColor="text1"/>
      <w:rFonts w:eastAsia="es-CO"/>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Fonts w:eastAsia="es-CO"/>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Fonts w:eastAsia="es-CO"/>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Fonts w:eastAsia="es-CO"/>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Fonts w:eastAsia="es-CO"/>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Fonts w:eastAsia="es-CO"/>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Fonts w:eastAsia="es-CO"/>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eastAsia="es-CO"/>
    </w:rPr>
  </w:style>
  <w:style w:type="character" w:styleId="Strong">
    <w:name w:val="Strong"/>
    <w:basedOn w:val="DefaultParagraphFont"/>
    <w:uiPriority w:val="22"/>
    <w:qFormat/>
    <w:rsid w:val="00FC693F"/>
    <w:rPr>
      <w:b/>
      <w:bCs/>
      <w:rFonts w:eastAsia="es-CO"/>
    </w:rPr>
  </w:style>
  <w:style w:type="character" w:styleId="Emphasis">
    <w:name w:val="Emphasis"/>
    <w:basedOn w:val="DefaultParagraphFont"/>
    <w:uiPriority w:val="20"/>
    <w:qFormat/>
    <w:rsid w:val="00FC693F"/>
    <w:rPr>
      <w:i/>
      <w:iCs/>
      <w:rFonts w:eastAsia="es-CO"/>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Fonts w:eastAsia="es-CO"/>
    </w:rPr>
  </w:style>
  <w:style w:type="character" w:styleId="IntenseQuoteChar" w:customStyle="1">
    <w:name w:val="Intense Quote Char"/>
    <w:basedOn w:val="DefaultParagraphFont"/>
    <w:link w:val="IntenseQuote"/>
    <w:uiPriority w:val="30"/>
    <w:rsid w:val="00FC693F"/>
    <w:rPr>
      <w:b/>
      <w:bCs/>
      <w:i/>
      <w:iCs/>
      <w:color w:val="4F81BD" w:themeColor="accent1"/>
      <w:rFonts w:eastAsia="es-CO"/>
    </w:rPr>
  </w:style>
  <w:style w:type="character" w:styleId="SubtleEmphasis">
    <w:name w:val="Subtle Emphasis"/>
    <w:basedOn w:val="DefaultParagraphFont"/>
    <w:uiPriority w:val="19"/>
    <w:qFormat/>
    <w:rsid w:val="00FC693F"/>
    <w:rPr>
      <w:i/>
      <w:iCs/>
      <w:color w:val="808080" w:themeColor="text1" w:themeTint="7F"/>
      <w:rFonts w:eastAsia="es-CO"/>
    </w:rPr>
  </w:style>
  <w:style w:type="character" w:styleId="IntenseEmphasis">
    <w:name w:val="Intense Emphasis"/>
    <w:basedOn w:val="DefaultParagraphFont"/>
    <w:uiPriority w:val="21"/>
    <w:qFormat/>
    <w:rsid w:val="00FC693F"/>
    <w:rPr>
      <w:b/>
      <w:bCs/>
      <w:i/>
      <w:iCs/>
      <w:color w:val="4F81BD" w:themeColor="accent1"/>
      <w:rFonts w:eastAsia="es-CO"/>
    </w:rPr>
  </w:style>
  <w:style w:type="character" w:styleId="SubtleReference">
    <w:name w:val="Subtle Reference"/>
    <w:basedOn w:val="DefaultParagraphFont"/>
    <w:uiPriority w:val="31"/>
    <w:qFormat/>
    <w:rsid w:val="00FC693F"/>
    <w:rPr>
      <w:smallCaps/>
      <w:color w:val="C0504D" w:themeColor="accent2"/>
      <w:u w:val="single"/>
      <w:rFonts w:eastAsia="es-CO"/>
    </w:rPr>
  </w:style>
  <w:style w:type="character" w:styleId="IntenseReference">
    <w:name w:val="Intense Reference"/>
    <w:basedOn w:val="DefaultParagraphFont"/>
    <w:uiPriority w:val="32"/>
    <w:qFormat/>
    <w:rsid w:val="00FC693F"/>
    <w:rPr>
      <w:b/>
      <w:bCs/>
      <w:smallCaps/>
      <w:color w:val="C0504D" w:themeColor="accent2"/>
      <w:spacing w:val="5"/>
      <w:u w:val="single"/>
      <w:rFonts w:eastAsia="es-CO"/>
    </w:rPr>
  </w:style>
  <w:style w:type="character" w:styleId="BookTitle">
    <w:name w:val="Book Title"/>
    <w:basedOn w:val="DefaultParagraphFont"/>
    <w:uiPriority w:val="33"/>
    <w:qFormat/>
    <w:rsid w:val="00FC693F"/>
    <w:rPr>
      <w:b/>
      <w:bCs/>
      <w:smallCaps/>
      <w:spacing w:val="5"/>
      <w:rFonts w:eastAsia="es-CO"/>
    </w:rPr>
  </w:style>
  <w:style w:type="paragraph" w:styleId="TOCHeading">
    <w:uiPriority w:val="39"/>
    <w:name w:val="TOC Heading"/>
    <w:basedOn w:val="Heading1"/>
    <w:next w:val="Normal"/>
    <w:semiHidden/>
    <w:unhideWhenUsed/>
    <w:qFormat/>
    <w:rsid w:val="4C0BF8D1"/>
    <w:rPr>
      <w:rFonts w:eastAsia="es-CO"/>
    </w:rPr>
  </w:style>
  <w:style w:type="table" w:styleId="TableGrid">
    <w:name w:val="Table Grid"/>
    <w:basedOn w:val="TableNormal"/>
    <w:uiPriority w:val="59"/>
    <w:rsid w:val="00FC693F"/>
    <w:pPr>
      <w:spacing w:after="0" w:line="240" w:lineRule="auto"/>
    </w:pPr>
    <w:rPr>
      <w:rFonts w:eastAsia="es-CO"/>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Fonts w:eastAsia="es-CO"/>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Fonts w:eastAsia="es-CO"/>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Fonts w:eastAsia="es-CO"/>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Fonts w:eastAsia="es-CO"/>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Fonts w:eastAsia="es-CO"/>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Fonts w:eastAsia="es-CO"/>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Fonts w:eastAsia="es-CO"/>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eastAsia="es-CO"/>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rPr>
      <w:rFonts w:eastAsia="es-CO"/>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rPr>
      <w:rFonts w:eastAsia="es-CO"/>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rPr>
      <w:rFonts w:eastAsia="es-CO"/>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rPr>
      <w:rFonts w:eastAsia="es-CO"/>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rPr>
      <w:rFonts w:eastAsia="es-CO"/>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rPr>
      <w:rFonts w:eastAsia="es-CO"/>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rPr>
      <w:rFonts w:eastAsia="es-CO"/>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rPr>
      <w:rFonts w:eastAsia="es-CO"/>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rPr>
      <w:rFonts w:eastAsia="es-CO"/>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rPr>
      <w:rFonts w:eastAsia="es-CO"/>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rPr>
      <w:rFonts w:eastAsia="es-CO"/>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rPr>
      <w:rFonts w:eastAsia="es-CO"/>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rPr>
      <w:rFonts w:eastAsia="es-CO"/>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rPr>
      <w:rFonts w:eastAsia="es-CO"/>
    </w:r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eastAsia="es-CO"/>
    </w:r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eastAsia="es-CO"/>
    </w:r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eastAsia="es-CO"/>
    </w:r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eastAsia="es-CO"/>
    </w:r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eastAsia="es-CO"/>
    </w:r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eastAsia="es-CO"/>
    </w:r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eastAsia="es-CO"/>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eastAsia="es-CO"/>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eastAsia="es-CO"/>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eastAsia="es-CO"/>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eastAsia="es-CO"/>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eastAsia="es-CO"/>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eastAsia="es-CO"/>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Fonts w:eastAsia="es-CO"/>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Fonts w:eastAsia="es-CO"/>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Fonts w:eastAsia="es-CO"/>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Fonts w:eastAsia="es-CO"/>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Fonts w:eastAsia="es-CO"/>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Fonts w:eastAsia="es-CO"/>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Fonts w:eastAsia="es-CO"/>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eastAsia="es-CO"/>
    </w:r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eastAsia="es-CO"/>
    </w:r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eastAsia="es-CO"/>
    </w:r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eastAsia="es-CO"/>
    </w:r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eastAsia="es-CO"/>
    </w:r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eastAsia="es-CO"/>
    </w:r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eastAsia="es-CO"/>
    </w:r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Fonts w:eastAsia="es-CO"/>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eastAsia="es-CO"/>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eastAsia="es-CO"/>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eastAsia="es-CO"/>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eastAsia="es-CO"/>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eastAsia="es-CO"/>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eastAsia="es-CO"/>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eastAsia="es-CO"/>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Fonts w:eastAsia="es-C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Fonts w:eastAsia="es-C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Fonts w:eastAsia="es-C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Fonts w:eastAsia="es-C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Fonts w:eastAsia="es-C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Fonts w:eastAsia="es-C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Fonts w:eastAsia="es-C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Fonts w:eastAsia="es-CO"/>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Fonts w:eastAsia="es-CO"/>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Fonts w:eastAsia="es-CO"/>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Fonts w:eastAsia="es-CO"/>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Fonts w:eastAsia="es-CO"/>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Fonts w:eastAsia="es-CO"/>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Fonts w:eastAsia="es-CO"/>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Fonts w:eastAsia="es-C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Fonts w:eastAsia="es-C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Fonts w:eastAsia="es-C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Fonts w:eastAsia="es-C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Fonts w:eastAsia="es-C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Fonts w:eastAsia="es-C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Fonts w:eastAsia="es-C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Fonts w:eastAsia="es-CO"/>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Fonts w:eastAsia="es-CO"/>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Fonts w:eastAsia="es-CO"/>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Fonts w:eastAsia="es-CO"/>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Fonts w:eastAsia="es-CO"/>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Fonts w:eastAsia="es-CO"/>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Fonts w:eastAsia="es-CO"/>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3874840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yariangel aray</lastModifiedBy>
  <revision>3</revision>
  <dcterms:created xsi:type="dcterms:W3CDTF">2013-12-23T23:15:00.0000000Z</dcterms:created>
  <dcterms:modified xsi:type="dcterms:W3CDTF">2026-08-05T17:21:38.3181506Z</dcterms:modified>
  <category/>
</coreProperties>
</file>