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7966F"/>
          <w:sz w:val="26"/>
        </w:rPr>
        <w:t>JOJAN ONE</w:t>
      </w:r>
    </w:p>
    <w:p>
      <w:pPr>
        <w:pStyle w:val="Title"/>
      </w:pPr>
      <w:r>
        <w:t>Production Handover</w:t>
        <w:br/>
        <w:t>&amp; Implementation Brief</w:t>
      </w:r>
    </w:p>
    <w:p>
      <w:pPr>
        <w:pStyle w:val="Subtitle"/>
      </w:pPr>
      <w:r>
        <w:t>Professional developer / technical partner brief</w:t>
        <w:br/>
        <w:t>Version 1.0 · 16 July 2026</w:t>
      </w:r>
    </w:p>
    <w:p/>
    <w:tbl>
      <w:tblPr>
        <w:tblW w:type="auto" w:w="0"/>
        <w:jc w:val="center"/>
        <w:tblLook w:firstColumn="1" w:firstRow="1" w:lastColumn="0" w:lastRow="0" w:noHBand="0" w:noVBand="1" w:val="04A0"/>
      </w:tblPr>
      <w:tblGrid>
        <w:gridCol w:w="10166"/>
      </w:tblGrid>
      <w:tr>
        <w:tc>
          <w:tcPr>
            <w:tcW w:type="dxa" w:w="10166"/>
            <w:shd w:fill="EAF6F2"/>
          </w:tcPr>
          <w:p>
            <w:pPr>
              <w:spacing w:after="40"/>
            </w:pPr>
            <w:r>
              <w:rPr>
                <w:rFonts w:ascii="Aptos" w:hAnsi="Aptos"/>
                <w:sz w:val="18"/>
              </w:rPr>
            </w:r>
            <w:r>
              <w:rPr>
                <w:rFonts w:ascii="Aptos" w:hAnsi="Aptos"/>
                <w:b/>
                <w:color w:val="17233C"/>
                <w:sz w:val="18"/>
              </w:rPr>
              <w:t xml:space="preserve">Purpose  </w:t>
            </w:r>
            <w:r>
              <w:rPr>
                <w:rFonts w:ascii="Aptos" w:hAnsi="Aptos"/>
                <w:sz w:val="18"/>
              </w:rPr>
              <w:t>This document gives the appointed professional enough product, data, security, integration and delivery context to assess the existing Lovable prototype, provide an estimate, design the production architecture and begin implementation.</w:t>
            </w:r>
          </w:p>
        </w:tc>
      </w:tr>
    </w:tbl>
    <w:p/>
    <w:tbl>
      <w:tblPr>
        <w:tblW w:type="auto" w:w="0"/>
        <w:jc w:val="center"/>
        <w:tblLook w:firstColumn="1" w:firstRow="1" w:lastColumn="0" w:lastRow="0" w:noHBand="0" w:noVBand="1" w:val="04A0"/>
      </w:tblPr>
      <w:tblGrid>
        <w:gridCol w:w="10166"/>
      </w:tblGrid>
      <w:tr>
        <w:tc>
          <w:tcPr>
            <w:tcW w:type="dxa" w:w="10166"/>
            <w:shd w:fill="E8F7F1"/>
          </w:tcPr>
          <w:p>
            <w:pPr>
              <w:spacing w:after="40"/>
            </w:pPr>
            <w:r>
              <w:rPr>
                <w:rFonts w:ascii="Aptos" w:hAnsi="Aptos"/>
                <w:sz w:val="18"/>
              </w:rPr>
            </w:r>
            <w:r>
              <w:rPr>
                <w:rFonts w:ascii="Aptos" w:hAnsi="Aptos"/>
                <w:b/>
                <w:color w:val="17233C"/>
                <w:sz w:val="18"/>
              </w:rPr>
              <w:t xml:space="preserve">Commercial decision  </w:t>
            </w:r>
            <w:r>
              <w:rPr>
                <w:rFonts w:ascii="Aptos" w:hAnsi="Aptos"/>
                <w:sz w:val="18"/>
              </w:rPr>
              <w:t>Keep all four plans visible. Launch and operational delivery should focus on Starter and Growth. Growth should be the main commercial offer; Starter should remain the lower-friction entry tier. Professional and Enterprise remain future-facing until their promised capabilities can be delivered.</w:t>
            </w:r>
          </w:p>
        </w:tc>
      </w:tr>
    </w:tbl>
    <w:p/>
    <w:p>
      <w:pPr>
        <w:pStyle w:val="Heading1"/>
      </w:pPr>
      <w:r>
        <w:t>Executive decision summary</w:t>
      </w:r>
    </w:p>
    <w:tbl>
      <w:tblPr>
        <w:tblStyle w:val="TableGrid"/>
        <w:tblW w:type="auto" w:w="0"/>
        <w:jc w:val="center"/>
        <w:tblLook w:firstColumn="1" w:firstRow="1" w:lastColumn="0" w:lastRow="0" w:noHBand="0" w:noVBand="1" w:val="04A0"/>
      </w:tblPr>
      <w:tblGrid>
        <w:gridCol w:w="5083"/>
        <w:gridCol w:w="5083"/>
      </w:tblGrid>
      <w:tr>
        <w:tc>
          <w:tcPr>
            <w:tcW w:type="dxa" w:w="5083"/>
            <w:shd w:fill="17233C"/>
            <w:vAlign w:val="center"/>
          </w:tcPr>
          <w:p>
            <w:r/>
            <w:r>
              <w:rPr>
                <w:rFonts w:ascii="Aptos" w:hAnsi="Aptos"/>
                <w:b/>
                <w:color w:val="FFFFFF"/>
                <w:sz w:val="17"/>
              </w:rPr>
              <w:t>Decision</w:t>
            </w:r>
          </w:p>
        </w:tc>
        <w:tc>
          <w:tcPr>
            <w:tcW w:type="dxa" w:w="5083"/>
            <w:shd w:fill="17233C"/>
            <w:vAlign w:val="center"/>
          </w:tcPr>
          <w:p>
            <w:r/>
            <w:r>
              <w:rPr>
                <w:rFonts w:ascii="Aptos" w:hAnsi="Aptos"/>
                <w:b/>
                <w:color w:val="FFFFFF"/>
                <w:sz w:val="17"/>
              </w:rPr>
              <w:t>Recommendation</w:t>
            </w:r>
          </w:p>
        </w:tc>
      </w:tr>
      <w:tr>
        <w:tc>
          <w:tcPr>
            <w:tcW w:type="dxa" w:w="5083"/>
            <w:vAlign w:val="center"/>
          </w:tcPr>
          <w:p>
            <w:r/>
            <w:r>
              <w:rPr>
                <w:rFonts w:ascii="Aptos" w:hAnsi="Aptos"/>
                <w:b w:val="0"/>
                <w:color w:val="17233C"/>
                <w:sz w:val="17"/>
              </w:rPr>
              <w:t>Initial product</w:t>
            </w:r>
          </w:p>
        </w:tc>
        <w:tc>
          <w:tcPr>
            <w:tcW w:type="dxa" w:w="5083"/>
            <w:vAlign w:val="center"/>
          </w:tcPr>
          <w:p>
            <w:r/>
            <w:r>
              <w:rPr>
                <w:rFonts w:ascii="Aptos" w:hAnsi="Aptos"/>
                <w:b w:val="0"/>
                <w:color w:val="17233C"/>
                <w:sz w:val="17"/>
              </w:rPr>
              <w:t>A guided business-management workspace with manual data entry, evidence records, reminders, reports, Academy and Jova guidance.</w:t>
            </w:r>
          </w:p>
        </w:tc>
      </w:tr>
      <w:tr>
        <w:tc>
          <w:tcPr>
            <w:tcW w:type="dxa" w:w="5083"/>
            <w:shd w:fill="F4F7F8"/>
            <w:vAlign w:val="center"/>
          </w:tcPr>
          <w:p>
            <w:r/>
            <w:r>
              <w:rPr>
                <w:rFonts w:ascii="Aptos" w:hAnsi="Aptos"/>
                <w:b w:val="0"/>
                <w:color w:val="17233C"/>
                <w:sz w:val="17"/>
              </w:rPr>
              <w:t>Launch plans</w:t>
            </w:r>
          </w:p>
        </w:tc>
        <w:tc>
          <w:tcPr>
            <w:tcW w:type="dxa" w:w="5083"/>
            <w:shd w:fill="F4F7F8"/>
            <w:vAlign w:val="center"/>
          </w:tcPr>
          <w:p>
            <w:r/>
            <w:r>
              <w:rPr>
                <w:rFonts w:ascii="Aptos" w:hAnsi="Aptos"/>
                <w:b w:val="0"/>
                <w:color w:val="17233C"/>
                <w:sz w:val="17"/>
              </w:rPr>
              <w:t>Starter (£39/month, 1 user) and Growth (£99/month, up to 5 users).</w:t>
            </w:r>
          </w:p>
        </w:tc>
      </w:tr>
      <w:tr>
        <w:tc>
          <w:tcPr>
            <w:tcW w:type="dxa" w:w="5083"/>
            <w:vAlign w:val="center"/>
          </w:tcPr>
          <w:p>
            <w:r/>
            <w:r>
              <w:rPr>
                <w:rFonts w:ascii="Aptos" w:hAnsi="Aptos"/>
                <w:b w:val="0"/>
                <w:color w:val="17233C"/>
                <w:sz w:val="17"/>
              </w:rPr>
              <w:t>Primary offer</w:t>
            </w:r>
          </w:p>
        </w:tc>
        <w:tc>
          <w:tcPr>
            <w:tcW w:type="dxa" w:w="5083"/>
            <w:vAlign w:val="center"/>
          </w:tcPr>
          <w:p>
            <w:r/>
            <w:r>
              <w:rPr>
                <w:rFonts w:ascii="Aptos" w:hAnsi="Aptos"/>
                <w:b w:val="0"/>
                <w:color w:val="17233C"/>
                <w:sz w:val="17"/>
              </w:rPr>
              <w:t>Growth: broadest fit for small businesses and enough users to demonstrate team value.</w:t>
            </w:r>
          </w:p>
        </w:tc>
      </w:tr>
      <w:tr>
        <w:tc>
          <w:tcPr>
            <w:tcW w:type="dxa" w:w="5083"/>
            <w:shd w:fill="F4F7F8"/>
            <w:vAlign w:val="center"/>
          </w:tcPr>
          <w:p>
            <w:r/>
            <w:r>
              <w:rPr>
                <w:rFonts w:ascii="Aptos" w:hAnsi="Aptos"/>
                <w:b w:val="0"/>
                <w:color w:val="17233C"/>
                <w:sz w:val="17"/>
              </w:rPr>
              <w:t>Future plans</w:t>
            </w:r>
          </w:p>
        </w:tc>
        <w:tc>
          <w:tcPr>
            <w:tcW w:type="dxa" w:w="5083"/>
            <w:shd w:fill="F4F7F8"/>
            <w:vAlign w:val="center"/>
          </w:tcPr>
          <w:p>
            <w:r/>
            <w:r>
              <w:rPr>
                <w:rFonts w:ascii="Aptos" w:hAnsi="Aptos"/>
                <w:b w:val="0"/>
                <w:color w:val="17233C"/>
                <w:sz w:val="17"/>
              </w:rPr>
              <w:t>Keep Professional (£249/month) and Enterprise (Custom) visible as roadmap/contact options; do not accept payment for unavailable features.</w:t>
            </w:r>
          </w:p>
        </w:tc>
      </w:tr>
      <w:tr>
        <w:tc>
          <w:tcPr>
            <w:tcW w:type="dxa" w:w="5083"/>
            <w:vAlign w:val="center"/>
          </w:tcPr>
          <w:p>
            <w:r/>
            <w:r>
              <w:rPr>
                <w:rFonts w:ascii="Aptos" w:hAnsi="Aptos"/>
                <w:b w:val="0"/>
                <w:color w:val="17233C"/>
                <w:sz w:val="17"/>
              </w:rPr>
              <w:t>First live integration</w:t>
            </w:r>
          </w:p>
        </w:tc>
        <w:tc>
          <w:tcPr>
            <w:tcW w:type="dxa" w:w="5083"/>
            <w:vAlign w:val="center"/>
          </w:tcPr>
          <w:p>
            <w:r/>
            <w:r>
              <w:rPr>
                <w:rFonts w:ascii="Aptos" w:hAnsi="Aptos"/>
                <w:b w:val="0"/>
                <w:color w:val="17233C"/>
                <w:sz w:val="17"/>
              </w:rPr>
              <w:t>Companies House read-only data, followed by official deep-links. Direct HMRC filing is deferred.</w:t>
            </w:r>
          </w:p>
        </w:tc>
      </w:tr>
      <w:tr>
        <w:tc>
          <w:tcPr>
            <w:tcW w:type="dxa" w:w="5083"/>
            <w:shd w:fill="F4F7F8"/>
            <w:vAlign w:val="center"/>
          </w:tcPr>
          <w:p>
            <w:r/>
            <w:r>
              <w:rPr>
                <w:rFonts w:ascii="Aptos" w:hAnsi="Aptos"/>
                <w:b w:val="0"/>
                <w:color w:val="17233C"/>
                <w:sz w:val="17"/>
              </w:rPr>
              <w:t>Production foundation</w:t>
            </w:r>
          </w:p>
        </w:tc>
        <w:tc>
          <w:tcPr>
            <w:tcW w:type="dxa" w:w="5083"/>
            <w:shd w:fill="F4F7F8"/>
            <w:vAlign w:val="center"/>
          </w:tcPr>
          <w:p>
            <w:r/>
            <w:r>
              <w:rPr>
                <w:rFonts w:ascii="Aptos" w:hAnsi="Aptos"/>
                <w:b w:val="0"/>
                <w:color w:val="17233C"/>
                <w:sz w:val="17"/>
              </w:rPr>
              <w:t>Hosted multi-tenant database, authentication, server-side permissions, secure file storage, audit logging and backups.</w:t>
            </w:r>
          </w:p>
        </w:tc>
      </w:tr>
      <w:tr>
        <w:tc>
          <w:tcPr>
            <w:tcW w:type="dxa" w:w="5083"/>
            <w:vAlign w:val="center"/>
          </w:tcPr>
          <w:p>
            <w:r/>
            <w:r>
              <w:rPr>
                <w:rFonts w:ascii="Aptos" w:hAnsi="Aptos"/>
                <w:b w:val="0"/>
                <w:color w:val="17233C"/>
                <w:sz w:val="17"/>
              </w:rPr>
              <w:t>AI position</w:t>
            </w:r>
          </w:p>
        </w:tc>
        <w:tc>
          <w:tcPr>
            <w:tcW w:type="dxa" w:w="5083"/>
            <w:vAlign w:val="center"/>
          </w:tcPr>
          <w:p>
            <w:r/>
            <w:r>
              <w:rPr>
                <w:rFonts w:ascii="Aptos" w:hAnsi="Aptos"/>
                <w:b w:val="0"/>
                <w:color w:val="17233C"/>
                <w:sz w:val="17"/>
              </w:rPr>
              <w:t>Jova is currently deterministic. Preserve its safeguards; introduce a real model only behind controlled retrieval, source attribution and human escalation.</w:t>
            </w:r>
          </w:p>
        </w:tc>
      </w:tr>
    </w:tbl>
    <w:p/>
    <w:p>
      <w:pPr>
        <w:pStyle w:val="Heading1"/>
      </w:pPr>
      <w:r>
        <w:t>1. Product overview</w:t>
      </w:r>
    </w:p>
    <w:p>
      <w:r>
        <w:t>Jojan One is a UK-focused business operating system for small businesses. It brings business priorities, statutory obligations, contracts, people, governance, risk, investment readiness, tender readiness, learning and guidance into one workspace.</w:t>
      </w:r>
    </w:p>
    <w:p>
      <w:pPr>
        <w:pStyle w:val="Heading2"/>
      </w:pPr>
      <w:r>
        <w:t>Current prototype</w:t>
      </w:r>
    </w:p>
    <w:p>
      <w:pPr>
        <w:pStyle w:val="ListBullet"/>
        <w:spacing w:after="60"/>
      </w:pPr>
      <w:r>
        <w:t>Built in Lovable with React, TypeScript and a shared application shell.</w:t>
      </w:r>
    </w:p>
    <w:p>
      <w:pPr>
        <w:pStyle w:val="ListBullet"/>
        <w:spacing w:after="60"/>
      </w:pPr>
      <w:r>
        <w:t>Functional browser-based prototype using localStorage and seeded demonstration records.</w:t>
      </w:r>
    </w:p>
    <w:p>
      <w:pPr>
        <w:pStyle w:val="ListBullet"/>
        <w:spacing w:after="60"/>
      </w:pPr>
      <w:r>
        <w:t>Navigation, CRUD-style workflows, dialogs, drawers, filters, print views, reports and cross-module links are demonstrable.</w:t>
      </w:r>
    </w:p>
    <w:p>
      <w:pPr>
        <w:pStyle w:val="ListBullet"/>
        <w:spacing w:after="60"/>
      </w:pPr>
      <w:r>
        <w:t>No production authentication, hosted database, secure file store, payment provider, outbound email/push delivery or live regulatory services are connected.</w:t>
      </w:r>
    </w:p>
    <w:p>
      <w:pPr>
        <w:pStyle w:val="ListBullet"/>
        <w:spacing w:after="60"/>
      </w:pPr>
      <w:r>
        <w:t>Prototype content must not be represented as live regulatory monitoring or automated filing.</w:t>
      </w:r>
    </w:p>
    <w:p>
      <w:pPr>
        <w:pStyle w:val="Heading1"/>
      </w:pPr>
      <w:r>
        <w:t>2. Existing module scope</w:t>
      </w:r>
    </w:p>
    <w:tbl>
      <w:tblPr>
        <w:tblStyle w:val="TableGrid"/>
        <w:tblW w:type="auto" w:w="0"/>
        <w:jc w:val="center"/>
        <w:tblLook w:firstColumn="1" w:firstRow="1" w:lastColumn="0" w:lastRow="0" w:noHBand="0" w:noVBand="1" w:val="04A0"/>
      </w:tblPr>
      <w:tblGrid>
        <w:gridCol w:w="5083"/>
        <w:gridCol w:w="5083"/>
      </w:tblGrid>
      <w:tr>
        <w:tc>
          <w:tcPr>
            <w:tcW w:type="dxa" w:w="5083"/>
            <w:shd w:fill="17233C"/>
            <w:vAlign w:val="center"/>
          </w:tcPr>
          <w:p>
            <w:r/>
            <w:r>
              <w:rPr>
                <w:rFonts w:ascii="Aptos" w:hAnsi="Aptos"/>
                <w:b/>
                <w:color w:val="FFFFFF"/>
                <w:sz w:val="17"/>
              </w:rPr>
              <w:t>Area</w:t>
            </w:r>
          </w:p>
        </w:tc>
        <w:tc>
          <w:tcPr>
            <w:tcW w:type="dxa" w:w="5083"/>
            <w:shd w:fill="17233C"/>
            <w:vAlign w:val="center"/>
          </w:tcPr>
          <w:p>
            <w:r/>
            <w:r>
              <w:rPr>
                <w:rFonts w:ascii="Aptos" w:hAnsi="Aptos"/>
                <w:b/>
                <w:color w:val="FFFFFF"/>
                <w:sz w:val="17"/>
              </w:rPr>
              <w:t>Modules and purpose</w:t>
            </w:r>
          </w:p>
        </w:tc>
      </w:tr>
      <w:tr>
        <w:tc>
          <w:tcPr>
            <w:tcW w:type="dxa" w:w="5083"/>
            <w:vAlign w:val="center"/>
          </w:tcPr>
          <w:p>
            <w:r/>
            <w:r>
              <w:rPr>
                <w:rFonts w:ascii="Aptos" w:hAnsi="Aptos"/>
                <w:b w:val="0"/>
                <w:color w:val="17233C"/>
                <w:sz w:val="17"/>
              </w:rPr>
              <w:t>Core intelligence</w:t>
            </w:r>
          </w:p>
        </w:tc>
        <w:tc>
          <w:tcPr>
            <w:tcW w:type="dxa" w:w="5083"/>
            <w:vAlign w:val="center"/>
          </w:tcPr>
          <w:p>
            <w:r/>
            <w:r>
              <w:rPr>
                <w:rFonts w:ascii="Aptos" w:hAnsi="Aptos"/>
                <w:b w:val="0"/>
                <w:color w:val="17233C"/>
                <w:sz w:val="17"/>
              </w:rPr>
              <w:t>Dashboard, Executive, Timeline, Reports and Jova.</w:t>
            </w:r>
          </w:p>
        </w:tc>
      </w:tr>
      <w:tr>
        <w:tc>
          <w:tcPr>
            <w:tcW w:type="dxa" w:w="5083"/>
            <w:shd w:fill="F4F7F8"/>
            <w:vAlign w:val="center"/>
          </w:tcPr>
          <w:p>
            <w:r/>
            <w:r>
              <w:rPr>
                <w:rFonts w:ascii="Aptos" w:hAnsi="Aptos"/>
                <w:b w:val="0"/>
                <w:color w:val="17233C"/>
                <w:sz w:val="17"/>
              </w:rPr>
              <w:t>Business</w:t>
            </w:r>
          </w:p>
        </w:tc>
        <w:tc>
          <w:tcPr>
            <w:tcW w:type="dxa" w:w="5083"/>
            <w:shd w:fill="F4F7F8"/>
            <w:vAlign w:val="center"/>
          </w:tcPr>
          <w:p>
            <w:r/>
            <w:r>
              <w:rPr>
                <w:rFonts w:ascii="Aptos" w:hAnsi="Aptos"/>
                <w:b w:val="0"/>
                <w:color w:val="17233C"/>
                <w:sz w:val="17"/>
              </w:rPr>
              <w:t>Scenario Simulator, Business Map, Contracts and HR.</w:t>
            </w:r>
          </w:p>
        </w:tc>
      </w:tr>
      <w:tr>
        <w:tc>
          <w:tcPr>
            <w:tcW w:type="dxa" w:w="5083"/>
            <w:vAlign w:val="center"/>
          </w:tcPr>
          <w:p>
            <w:r/>
            <w:r>
              <w:rPr>
                <w:rFonts w:ascii="Aptos" w:hAnsi="Aptos"/>
                <w:b w:val="0"/>
                <w:color w:val="17233C"/>
                <w:sz w:val="17"/>
              </w:rPr>
              <w:t>Compliance &amp; governance</w:t>
            </w:r>
          </w:p>
        </w:tc>
        <w:tc>
          <w:tcPr>
            <w:tcW w:type="dxa" w:w="5083"/>
            <w:vAlign w:val="center"/>
          </w:tcPr>
          <w:p>
            <w:r/>
            <w:r>
              <w:rPr>
                <w:rFonts w:ascii="Aptos" w:hAnsi="Aptos"/>
                <w:b w:val="0"/>
                <w:color w:val="17233C"/>
                <w:sz w:val="17"/>
              </w:rPr>
              <w:t>Compliance, GDPR, Governance and Risk.</w:t>
            </w:r>
          </w:p>
        </w:tc>
      </w:tr>
      <w:tr>
        <w:tc>
          <w:tcPr>
            <w:tcW w:type="dxa" w:w="5083"/>
            <w:shd w:fill="F4F7F8"/>
            <w:vAlign w:val="center"/>
          </w:tcPr>
          <w:p>
            <w:r/>
            <w:r>
              <w:rPr>
                <w:rFonts w:ascii="Aptos" w:hAnsi="Aptos"/>
                <w:b w:val="0"/>
                <w:color w:val="17233C"/>
                <w:sz w:val="17"/>
              </w:rPr>
              <w:t>Growth</w:t>
            </w:r>
          </w:p>
        </w:tc>
        <w:tc>
          <w:tcPr>
            <w:tcW w:type="dxa" w:w="5083"/>
            <w:shd w:fill="F4F7F8"/>
            <w:vAlign w:val="center"/>
          </w:tcPr>
          <w:p>
            <w:r/>
            <w:r>
              <w:rPr>
                <w:rFonts w:ascii="Aptos" w:hAnsi="Aptos"/>
                <w:b w:val="0"/>
                <w:color w:val="17233C"/>
                <w:sz w:val="17"/>
              </w:rPr>
              <w:t>Investor Ready and Tender Ready.</w:t>
            </w:r>
          </w:p>
        </w:tc>
      </w:tr>
      <w:tr>
        <w:tc>
          <w:tcPr>
            <w:tcW w:type="dxa" w:w="5083"/>
            <w:vAlign w:val="center"/>
          </w:tcPr>
          <w:p>
            <w:r/>
            <w:r>
              <w:rPr>
                <w:rFonts w:ascii="Aptos" w:hAnsi="Aptos"/>
                <w:b w:val="0"/>
                <w:color w:val="17233C"/>
                <w:sz w:val="17"/>
              </w:rPr>
              <w:t>Learning</w:t>
            </w:r>
          </w:p>
        </w:tc>
        <w:tc>
          <w:tcPr>
            <w:tcW w:type="dxa" w:w="5083"/>
            <w:vAlign w:val="center"/>
          </w:tcPr>
          <w:p>
            <w:r/>
            <w:r>
              <w:rPr>
                <w:rFonts w:ascii="Aptos" w:hAnsi="Aptos"/>
                <w:b w:val="0"/>
                <w:color w:val="17233C"/>
                <w:sz w:val="17"/>
              </w:rPr>
              <w:t>Academy: courses, lessons, quizzes, assignments, progress and certificates.</w:t>
            </w:r>
          </w:p>
        </w:tc>
      </w:tr>
      <w:tr>
        <w:tc>
          <w:tcPr>
            <w:tcW w:type="dxa" w:w="5083"/>
            <w:shd w:fill="F4F7F8"/>
            <w:vAlign w:val="center"/>
          </w:tcPr>
          <w:p>
            <w:r/>
            <w:r>
              <w:rPr>
                <w:rFonts w:ascii="Aptos" w:hAnsi="Aptos"/>
                <w:b w:val="0"/>
                <w:color w:val="17233C"/>
                <w:sz w:val="17"/>
              </w:rPr>
              <w:t>System</w:t>
            </w:r>
          </w:p>
        </w:tc>
        <w:tc>
          <w:tcPr>
            <w:tcW w:type="dxa" w:w="5083"/>
            <w:shd w:fill="F4F7F8"/>
            <w:vAlign w:val="center"/>
          </w:tcPr>
          <w:p>
            <w:r/>
            <w:r>
              <w:rPr>
                <w:rFonts w:ascii="Aptos" w:hAnsi="Aptos"/>
                <w:b w:val="0"/>
                <w:color w:val="17233C"/>
                <w:sz w:val="17"/>
              </w:rPr>
              <w:t>Settings, users/access, notifications, display, document defaults, backup, audit, system information and Plans &amp; Billing.</w:t>
            </w:r>
          </w:p>
        </w:tc>
      </w:tr>
    </w:tbl>
    <w:p/>
    <w:p>
      <w:pPr>
        <w:pStyle w:val="Heading1"/>
      </w:pPr>
      <w:r>
        <w:t>3. Initial production scope</w:t>
      </w:r>
    </w:p>
    <w:p>
      <w:pPr>
        <w:pStyle w:val="Heading2"/>
      </w:pPr>
      <w:r>
        <w:t>In scope</w:t>
      </w:r>
    </w:p>
    <w:p>
      <w:pPr>
        <w:pStyle w:val="ListBullet"/>
        <w:spacing w:after="60"/>
      </w:pPr>
      <w:r>
        <w:t>Production authentication, password reset, sessions and account recovery.</w:t>
      </w:r>
    </w:p>
    <w:p>
      <w:pPr>
        <w:pStyle w:val="ListBullet"/>
        <w:spacing w:after="60"/>
      </w:pPr>
      <w:r>
        <w:t>Organisation/workspace model with strict tenant separation.</w:t>
      </w:r>
    </w:p>
    <w:p>
      <w:pPr>
        <w:pStyle w:val="ListBullet"/>
        <w:spacing w:after="60"/>
      </w:pPr>
      <w:r>
        <w:t>Server-enforced roles and permissions for Owner/Admin, Manager, Team Member, Adviser and Read Only.</w:t>
      </w:r>
    </w:p>
    <w:p>
      <w:pPr>
        <w:pStyle w:val="ListBullet"/>
        <w:spacing w:after="60"/>
      </w:pPr>
      <w:r>
        <w:t>Hosted relational database, encrypted storage, backups and restore procedures.</w:t>
      </w:r>
    </w:p>
    <w:p>
      <w:pPr>
        <w:pStyle w:val="ListBullet"/>
        <w:spacing w:after="60"/>
      </w:pPr>
      <w:r>
        <w:t>Secure document/evidence storage with upload validation, access control and retention metadata.</w:t>
      </w:r>
    </w:p>
    <w:p>
      <w:pPr>
        <w:pStyle w:val="ListBullet"/>
        <w:spacing w:after="60"/>
      </w:pPr>
      <w:r>
        <w:t>Migration of the prototype's shared state into production entities without losing business logic.</w:t>
      </w:r>
    </w:p>
    <w:p>
      <w:pPr>
        <w:pStyle w:val="ListBullet"/>
        <w:spacing w:after="60"/>
      </w:pPr>
      <w:r>
        <w:t>Core workflows across all existing modules, reports, exports, notifications and audit events.</w:t>
      </w:r>
    </w:p>
    <w:p>
      <w:pPr>
        <w:pStyle w:val="ListBullet"/>
        <w:spacing w:after="60"/>
      </w:pPr>
      <w:r>
        <w:t>Companies House read-only integration and links to official filing services.</w:t>
      </w:r>
    </w:p>
    <w:p>
      <w:pPr>
        <w:pStyle w:val="ListBullet"/>
        <w:spacing w:after="60"/>
      </w:pPr>
      <w:r>
        <w:t>Stripe or equivalent hosted checkout for Starter and Growth, verified webhooks and subscription state.</w:t>
      </w:r>
    </w:p>
    <w:p>
      <w:pPr>
        <w:pStyle w:val="ListBullet"/>
        <w:spacing w:after="60"/>
      </w:pPr>
      <w:r>
        <w:t>Responsive, accessible UI preserving the established Jojan One branding and Jova safeguards.</w:t>
      </w:r>
    </w:p>
    <w:p>
      <w:pPr>
        <w:pStyle w:val="Heading2"/>
      </w:pPr>
      <w:r>
        <w:t>Deferred from initial launch</w:t>
      </w:r>
    </w:p>
    <w:p>
      <w:pPr>
        <w:pStyle w:val="ListBullet"/>
        <w:spacing w:after="60"/>
      </w:pPr>
      <w:r>
        <w:t>Direct HMRC submissions or storage of Government Gateway credentials.</w:t>
      </w:r>
    </w:p>
    <w:p>
      <w:pPr>
        <w:pStyle w:val="ListBullet"/>
        <w:spacing w:after="60"/>
      </w:pPr>
      <w:r>
        <w:t>Direct Companies House filings.</w:t>
      </w:r>
    </w:p>
    <w:p>
      <w:pPr>
        <w:pStyle w:val="ListBullet"/>
        <w:spacing w:after="60"/>
      </w:pPr>
      <w:r>
        <w:t>Claims of live legal/regulatory monitoring.</w:t>
      </w:r>
    </w:p>
    <w:p>
      <w:pPr>
        <w:pStyle w:val="ListBullet"/>
        <w:spacing w:after="60"/>
      </w:pPr>
      <w:r>
        <w:t>External tender portal submission, document e-signature and complex enterprise integrations.</w:t>
      </w:r>
    </w:p>
    <w:p>
      <w:pPr>
        <w:pStyle w:val="ListBullet"/>
        <w:spacing w:after="60"/>
      </w:pPr>
      <w:r>
        <w:t>Professional/Enterprise entitlement enforcement until those offers are operationally supported.</w:t>
      </w:r>
    </w:p>
    <w:p>
      <w:pPr>
        <w:pStyle w:val="Heading1"/>
      </w:pPr>
      <w:r>
        <w:t>4. Users, roles and access</w:t>
      </w:r>
    </w:p>
    <w:tbl>
      <w:tblPr>
        <w:tblStyle w:val="TableGrid"/>
        <w:tblW w:type="auto" w:w="0"/>
        <w:jc w:val="center"/>
        <w:tblLook w:firstColumn="1" w:firstRow="1" w:lastColumn="0" w:lastRow="0" w:noHBand="0" w:noVBand="1" w:val="04A0"/>
      </w:tblPr>
      <w:tblGrid>
        <w:gridCol w:w="5083"/>
        <w:gridCol w:w="5083"/>
      </w:tblGrid>
      <w:tr>
        <w:tc>
          <w:tcPr>
            <w:tcW w:type="dxa" w:w="5083"/>
            <w:shd w:fill="17233C"/>
            <w:vAlign w:val="center"/>
          </w:tcPr>
          <w:p>
            <w:r/>
            <w:r>
              <w:rPr>
                <w:rFonts w:ascii="Aptos" w:hAnsi="Aptos"/>
                <w:b/>
                <w:color w:val="FFFFFF"/>
                <w:sz w:val="17"/>
              </w:rPr>
              <w:t>Role</w:t>
            </w:r>
          </w:p>
        </w:tc>
        <w:tc>
          <w:tcPr>
            <w:tcW w:type="dxa" w:w="5083"/>
            <w:shd w:fill="17233C"/>
            <w:vAlign w:val="center"/>
          </w:tcPr>
          <w:p>
            <w:r/>
            <w:r>
              <w:rPr>
                <w:rFonts w:ascii="Aptos" w:hAnsi="Aptos"/>
                <w:b/>
                <w:color w:val="FFFFFF"/>
                <w:sz w:val="17"/>
              </w:rPr>
              <w:t>Expected access</w:t>
            </w:r>
          </w:p>
        </w:tc>
      </w:tr>
      <w:tr>
        <w:tc>
          <w:tcPr>
            <w:tcW w:type="dxa" w:w="5083"/>
            <w:vAlign w:val="center"/>
          </w:tcPr>
          <w:p>
            <w:r/>
            <w:r>
              <w:rPr>
                <w:rFonts w:ascii="Aptos" w:hAnsi="Aptos"/>
                <w:b w:val="0"/>
                <w:color w:val="17233C"/>
                <w:sz w:val="17"/>
              </w:rPr>
              <w:t>Owner/Admin</w:t>
            </w:r>
          </w:p>
        </w:tc>
        <w:tc>
          <w:tcPr>
            <w:tcW w:type="dxa" w:w="5083"/>
            <w:vAlign w:val="center"/>
          </w:tcPr>
          <w:p>
            <w:r/>
            <w:r>
              <w:rPr>
                <w:rFonts w:ascii="Aptos" w:hAnsi="Aptos"/>
                <w:b w:val="0"/>
                <w:color w:val="17233C"/>
                <w:sz w:val="17"/>
              </w:rPr>
              <w:t>Full workspace administration, billing, users, exports, settings and all modules.</w:t>
            </w:r>
          </w:p>
        </w:tc>
      </w:tr>
      <w:tr>
        <w:tc>
          <w:tcPr>
            <w:tcW w:type="dxa" w:w="5083"/>
            <w:shd w:fill="F4F7F8"/>
            <w:vAlign w:val="center"/>
          </w:tcPr>
          <w:p>
            <w:r/>
            <w:r>
              <w:rPr>
                <w:rFonts w:ascii="Aptos" w:hAnsi="Aptos"/>
                <w:b w:val="0"/>
                <w:color w:val="17233C"/>
                <w:sz w:val="17"/>
              </w:rPr>
              <w:t>Manager</w:t>
            </w:r>
          </w:p>
        </w:tc>
        <w:tc>
          <w:tcPr>
            <w:tcW w:type="dxa" w:w="5083"/>
            <w:shd w:fill="F4F7F8"/>
            <w:vAlign w:val="center"/>
          </w:tcPr>
          <w:p>
            <w:r/>
            <w:r>
              <w:rPr>
                <w:rFonts w:ascii="Aptos" w:hAnsi="Aptos"/>
                <w:b w:val="0"/>
                <w:color w:val="17233C"/>
                <w:sz w:val="17"/>
              </w:rPr>
              <w:t>Manage operational modules and reports; no destructive workspace or billing actions unless explicitly delegated.</w:t>
            </w:r>
          </w:p>
        </w:tc>
      </w:tr>
      <w:tr>
        <w:tc>
          <w:tcPr>
            <w:tcW w:type="dxa" w:w="5083"/>
            <w:vAlign w:val="center"/>
          </w:tcPr>
          <w:p>
            <w:r/>
            <w:r>
              <w:rPr>
                <w:rFonts w:ascii="Aptos" w:hAnsi="Aptos"/>
                <w:b w:val="0"/>
                <w:color w:val="17233C"/>
                <w:sz w:val="17"/>
              </w:rPr>
              <w:t>Team Member</w:t>
            </w:r>
          </w:p>
        </w:tc>
        <w:tc>
          <w:tcPr>
            <w:tcW w:type="dxa" w:w="5083"/>
            <w:vAlign w:val="center"/>
          </w:tcPr>
          <w:p>
            <w:r/>
            <w:r>
              <w:rPr>
                <w:rFonts w:ascii="Aptos" w:hAnsi="Aptos"/>
                <w:b w:val="0"/>
                <w:color w:val="17233C"/>
                <w:sz w:val="17"/>
              </w:rPr>
              <w:t>View and update assigned records, complete training and contribute evidence.</w:t>
            </w:r>
          </w:p>
        </w:tc>
      </w:tr>
      <w:tr>
        <w:tc>
          <w:tcPr>
            <w:tcW w:type="dxa" w:w="5083"/>
            <w:shd w:fill="F4F7F8"/>
            <w:vAlign w:val="center"/>
          </w:tcPr>
          <w:p>
            <w:r/>
            <w:r>
              <w:rPr>
                <w:rFonts w:ascii="Aptos" w:hAnsi="Aptos"/>
                <w:b w:val="0"/>
                <w:color w:val="17233C"/>
                <w:sz w:val="17"/>
              </w:rPr>
              <w:t>Adviser</w:t>
            </w:r>
          </w:p>
        </w:tc>
        <w:tc>
          <w:tcPr>
            <w:tcW w:type="dxa" w:w="5083"/>
            <w:shd w:fill="F4F7F8"/>
            <w:vAlign w:val="center"/>
          </w:tcPr>
          <w:p>
            <w:r/>
            <w:r>
              <w:rPr>
                <w:rFonts w:ascii="Aptos" w:hAnsi="Aptos"/>
                <w:b w:val="0"/>
                <w:color w:val="17233C"/>
                <w:sz w:val="17"/>
              </w:rPr>
              <w:t>Time-limited, scoped view/comment access to approved areas; no hidden cross-module access.</w:t>
            </w:r>
          </w:p>
        </w:tc>
      </w:tr>
      <w:tr>
        <w:tc>
          <w:tcPr>
            <w:tcW w:type="dxa" w:w="5083"/>
            <w:vAlign w:val="center"/>
          </w:tcPr>
          <w:p>
            <w:r/>
            <w:r>
              <w:rPr>
                <w:rFonts w:ascii="Aptos" w:hAnsi="Aptos"/>
                <w:b w:val="0"/>
                <w:color w:val="17233C"/>
                <w:sz w:val="17"/>
              </w:rPr>
              <w:t>Read Only</w:t>
            </w:r>
          </w:p>
        </w:tc>
        <w:tc>
          <w:tcPr>
            <w:tcW w:type="dxa" w:w="5083"/>
            <w:vAlign w:val="center"/>
          </w:tcPr>
          <w:p>
            <w:r/>
            <w:r>
              <w:rPr>
                <w:rFonts w:ascii="Aptos" w:hAnsi="Aptos"/>
                <w:b w:val="0"/>
                <w:color w:val="17233C"/>
                <w:sz w:val="17"/>
              </w:rPr>
              <w:t>View permitted records and reports; no mutation or export unless granted.</w:t>
            </w:r>
          </w:p>
        </w:tc>
      </w:tr>
    </w:tbl>
    <w:p/>
    <w:tbl>
      <w:tblPr>
        <w:tblW w:type="auto" w:w="0"/>
        <w:jc w:val="center"/>
        <w:tblLook w:firstColumn="1" w:firstRow="1" w:lastColumn="0" w:lastRow="0" w:noHBand="0" w:noVBand="1" w:val="04A0"/>
      </w:tblPr>
      <w:tblGrid>
        <w:gridCol w:w="10166"/>
      </w:tblGrid>
      <w:tr>
        <w:tc>
          <w:tcPr>
            <w:tcW w:type="dxa" w:w="10166"/>
            <w:shd w:fill="FFF4D6"/>
          </w:tcPr>
          <w:p>
            <w:pPr>
              <w:spacing w:after="40"/>
            </w:pPr>
            <w:r>
              <w:rPr>
                <w:rFonts w:ascii="Aptos" w:hAnsi="Aptos"/>
                <w:sz w:val="18"/>
              </w:rPr>
            </w:r>
            <w:r>
              <w:rPr>
                <w:rFonts w:ascii="Aptos" w:hAnsi="Aptos"/>
                <w:b/>
                <w:color w:val="17233C"/>
                <w:sz w:val="18"/>
              </w:rPr>
              <w:t xml:space="preserve">Non-negotiable  </w:t>
            </w:r>
            <w:r>
              <w:rPr>
                <w:rFonts w:ascii="Aptos" w:hAnsi="Aptos"/>
                <w:sz w:val="18"/>
              </w:rPr>
              <w:t>Permissions must be enforced on the server and database layer. Hiding controls in the interface is not access control.</w:t>
            </w:r>
          </w:p>
        </w:tc>
      </w:tr>
    </w:tbl>
    <w:p/>
    <w:p>
      <w:pPr>
        <w:pStyle w:val="Heading1"/>
      </w:pPr>
      <w:r>
        <w:t>5. Data entering Jojan One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33C"/>
            <w:vAlign w:val="center"/>
          </w:tcPr>
          <w:p>
            <w:r/>
            <w:r>
              <w:rPr>
                <w:rFonts w:ascii="Aptos" w:hAnsi="Aptos"/>
                <w:b/>
                <w:color w:val="FFFFFF"/>
                <w:sz w:val="17"/>
              </w:rPr>
              <w:t>Source</w:t>
            </w:r>
          </w:p>
        </w:tc>
        <w:tc>
          <w:tcPr>
            <w:tcW w:type="dxa" w:w="3389"/>
            <w:shd w:fill="17233C"/>
            <w:vAlign w:val="center"/>
          </w:tcPr>
          <w:p>
            <w:r/>
            <w:r>
              <w:rPr>
                <w:rFonts w:ascii="Aptos" w:hAnsi="Aptos"/>
                <w:b/>
                <w:color w:val="FFFFFF"/>
                <w:sz w:val="17"/>
              </w:rPr>
              <w:t>Examples</w:t>
            </w:r>
          </w:p>
        </w:tc>
        <w:tc>
          <w:tcPr>
            <w:tcW w:type="dxa" w:w="3389"/>
            <w:shd w:fill="17233C"/>
            <w:vAlign w:val="center"/>
          </w:tcPr>
          <w:p>
            <w:r/>
            <w:r>
              <w:rPr>
                <w:rFonts w:ascii="Aptos" w:hAnsi="Aptos"/>
                <w:b/>
                <w:color w:val="FFFFFF"/>
                <w:sz w:val="17"/>
              </w:rPr>
              <w:t>Preferred format</w:t>
            </w:r>
          </w:p>
        </w:tc>
      </w:tr>
      <w:tr>
        <w:tc>
          <w:tcPr>
            <w:tcW w:type="dxa" w:w="3389"/>
            <w:vAlign w:val="center"/>
          </w:tcPr>
          <w:p>
            <w:r/>
            <w:r>
              <w:rPr>
                <w:rFonts w:ascii="Aptos" w:hAnsi="Aptos"/>
                <w:b w:val="0"/>
                <w:color w:val="17233C"/>
                <w:sz w:val="17"/>
              </w:rPr>
              <w:t>User entry</w:t>
            </w:r>
          </w:p>
        </w:tc>
        <w:tc>
          <w:tcPr>
            <w:tcW w:type="dxa" w:w="3389"/>
            <w:vAlign w:val="center"/>
          </w:tcPr>
          <w:p>
            <w:r/>
            <w:r>
              <w:rPr>
                <w:rFonts w:ascii="Aptos" w:hAnsi="Aptos"/>
                <w:b w:val="0"/>
                <w:color w:val="17233C"/>
                <w:sz w:val="17"/>
              </w:rPr>
              <w:t>Business profile, deadlines, contracts, people, risks, actions, decisions, readiness items</w:t>
            </w:r>
          </w:p>
        </w:tc>
        <w:tc>
          <w:tcPr>
            <w:tcW w:type="dxa" w:w="3389"/>
            <w:vAlign w:val="center"/>
          </w:tcPr>
          <w:p>
            <w:r/>
            <w:r>
              <w:rPr>
                <w:rFonts w:ascii="Aptos" w:hAnsi="Aptos"/>
                <w:b w:val="0"/>
                <w:color w:val="17233C"/>
                <w:sz w:val="17"/>
              </w:rPr>
              <w:t>Validated web forms → typed JSON/API payloads</w:t>
            </w:r>
          </w:p>
        </w:tc>
      </w:tr>
      <w:tr>
        <w:tc>
          <w:tcPr>
            <w:tcW w:type="dxa" w:w="3389"/>
            <w:shd w:fill="F4F7F8"/>
            <w:vAlign w:val="center"/>
          </w:tcPr>
          <w:p>
            <w:r/>
            <w:r>
              <w:rPr>
                <w:rFonts w:ascii="Aptos" w:hAnsi="Aptos"/>
                <w:b w:val="0"/>
                <w:color w:val="17233C"/>
                <w:sz w:val="17"/>
              </w:rPr>
              <w:t>Files/evidence</w:t>
            </w:r>
          </w:p>
        </w:tc>
        <w:tc>
          <w:tcPr>
            <w:tcW w:type="dxa" w:w="3389"/>
            <w:shd w:fill="F4F7F8"/>
            <w:vAlign w:val="center"/>
          </w:tcPr>
          <w:p>
            <w:r/>
            <w:r>
              <w:rPr>
                <w:rFonts w:ascii="Aptos" w:hAnsi="Aptos"/>
                <w:b w:val="0"/>
                <w:color w:val="17233C"/>
                <w:sz w:val="17"/>
              </w:rPr>
              <w:t>Contracts, policies, reports, certificates and supporting evidence</w:t>
            </w:r>
          </w:p>
        </w:tc>
        <w:tc>
          <w:tcPr>
            <w:tcW w:type="dxa" w:w="3389"/>
            <w:shd w:fill="F4F7F8"/>
            <w:vAlign w:val="center"/>
          </w:tcPr>
          <w:p>
            <w:r/>
            <w:r>
              <w:rPr>
                <w:rFonts w:ascii="Aptos" w:hAnsi="Aptos"/>
                <w:b w:val="0"/>
                <w:color w:val="17233C"/>
                <w:sz w:val="17"/>
              </w:rPr>
              <w:t>PDF, DOCX, XLSX, CSV, PNG/JPG/WebP; originals in object storage plus metadata</w:t>
            </w:r>
          </w:p>
        </w:tc>
      </w:tr>
      <w:tr>
        <w:tc>
          <w:tcPr>
            <w:tcW w:type="dxa" w:w="3389"/>
            <w:vAlign w:val="center"/>
          </w:tcPr>
          <w:p>
            <w:r/>
            <w:r>
              <w:rPr>
                <w:rFonts w:ascii="Aptos" w:hAnsi="Aptos"/>
                <w:b w:val="0"/>
                <w:color w:val="17233C"/>
                <w:sz w:val="17"/>
              </w:rPr>
              <w:t>Bulk import/export</w:t>
            </w:r>
          </w:p>
        </w:tc>
        <w:tc>
          <w:tcPr>
            <w:tcW w:type="dxa" w:w="3389"/>
            <w:vAlign w:val="center"/>
          </w:tcPr>
          <w:p>
            <w:r/>
            <w:r>
              <w:rPr>
                <w:rFonts w:ascii="Aptos" w:hAnsi="Aptos"/>
                <w:b w:val="0"/>
                <w:color w:val="17233C"/>
                <w:sz w:val="17"/>
              </w:rPr>
              <w:t>Registers, contacts, obligations and backups</w:t>
            </w:r>
          </w:p>
        </w:tc>
        <w:tc>
          <w:tcPr>
            <w:tcW w:type="dxa" w:w="3389"/>
            <w:vAlign w:val="center"/>
          </w:tcPr>
          <w:p>
            <w:r/>
            <w:r>
              <w:rPr>
                <w:rFonts w:ascii="Aptos" w:hAnsi="Aptos"/>
                <w:b w:val="0"/>
                <w:color w:val="17233C"/>
                <w:sz w:val="17"/>
              </w:rPr>
              <w:t>CSV/XLSX for user import; versioned JSON for full backup/export</w:t>
            </w:r>
          </w:p>
        </w:tc>
      </w:tr>
      <w:tr>
        <w:tc>
          <w:tcPr>
            <w:tcW w:type="dxa" w:w="3389"/>
            <w:shd w:fill="F4F7F8"/>
            <w:vAlign w:val="center"/>
          </w:tcPr>
          <w:p>
            <w:r/>
            <w:r>
              <w:rPr>
                <w:rFonts w:ascii="Aptos" w:hAnsi="Aptos"/>
                <w:b w:val="0"/>
                <w:color w:val="17233C"/>
                <w:sz w:val="17"/>
              </w:rPr>
              <w:t>Companies House</w:t>
            </w:r>
          </w:p>
        </w:tc>
        <w:tc>
          <w:tcPr>
            <w:tcW w:type="dxa" w:w="3389"/>
            <w:shd w:fill="F4F7F8"/>
            <w:vAlign w:val="center"/>
          </w:tcPr>
          <w:p>
            <w:r/>
            <w:r>
              <w:rPr>
                <w:rFonts w:ascii="Aptos" w:hAnsi="Aptos"/>
                <w:b w:val="0"/>
                <w:color w:val="17233C"/>
                <w:sz w:val="17"/>
              </w:rPr>
              <w:t>Company profile, officers, filing history and status</w:t>
            </w:r>
          </w:p>
        </w:tc>
        <w:tc>
          <w:tcPr>
            <w:tcW w:type="dxa" w:w="3389"/>
            <w:shd w:fill="F4F7F8"/>
            <w:vAlign w:val="center"/>
          </w:tcPr>
          <w:p>
            <w:r/>
            <w:r>
              <w:rPr>
                <w:rFonts w:ascii="Aptos" w:hAnsi="Aptos"/>
                <w:b w:val="0"/>
                <w:color w:val="17233C"/>
                <w:sz w:val="17"/>
              </w:rPr>
              <w:t>HTTPS JSON API; store source, fetched_at and raw reference ID</w:t>
            </w:r>
          </w:p>
        </w:tc>
      </w:tr>
      <w:tr>
        <w:tc>
          <w:tcPr>
            <w:tcW w:type="dxa" w:w="3389"/>
            <w:vAlign w:val="center"/>
          </w:tcPr>
          <w:p>
            <w:r/>
            <w:r>
              <w:rPr>
                <w:rFonts w:ascii="Aptos" w:hAnsi="Aptos"/>
                <w:b w:val="0"/>
                <w:color w:val="17233C"/>
                <w:sz w:val="17"/>
              </w:rPr>
              <w:t>HMRC later</w:t>
            </w:r>
          </w:p>
        </w:tc>
        <w:tc>
          <w:tcPr>
            <w:tcW w:type="dxa" w:w="3389"/>
            <w:vAlign w:val="center"/>
          </w:tcPr>
          <w:p>
            <w:r/>
            <w:r>
              <w:rPr>
                <w:rFonts w:ascii="Aptos" w:hAnsi="Aptos"/>
                <w:b w:val="0"/>
                <w:color w:val="17233C"/>
                <w:sz w:val="17"/>
              </w:rPr>
              <w:t>Authorised tax-service data and submission states</w:t>
            </w:r>
          </w:p>
        </w:tc>
        <w:tc>
          <w:tcPr>
            <w:tcW w:type="dxa" w:w="3389"/>
            <w:vAlign w:val="center"/>
          </w:tcPr>
          <w:p>
            <w:r/>
            <w:r>
              <w:rPr>
                <w:rFonts w:ascii="Aptos" w:hAnsi="Aptos"/>
                <w:b w:val="0"/>
                <w:color w:val="17233C"/>
                <w:sz w:val="17"/>
              </w:rPr>
              <w:t>OAuth 2.0 APIs only; never ask for Government Gateway passwords</w:t>
            </w:r>
          </w:p>
        </w:tc>
      </w:tr>
      <w:tr>
        <w:tc>
          <w:tcPr>
            <w:tcW w:type="dxa" w:w="3389"/>
            <w:shd w:fill="F4F7F8"/>
            <w:vAlign w:val="center"/>
          </w:tcPr>
          <w:p>
            <w:r/>
            <w:r>
              <w:rPr>
                <w:rFonts w:ascii="Aptos" w:hAnsi="Aptos"/>
                <w:b w:val="0"/>
                <w:color w:val="17233C"/>
                <w:sz w:val="17"/>
              </w:rPr>
              <w:t>Internal events</w:t>
            </w:r>
          </w:p>
        </w:tc>
        <w:tc>
          <w:tcPr>
            <w:tcW w:type="dxa" w:w="3389"/>
            <w:shd w:fill="F4F7F8"/>
            <w:vAlign w:val="center"/>
          </w:tcPr>
          <w:p>
            <w:r/>
            <w:r>
              <w:rPr>
                <w:rFonts w:ascii="Aptos" w:hAnsi="Aptos"/>
                <w:b w:val="0"/>
                <w:color w:val="17233C"/>
                <w:sz w:val="17"/>
              </w:rPr>
              <w:t>Created, updated, completed, viewed, assigned and generated events</w:t>
            </w:r>
          </w:p>
        </w:tc>
        <w:tc>
          <w:tcPr>
            <w:tcW w:type="dxa" w:w="3389"/>
            <w:shd w:fill="F4F7F8"/>
            <w:vAlign w:val="center"/>
          </w:tcPr>
          <w:p>
            <w:r/>
            <w:r>
              <w:rPr>
                <w:rFonts w:ascii="Aptos" w:hAnsi="Aptos"/>
                <w:b w:val="0"/>
                <w:color w:val="17233C"/>
                <w:sz w:val="17"/>
              </w:rPr>
              <w:t>Append-only structured audit/event records</w:t>
            </w:r>
          </w:p>
        </w:tc>
      </w:tr>
      <w:tr>
        <w:tc>
          <w:tcPr>
            <w:tcW w:type="dxa" w:w="3389"/>
            <w:vAlign w:val="center"/>
          </w:tcPr>
          <w:p>
            <w:r/>
            <w:r>
              <w:rPr>
                <w:rFonts w:ascii="Aptos" w:hAnsi="Aptos"/>
                <w:b w:val="0"/>
                <w:color w:val="17233C"/>
                <w:sz w:val="17"/>
              </w:rPr>
              <w:t>Academy</w:t>
            </w:r>
          </w:p>
        </w:tc>
        <w:tc>
          <w:tcPr>
            <w:tcW w:type="dxa" w:w="3389"/>
            <w:vAlign w:val="center"/>
          </w:tcPr>
          <w:p>
            <w:r/>
            <w:r>
              <w:rPr>
                <w:rFonts w:ascii="Aptos" w:hAnsi="Aptos"/>
                <w:b w:val="0"/>
                <w:color w:val="17233C"/>
                <w:sz w:val="17"/>
              </w:rPr>
              <w:t>Lessons, attempts, answers, scores, certificates and assignments</w:t>
            </w:r>
          </w:p>
        </w:tc>
        <w:tc>
          <w:tcPr>
            <w:tcW w:type="dxa" w:w="3389"/>
            <w:vAlign w:val="center"/>
          </w:tcPr>
          <w:p>
            <w:r/>
            <w:r>
              <w:rPr>
                <w:rFonts w:ascii="Aptos" w:hAnsi="Aptos"/>
                <w:b w:val="0"/>
                <w:color w:val="17233C"/>
                <w:sz w:val="17"/>
              </w:rPr>
              <w:t>Relational records with versioned course/quiz content</w:t>
            </w:r>
          </w:p>
        </w:tc>
      </w:tr>
      <w:tr>
        <w:tc>
          <w:tcPr>
            <w:tcW w:type="dxa" w:w="3389"/>
            <w:shd w:fill="F4F7F8"/>
            <w:vAlign w:val="center"/>
          </w:tcPr>
          <w:p>
            <w:r/>
            <w:r>
              <w:rPr>
                <w:rFonts w:ascii="Aptos" w:hAnsi="Aptos"/>
                <w:b w:val="0"/>
                <w:color w:val="17233C"/>
                <w:sz w:val="17"/>
              </w:rPr>
              <w:t>Jova</w:t>
            </w:r>
          </w:p>
        </w:tc>
        <w:tc>
          <w:tcPr>
            <w:tcW w:type="dxa" w:w="3389"/>
            <w:shd w:fill="F4F7F8"/>
            <w:vAlign w:val="center"/>
          </w:tcPr>
          <w:p>
            <w:r/>
            <w:r>
              <w:rPr>
                <w:rFonts w:ascii="Aptos" w:hAnsi="Aptos"/>
                <w:b w:val="0"/>
                <w:color w:val="17233C"/>
                <w:sz w:val="17"/>
              </w:rPr>
              <w:t>Conversation messages, referenced records, response metadata and sources</w:t>
            </w:r>
          </w:p>
        </w:tc>
        <w:tc>
          <w:tcPr>
            <w:tcW w:type="dxa" w:w="3389"/>
            <w:shd w:fill="F4F7F8"/>
            <w:vAlign w:val="center"/>
          </w:tcPr>
          <w:p>
            <w:r/>
            <w:r>
              <w:rPr>
                <w:rFonts w:ascii="Aptos" w:hAnsi="Aptos"/>
                <w:b w:val="0"/>
                <w:color w:val="17233C"/>
                <w:sz w:val="17"/>
              </w:rPr>
              <w:t>Structured messages with workspace, conversation, source IDs and safety metadata</w:t>
            </w:r>
          </w:p>
        </w:tc>
      </w:tr>
    </w:tbl>
    <w:p/>
    <w:p>
      <w:pPr>
        <w:pStyle w:val="Heading1"/>
      </w:pPr>
      <w:r>
        <w:t>6. Data conventions</w:t>
      </w:r>
    </w:p>
    <w:p>
      <w:pPr>
        <w:pStyle w:val="ListBullet"/>
        <w:spacing w:after="60"/>
      </w:pPr>
      <w:r>
        <w:rPr>
          <w:b/>
        </w:rPr>
        <w:t xml:space="preserve">Identifiers — </w:t>
      </w:r>
      <w:r>
        <w:t>UUID/ULID-style immutable IDs; never rely on names or array positions.</w:t>
      </w:r>
    </w:p>
    <w:p>
      <w:pPr>
        <w:pStyle w:val="ListBullet"/>
        <w:spacing w:after="60"/>
      </w:pPr>
      <w:r>
        <w:rPr>
          <w:b/>
        </w:rPr>
        <w:t xml:space="preserve">Dates — </w:t>
      </w:r>
      <w:r>
        <w:t>ISO 8601 timestamps in UTC in storage; render in the workspace time zone. Keep date-only statutory deadlines as date values.</w:t>
      </w:r>
    </w:p>
    <w:p>
      <w:pPr>
        <w:pStyle w:val="ListBullet"/>
        <w:spacing w:after="60"/>
      </w:pPr>
      <w:r>
        <w:rPr>
          <w:b/>
        </w:rPr>
        <w:t xml:space="preserve">Money — </w:t>
      </w:r>
      <w:r>
        <w:t>ISO currency code plus integer minor units (for example GBP 9900 = £99.00).</w:t>
      </w:r>
    </w:p>
    <w:p>
      <w:pPr>
        <w:pStyle w:val="ListBullet"/>
        <w:spacing w:after="60"/>
      </w:pPr>
      <w:r>
        <w:rPr>
          <w:b/>
        </w:rPr>
        <w:t xml:space="preserve">Statuses — </w:t>
      </w:r>
      <w:r>
        <w:t>Controlled enums with explicit transition rules; avoid free-text status values.</w:t>
      </w:r>
    </w:p>
    <w:p>
      <w:pPr>
        <w:pStyle w:val="ListBullet"/>
        <w:spacing w:after="60"/>
      </w:pPr>
      <w:r>
        <w:rPr>
          <w:b/>
        </w:rPr>
        <w:t xml:space="preserve">Relationships — </w:t>
      </w:r>
      <w:r>
        <w:t>Foreign-key IDs plus workspace_id on all tenant-owned records.</w:t>
      </w:r>
    </w:p>
    <w:p>
      <w:pPr>
        <w:pStyle w:val="ListBullet"/>
        <w:spacing w:after="60"/>
      </w:pPr>
      <w:r>
        <w:rPr>
          <w:b/>
        </w:rPr>
        <w:t xml:space="preserve">Provenance — </w:t>
      </w:r>
      <w:r>
        <w:t>Record source, created_by, updated_by, created_at, updated_at, source_reference and confidence/verification where applicable.</w:t>
      </w:r>
    </w:p>
    <w:p>
      <w:pPr>
        <w:pStyle w:val="ListBullet"/>
        <w:spacing w:after="60"/>
      </w:pPr>
      <w:r>
        <w:rPr>
          <w:b/>
        </w:rPr>
        <w:t xml:space="preserve">Files — </w:t>
      </w:r>
      <w:r>
        <w:t>Store object key, original filename, MIME type, size, checksum, owner, access classification, upload time and retention/review date.</w:t>
      </w:r>
    </w:p>
    <w:p>
      <w:pPr>
        <w:pStyle w:val="ListBullet"/>
        <w:spacing w:after="60"/>
      </w:pPr>
      <w:r>
        <w:rPr>
          <w:b/>
        </w:rPr>
        <w:t xml:space="preserve">Deletion — </w:t>
      </w:r>
      <w:r>
        <w:t>Define soft-delete, legal hold, retention and irreversible deletion separately.</w:t>
      </w:r>
    </w:p>
    <w:p>
      <w:pPr>
        <w:pStyle w:val="Heading1"/>
      </w:pPr>
      <w:r>
        <w:t>7. Indicative core data model</w:t>
      </w:r>
    </w:p>
    <w:tbl>
      <w:tblPr>
        <w:tblStyle w:val="TableGrid"/>
        <w:tblW w:type="auto" w:w="0"/>
        <w:jc w:val="center"/>
        <w:tblLook w:firstColumn="1" w:firstRow="1" w:lastColumn="0" w:lastRow="0" w:noHBand="0" w:noVBand="1" w:val="04A0"/>
      </w:tblPr>
      <w:tblGrid>
        <w:gridCol w:w="5083"/>
        <w:gridCol w:w="5083"/>
      </w:tblGrid>
      <w:tr>
        <w:tc>
          <w:tcPr>
            <w:tcW w:type="dxa" w:w="5083"/>
            <w:shd w:fill="17233C"/>
            <w:vAlign w:val="center"/>
          </w:tcPr>
          <w:p>
            <w:r/>
            <w:r>
              <w:rPr>
                <w:rFonts w:ascii="Aptos" w:hAnsi="Aptos"/>
                <w:b/>
                <w:color w:val="FFFFFF"/>
                <w:sz w:val="17"/>
              </w:rPr>
              <w:t>Entity group</w:t>
            </w:r>
          </w:p>
        </w:tc>
        <w:tc>
          <w:tcPr>
            <w:tcW w:type="dxa" w:w="5083"/>
            <w:shd w:fill="17233C"/>
            <w:vAlign w:val="center"/>
          </w:tcPr>
          <w:p>
            <w:r/>
            <w:r>
              <w:rPr>
                <w:rFonts w:ascii="Aptos" w:hAnsi="Aptos"/>
                <w:b/>
                <w:color w:val="FFFFFF"/>
                <w:sz w:val="17"/>
              </w:rPr>
              <w:t>Core entities</w:t>
            </w:r>
          </w:p>
        </w:tc>
      </w:tr>
      <w:tr>
        <w:tc>
          <w:tcPr>
            <w:tcW w:type="dxa" w:w="5083"/>
            <w:vAlign w:val="center"/>
          </w:tcPr>
          <w:p>
            <w:r/>
            <w:r>
              <w:rPr>
                <w:rFonts w:ascii="Aptos" w:hAnsi="Aptos"/>
                <w:b w:val="0"/>
                <w:color w:val="17233C"/>
                <w:sz w:val="17"/>
              </w:rPr>
              <w:t>Identity</w:t>
            </w:r>
          </w:p>
        </w:tc>
        <w:tc>
          <w:tcPr>
            <w:tcW w:type="dxa" w:w="5083"/>
            <w:vAlign w:val="center"/>
          </w:tcPr>
          <w:p>
            <w:r/>
            <w:r>
              <w:rPr>
                <w:rFonts w:ascii="Aptos" w:hAnsi="Aptos"/>
                <w:b w:val="0"/>
                <w:color w:val="17233C"/>
                <w:sz w:val="17"/>
              </w:rPr>
              <w:t>users, organisations, workspaces, memberships, roles, permissions, invitations</w:t>
            </w:r>
          </w:p>
        </w:tc>
      </w:tr>
      <w:tr>
        <w:tc>
          <w:tcPr>
            <w:tcW w:type="dxa" w:w="5083"/>
            <w:shd w:fill="F4F7F8"/>
            <w:vAlign w:val="center"/>
          </w:tcPr>
          <w:p>
            <w:r/>
            <w:r>
              <w:rPr>
                <w:rFonts w:ascii="Aptos" w:hAnsi="Aptos"/>
                <w:b w:val="0"/>
                <w:color w:val="17233C"/>
                <w:sz w:val="17"/>
              </w:rPr>
              <w:t>Business</w:t>
            </w:r>
          </w:p>
        </w:tc>
        <w:tc>
          <w:tcPr>
            <w:tcW w:type="dxa" w:w="5083"/>
            <w:shd w:fill="F4F7F8"/>
            <w:vAlign w:val="center"/>
          </w:tcPr>
          <w:p>
            <w:r/>
            <w:r>
              <w:rPr>
                <w:rFonts w:ascii="Aptos" w:hAnsi="Aptos"/>
                <w:b w:val="0"/>
                <w:color w:val="17233C"/>
                <w:sz w:val="17"/>
              </w:rPr>
              <w:t>business_profiles, relationships, contracts, people, HR_actions</w:t>
            </w:r>
          </w:p>
        </w:tc>
      </w:tr>
      <w:tr>
        <w:tc>
          <w:tcPr>
            <w:tcW w:type="dxa" w:w="5083"/>
            <w:vAlign w:val="center"/>
          </w:tcPr>
          <w:p>
            <w:r/>
            <w:r>
              <w:rPr>
                <w:rFonts w:ascii="Aptos" w:hAnsi="Aptos"/>
                <w:b w:val="0"/>
                <w:color w:val="17233C"/>
                <w:sz w:val="17"/>
              </w:rPr>
              <w:t>Assurance</w:t>
            </w:r>
          </w:p>
        </w:tc>
        <w:tc>
          <w:tcPr>
            <w:tcW w:type="dxa" w:w="5083"/>
            <w:vAlign w:val="center"/>
          </w:tcPr>
          <w:p>
            <w:r/>
            <w:r>
              <w:rPr>
                <w:rFonts w:ascii="Aptos" w:hAnsi="Aptos"/>
                <w:b w:val="0"/>
                <w:color w:val="17233C"/>
                <w:sz w:val="17"/>
              </w:rPr>
              <w:t>obligations, evidence, processing_activities, incidents, governance_records, policies, risks, mitigations</w:t>
            </w:r>
          </w:p>
        </w:tc>
      </w:tr>
      <w:tr>
        <w:tc>
          <w:tcPr>
            <w:tcW w:type="dxa" w:w="5083"/>
            <w:shd w:fill="F4F7F8"/>
            <w:vAlign w:val="center"/>
          </w:tcPr>
          <w:p>
            <w:r/>
            <w:r>
              <w:rPr>
                <w:rFonts w:ascii="Aptos" w:hAnsi="Aptos"/>
                <w:b w:val="0"/>
                <w:color w:val="17233C"/>
                <w:sz w:val="17"/>
              </w:rPr>
              <w:t>Growth</w:t>
            </w:r>
          </w:p>
        </w:tc>
        <w:tc>
          <w:tcPr>
            <w:tcW w:type="dxa" w:w="5083"/>
            <w:shd w:fill="F4F7F8"/>
            <w:vAlign w:val="center"/>
          </w:tcPr>
          <w:p>
            <w:r/>
            <w:r>
              <w:rPr>
                <w:rFonts w:ascii="Aptos" w:hAnsi="Aptos"/>
                <w:b w:val="0"/>
                <w:color w:val="17233C"/>
                <w:sz w:val="17"/>
              </w:rPr>
              <w:t>investor_items, data_room_items, tender_opportunities, tender_requirements, bid_decisions</w:t>
            </w:r>
          </w:p>
        </w:tc>
      </w:tr>
      <w:tr>
        <w:tc>
          <w:tcPr>
            <w:tcW w:type="dxa" w:w="5083"/>
            <w:vAlign w:val="center"/>
          </w:tcPr>
          <w:p>
            <w:r/>
            <w:r>
              <w:rPr>
                <w:rFonts w:ascii="Aptos" w:hAnsi="Aptos"/>
                <w:b w:val="0"/>
                <w:color w:val="17233C"/>
                <w:sz w:val="17"/>
              </w:rPr>
              <w:t>Learning</w:t>
            </w:r>
          </w:p>
        </w:tc>
        <w:tc>
          <w:tcPr>
            <w:tcW w:type="dxa" w:w="5083"/>
            <w:vAlign w:val="center"/>
          </w:tcPr>
          <w:p>
            <w:r/>
            <w:r>
              <w:rPr>
                <w:rFonts w:ascii="Aptos" w:hAnsi="Aptos"/>
                <w:b w:val="0"/>
                <w:color w:val="17233C"/>
                <w:sz w:val="17"/>
              </w:rPr>
              <w:t>courses, course_versions, lessons, quiz_questions, assignments, attempts, certificates</w:t>
            </w:r>
          </w:p>
        </w:tc>
      </w:tr>
      <w:tr>
        <w:tc>
          <w:tcPr>
            <w:tcW w:type="dxa" w:w="5083"/>
            <w:shd w:fill="F4F7F8"/>
            <w:vAlign w:val="center"/>
          </w:tcPr>
          <w:p>
            <w:r/>
            <w:r>
              <w:rPr>
                <w:rFonts w:ascii="Aptos" w:hAnsi="Aptos"/>
                <w:b w:val="0"/>
                <w:color w:val="17233C"/>
                <w:sz w:val="17"/>
              </w:rPr>
              <w:t>Intelligence</w:t>
            </w:r>
          </w:p>
        </w:tc>
        <w:tc>
          <w:tcPr>
            <w:tcW w:type="dxa" w:w="5083"/>
            <w:shd w:fill="F4F7F8"/>
            <w:vAlign w:val="center"/>
          </w:tcPr>
          <w:p>
            <w:r/>
            <w:r>
              <w:rPr>
                <w:rFonts w:ascii="Aptos" w:hAnsi="Aptos"/>
                <w:b w:val="0"/>
                <w:color w:val="17233C"/>
                <w:sz w:val="17"/>
              </w:rPr>
              <w:t>activities, notifications, reports, report_snapshots, conversations, messages, jova_sources</w:t>
            </w:r>
          </w:p>
        </w:tc>
      </w:tr>
      <w:tr>
        <w:tc>
          <w:tcPr>
            <w:tcW w:type="dxa" w:w="5083"/>
            <w:vAlign w:val="center"/>
          </w:tcPr>
          <w:p>
            <w:r/>
            <w:r>
              <w:rPr>
                <w:rFonts w:ascii="Aptos" w:hAnsi="Aptos"/>
                <w:b w:val="0"/>
                <w:color w:val="17233C"/>
                <w:sz w:val="17"/>
              </w:rPr>
              <w:t>Commercial</w:t>
            </w:r>
          </w:p>
        </w:tc>
        <w:tc>
          <w:tcPr>
            <w:tcW w:type="dxa" w:w="5083"/>
            <w:vAlign w:val="center"/>
          </w:tcPr>
          <w:p>
            <w:r/>
            <w:r>
              <w:rPr>
                <w:rFonts w:ascii="Aptos" w:hAnsi="Aptos"/>
                <w:b w:val="0"/>
                <w:color w:val="17233C"/>
                <w:sz w:val="17"/>
              </w:rPr>
              <w:t>plans, subscriptions, entitlements, usage_counters, billing_events</w:t>
            </w:r>
          </w:p>
        </w:tc>
      </w:tr>
      <w:tr>
        <w:tc>
          <w:tcPr>
            <w:tcW w:type="dxa" w:w="5083"/>
            <w:shd w:fill="F4F7F8"/>
            <w:vAlign w:val="center"/>
          </w:tcPr>
          <w:p>
            <w:r/>
            <w:r>
              <w:rPr>
                <w:rFonts w:ascii="Aptos" w:hAnsi="Aptos"/>
                <w:b w:val="0"/>
                <w:color w:val="17233C"/>
                <w:sz w:val="17"/>
              </w:rPr>
              <w:t>Control</w:t>
            </w:r>
          </w:p>
        </w:tc>
        <w:tc>
          <w:tcPr>
            <w:tcW w:type="dxa" w:w="5083"/>
            <w:shd w:fill="F4F7F8"/>
            <w:vAlign w:val="center"/>
          </w:tcPr>
          <w:p>
            <w:r/>
            <w:r>
              <w:rPr>
                <w:rFonts w:ascii="Aptos" w:hAnsi="Aptos"/>
                <w:b w:val="0"/>
                <w:color w:val="17233C"/>
                <w:sz w:val="17"/>
              </w:rPr>
              <w:t>audit_events, export_jobs, deletion_requests, integration_connections, webhook_events</w:t>
            </w:r>
          </w:p>
        </w:tc>
      </w:tr>
    </w:tbl>
    <w:p/>
    <w:p>
      <w:pPr>
        <w:pStyle w:val="Heading1"/>
      </w:pPr>
      <w:r>
        <w:t>8. Personal and sensitive data</w:t>
      </w:r>
    </w:p>
    <w:p>
      <w:r>
        <w:t>Expected personal data includes names, business contact details, addresses, user accounts, employee/contractor records, right-to-work status metadata, course history, contracts, responsibilities and audit trails. Some uploaded evidence may contain identity or special-category information.</w:t>
      </w:r>
    </w:p>
    <w:p>
      <w:pPr>
        <w:pStyle w:val="ListBullet"/>
        <w:spacing w:after="60"/>
      </w:pPr>
      <w:r>
        <w:t>Collect the minimum needed for the defined purpose; avoid identity documents unless a validated workflow requires them.</w:t>
      </w:r>
    </w:p>
    <w:p>
      <w:pPr>
        <w:pStyle w:val="ListBullet"/>
        <w:spacing w:after="60"/>
      </w:pPr>
      <w:r>
        <w:t>Classify sensitive fields and documents and restrict them independently of general module access.</w:t>
      </w:r>
    </w:p>
    <w:p>
      <w:pPr>
        <w:pStyle w:val="ListBullet"/>
        <w:spacing w:after="60"/>
      </w:pPr>
      <w:r>
        <w:t>Encrypt in transit and at rest; use managed secrets and never place secrets in the browser bundle.</w:t>
      </w:r>
    </w:p>
    <w:p>
      <w:pPr>
        <w:pStyle w:val="ListBullet"/>
        <w:spacing w:after="60"/>
      </w:pPr>
      <w:r>
        <w:t>Provide retention rules, export, correction and deletion processes and auditable administrator actions.</w:t>
      </w:r>
    </w:p>
    <w:p>
      <w:pPr>
        <w:pStyle w:val="ListBullet"/>
        <w:spacing w:after="60"/>
      </w:pPr>
      <w:r>
        <w:t>Complete a data-protection impact assessment before introducing high-risk automated profiling or extensive employee monitoring.</w:t>
      </w:r>
    </w:p>
    <w:p>
      <w:pPr>
        <w:pStyle w:val="Heading1"/>
      </w:pPr>
      <w:r>
        <w:t>9. Integration approach</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33C"/>
            <w:vAlign w:val="center"/>
          </w:tcPr>
          <w:p>
            <w:r/>
            <w:r>
              <w:rPr>
                <w:rFonts w:ascii="Aptos" w:hAnsi="Aptos"/>
                <w:b/>
                <w:color w:val="FFFFFF"/>
                <w:sz w:val="17"/>
              </w:rPr>
              <w:t>Integration</w:t>
            </w:r>
          </w:p>
        </w:tc>
        <w:tc>
          <w:tcPr>
            <w:tcW w:type="dxa" w:w="3389"/>
            <w:shd w:fill="17233C"/>
            <w:vAlign w:val="center"/>
          </w:tcPr>
          <w:p>
            <w:r/>
            <w:r>
              <w:rPr>
                <w:rFonts w:ascii="Aptos" w:hAnsi="Aptos"/>
                <w:b/>
                <w:color w:val="FFFFFF"/>
                <w:sz w:val="17"/>
              </w:rPr>
              <w:t>Launch approach</w:t>
            </w:r>
          </w:p>
        </w:tc>
        <w:tc>
          <w:tcPr>
            <w:tcW w:type="dxa" w:w="3389"/>
            <w:shd w:fill="17233C"/>
            <w:vAlign w:val="center"/>
          </w:tcPr>
          <w:p>
            <w:r/>
            <w:r>
              <w:rPr>
                <w:rFonts w:ascii="Aptos" w:hAnsi="Aptos"/>
                <w:b/>
                <w:color w:val="FFFFFF"/>
                <w:sz w:val="17"/>
              </w:rPr>
              <w:t>Permission/constraint</w:t>
            </w:r>
          </w:p>
        </w:tc>
      </w:tr>
      <w:tr>
        <w:tc>
          <w:tcPr>
            <w:tcW w:type="dxa" w:w="3389"/>
            <w:vAlign w:val="center"/>
          </w:tcPr>
          <w:p>
            <w:r/>
            <w:r>
              <w:rPr>
                <w:rFonts w:ascii="Aptos" w:hAnsi="Aptos"/>
                <w:b w:val="0"/>
                <w:color w:val="17233C"/>
                <w:sz w:val="17"/>
              </w:rPr>
              <w:t>Companies House</w:t>
            </w:r>
          </w:p>
        </w:tc>
        <w:tc>
          <w:tcPr>
            <w:tcW w:type="dxa" w:w="3389"/>
            <w:vAlign w:val="center"/>
          </w:tcPr>
          <w:p>
            <w:r/>
            <w:r>
              <w:rPr>
                <w:rFonts w:ascii="Aptos" w:hAnsi="Aptos"/>
                <w:b w:val="0"/>
                <w:color w:val="17233C"/>
                <w:sz w:val="17"/>
              </w:rPr>
              <w:t>Read-only lookup for profile/officers/filing history, cached with refresh controls</w:t>
            </w:r>
          </w:p>
        </w:tc>
        <w:tc>
          <w:tcPr>
            <w:tcW w:type="dxa" w:w="3389"/>
            <w:vAlign w:val="center"/>
          </w:tcPr>
          <w:p>
            <w:r/>
            <w:r>
              <w:rPr>
                <w:rFonts w:ascii="Aptos" w:hAnsi="Aptos"/>
                <w:b w:val="0"/>
                <w:color w:val="17233C"/>
                <w:sz w:val="17"/>
              </w:rPr>
              <w:t>Register an application/API key and comply with Companies House API terms and rate limits.</w:t>
            </w:r>
          </w:p>
        </w:tc>
      </w:tr>
      <w:tr>
        <w:tc>
          <w:tcPr>
            <w:tcW w:type="dxa" w:w="3389"/>
            <w:shd w:fill="F4F7F8"/>
            <w:vAlign w:val="center"/>
          </w:tcPr>
          <w:p>
            <w:r/>
            <w:r>
              <w:rPr>
                <w:rFonts w:ascii="Aptos" w:hAnsi="Aptos"/>
                <w:b w:val="0"/>
                <w:color w:val="17233C"/>
                <w:sz w:val="17"/>
              </w:rPr>
              <w:t>Official filing links</w:t>
            </w:r>
          </w:p>
        </w:tc>
        <w:tc>
          <w:tcPr>
            <w:tcW w:type="dxa" w:w="3389"/>
            <w:shd w:fill="F4F7F8"/>
            <w:vAlign w:val="center"/>
          </w:tcPr>
          <w:p>
            <w:r/>
            <w:r>
              <w:rPr>
                <w:rFonts w:ascii="Aptos" w:hAnsi="Aptos"/>
                <w:b w:val="0"/>
                <w:color w:val="17233C"/>
                <w:sz w:val="17"/>
              </w:rPr>
              <w:t>Deep-link users to GOV.UK/Companies House/HMRC; user records completion and evidence in Jojan One</w:t>
            </w:r>
          </w:p>
        </w:tc>
        <w:tc>
          <w:tcPr>
            <w:tcW w:type="dxa" w:w="3389"/>
            <w:shd w:fill="F4F7F8"/>
            <w:vAlign w:val="center"/>
          </w:tcPr>
          <w:p>
            <w:r/>
            <w:r>
              <w:rPr>
                <w:rFonts w:ascii="Aptos" w:hAnsi="Aptos"/>
                <w:b w:val="0"/>
                <w:color w:val="17233C"/>
                <w:sz w:val="17"/>
              </w:rPr>
              <w:t>No filing claim; display clear hand-off and confirmation wording.</w:t>
            </w:r>
          </w:p>
        </w:tc>
      </w:tr>
      <w:tr>
        <w:tc>
          <w:tcPr>
            <w:tcW w:type="dxa" w:w="3389"/>
            <w:vAlign w:val="center"/>
          </w:tcPr>
          <w:p>
            <w:r/>
            <w:r>
              <w:rPr>
                <w:rFonts w:ascii="Aptos" w:hAnsi="Aptos"/>
                <w:b w:val="0"/>
                <w:color w:val="17233C"/>
                <w:sz w:val="17"/>
              </w:rPr>
              <w:t>HMRC</w:t>
            </w:r>
          </w:p>
        </w:tc>
        <w:tc>
          <w:tcPr>
            <w:tcW w:type="dxa" w:w="3389"/>
            <w:vAlign w:val="center"/>
          </w:tcPr>
          <w:p>
            <w:r/>
            <w:r>
              <w:rPr>
                <w:rFonts w:ascii="Aptos" w:hAnsi="Aptos"/>
                <w:b w:val="0"/>
                <w:color w:val="17233C"/>
                <w:sz w:val="17"/>
              </w:rPr>
              <w:t>Defer direct submission. If later added, implement only supported OAuth scopes and production application approval</w:t>
            </w:r>
          </w:p>
        </w:tc>
        <w:tc>
          <w:tcPr>
            <w:tcW w:type="dxa" w:w="3389"/>
            <w:vAlign w:val="center"/>
          </w:tcPr>
          <w:p>
            <w:r/>
            <w:r>
              <w:rPr>
                <w:rFonts w:ascii="Aptos" w:hAnsi="Aptos"/>
                <w:b w:val="0"/>
                <w:color w:val="17233C"/>
                <w:sz w:val="17"/>
              </w:rPr>
              <w:t>HMRC developer registration, application credentials, user consent and service-specific production approval.</w:t>
            </w:r>
          </w:p>
        </w:tc>
      </w:tr>
      <w:tr>
        <w:tc>
          <w:tcPr>
            <w:tcW w:type="dxa" w:w="3389"/>
            <w:shd w:fill="F4F7F8"/>
            <w:vAlign w:val="center"/>
          </w:tcPr>
          <w:p>
            <w:r/>
            <w:r>
              <w:rPr>
                <w:rFonts w:ascii="Aptos" w:hAnsi="Aptos"/>
                <w:b w:val="0"/>
                <w:color w:val="17233C"/>
                <w:sz w:val="17"/>
              </w:rPr>
              <w:t>Payments</w:t>
            </w:r>
          </w:p>
        </w:tc>
        <w:tc>
          <w:tcPr>
            <w:tcW w:type="dxa" w:w="3389"/>
            <w:shd w:fill="F4F7F8"/>
            <w:vAlign w:val="center"/>
          </w:tcPr>
          <w:p>
            <w:r/>
            <w:r>
              <w:rPr>
                <w:rFonts w:ascii="Aptos" w:hAnsi="Aptos"/>
                <w:b w:val="0"/>
                <w:color w:val="17233C"/>
                <w:sz w:val="17"/>
              </w:rPr>
              <w:t>Hosted Stripe Checkout/Customer Portal or equivalent</w:t>
            </w:r>
          </w:p>
        </w:tc>
        <w:tc>
          <w:tcPr>
            <w:tcW w:type="dxa" w:w="3389"/>
            <w:shd w:fill="F4F7F8"/>
            <w:vAlign w:val="center"/>
          </w:tcPr>
          <w:p>
            <w:r/>
            <w:r>
              <w:rPr>
                <w:rFonts w:ascii="Aptos" w:hAnsi="Aptos"/>
                <w:b w:val="0"/>
                <w:color w:val="17233C"/>
                <w:sz w:val="17"/>
              </w:rPr>
              <w:t>Verified webhooks, PCI-scoped hosted collection, tax/invoice handling and no raw card storage.</w:t>
            </w:r>
          </w:p>
        </w:tc>
      </w:tr>
      <w:tr>
        <w:tc>
          <w:tcPr>
            <w:tcW w:type="dxa" w:w="3389"/>
            <w:vAlign w:val="center"/>
          </w:tcPr>
          <w:p>
            <w:r/>
            <w:r>
              <w:rPr>
                <w:rFonts w:ascii="Aptos" w:hAnsi="Aptos"/>
                <w:b w:val="0"/>
                <w:color w:val="17233C"/>
                <w:sz w:val="17"/>
              </w:rPr>
              <w:t>Email</w:t>
            </w:r>
          </w:p>
        </w:tc>
        <w:tc>
          <w:tcPr>
            <w:tcW w:type="dxa" w:w="3389"/>
            <w:vAlign w:val="center"/>
          </w:tcPr>
          <w:p>
            <w:r/>
            <w:r>
              <w:rPr>
                <w:rFonts w:ascii="Aptos" w:hAnsi="Aptos"/>
                <w:b w:val="0"/>
                <w:color w:val="17233C"/>
                <w:sz w:val="17"/>
              </w:rPr>
              <w:t>Transactional service for verification, invites and reminders</w:t>
            </w:r>
          </w:p>
        </w:tc>
        <w:tc>
          <w:tcPr>
            <w:tcW w:type="dxa" w:w="3389"/>
            <w:vAlign w:val="center"/>
          </w:tcPr>
          <w:p>
            <w:r/>
            <w:r>
              <w:rPr>
                <w:rFonts w:ascii="Aptos" w:hAnsi="Aptos"/>
                <w:b w:val="0"/>
                <w:color w:val="17233C"/>
                <w:sz w:val="17"/>
              </w:rPr>
              <w:t>Domain authentication, consent/legitimate-interest assessment, suppression and delivery logs.</w:t>
            </w:r>
          </w:p>
        </w:tc>
      </w:tr>
      <w:tr>
        <w:tc>
          <w:tcPr>
            <w:tcW w:type="dxa" w:w="3389"/>
            <w:shd w:fill="F4F7F8"/>
            <w:vAlign w:val="center"/>
          </w:tcPr>
          <w:p>
            <w:r/>
            <w:r>
              <w:rPr>
                <w:rFonts w:ascii="Aptos" w:hAnsi="Aptos"/>
                <w:b w:val="0"/>
                <w:color w:val="17233C"/>
                <w:sz w:val="17"/>
              </w:rPr>
              <w:t>AI provider</w:t>
            </w:r>
          </w:p>
        </w:tc>
        <w:tc>
          <w:tcPr>
            <w:tcW w:type="dxa" w:w="3389"/>
            <w:shd w:fill="F4F7F8"/>
            <w:vAlign w:val="center"/>
          </w:tcPr>
          <w:p>
            <w:r/>
            <w:r>
              <w:rPr>
                <w:rFonts w:ascii="Aptos" w:hAnsi="Aptos"/>
                <w:b w:val="0"/>
                <w:color w:val="17233C"/>
                <w:sz w:val="17"/>
              </w:rPr>
              <w:t>Controlled retrieval of authorised workspace data; deterministic fallback</w:t>
            </w:r>
          </w:p>
        </w:tc>
        <w:tc>
          <w:tcPr>
            <w:tcW w:type="dxa" w:w="3389"/>
            <w:shd w:fill="F4F7F8"/>
            <w:vAlign w:val="center"/>
          </w:tcPr>
          <w:p>
            <w:r/>
            <w:r>
              <w:rPr>
                <w:rFonts w:ascii="Aptos" w:hAnsi="Aptos"/>
                <w:b w:val="0"/>
                <w:color w:val="17233C"/>
                <w:sz w:val="17"/>
              </w:rPr>
              <w:t>Data-processing terms, regional/privacy configuration, redaction, evaluation and no training on customer data unless explicitly agreed.</w:t>
            </w:r>
          </w:p>
        </w:tc>
      </w:tr>
    </w:tbl>
    <w:p/>
    <w:p>
      <w:pPr>
        <w:pStyle w:val="Heading1"/>
      </w:pPr>
      <w:r>
        <w:t>10. Jova requirements</w:t>
      </w:r>
    </w:p>
    <w:tbl>
      <w:tblPr>
        <w:tblW w:type="auto" w:w="0"/>
        <w:jc w:val="center"/>
        <w:tblLook w:firstColumn="1" w:firstRow="1" w:lastColumn="0" w:lastRow="0" w:noHBand="0" w:noVBand="1" w:val="04A0"/>
      </w:tblPr>
      <w:tblGrid>
        <w:gridCol w:w="10166"/>
      </w:tblGrid>
      <w:tr>
        <w:tc>
          <w:tcPr>
            <w:tcW w:type="dxa" w:w="10166"/>
            <w:shd w:fill="EAF6F2"/>
          </w:tcPr>
          <w:p>
            <w:pPr>
              <w:spacing w:after="40"/>
            </w:pPr>
            <w:r>
              <w:rPr>
                <w:rFonts w:ascii="Aptos" w:hAnsi="Aptos"/>
                <w:sz w:val="18"/>
              </w:rPr>
            </w:r>
            <w:r>
              <w:rPr>
                <w:rFonts w:ascii="Aptos" w:hAnsi="Aptos"/>
                <w:b/>
                <w:color w:val="17233C"/>
                <w:sz w:val="18"/>
              </w:rPr>
              <w:t xml:space="preserve">Mandatory wording  </w:t>
            </w:r>
            <w:r>
              <w:rPr>
                <w:rFonts w:ascii="Aptos" w:hAnsi="Aptos"/>
                <w:sz w:val="18"/>
              </w:rPr>
              <w:t>“Jova provides business information and guidance, not legal advice. Where professional judgement is required, Jova will recommend expert support.”</w:t>
            </w:r>
          </w:p>
        </w:tc>
      </w:tr>
    </w:tbl>
    <w:p/>
    <w:p>
      <w:pPr>
        <w:pStyle w:val="ListBullet"/>
        <w:spacing w:after="60"/>
      </w:pPr>
      <w:r>
        <w:t>Resolve the user's intended module or ask a clarifying question when phrases such as ‘Are we ready?’ are ambiguous.</w:t>
      </w:r>
    </w:p>
    <w:p>
      <w:pPr>
        <w:pStyle w:val="ListBullet"/>
        <w:spacing w:after="60"/>
      </w:pPr>
      <w:r>
        <w:t>Answer only from authorised workspace data and approved general content; identify the source module/record.</w:t>
      </w:r>
    </w:p>
    <w:p>
      <w:pPr>
        <w:pStyle w:val="ListBullet"/>
        <w:spacing w:after="60"/>
      </w:pPr>
      <w:r>
        <w:t>State limitations and uncertainty; never invent filings, deadlines, external status or professional conclusions.</w:t>
      </w:r>
    </w:p>
    <w:p>
      <w:pPr>
        <w:pStyle w:val="ListBullet"/>
        <w:spacing w:after="60"/>
      </w:pPr>
      <w:r>
        <w:t>Escalate legal, tax, HR, data-protection, health-and-safety, cyber-security and regulated matters to an appropriate professional when judgement is required.</w:t>
      </w:r>
    </w:p>
    <w:p>
      <w:pPr>
        <w:pStyle w:val="ListBullet"/>
        <w:spacing w:after="60"/>
      </w:pPr>
      <w:r>
        <w:t>Do not expose hidden quiz answers before submission or treat Academy completion as accreditation or proof of compliance.</w:t>
      </w:r>
    </w:p>
    <w:p>
      <w:pPr>
        <w:pStyle w:val="ListBullet"/>
        <w:spacing w:after="60"/>
      </w:pPr>
      <w:r>
        <w:t>Log prompts, responses, source references, model/rules version, safety decision and user feedback with suitable retention controls.</w:t>
      </w:r>
    </w:p>
    <w:p>
      <w:pPr>
        <w:pStyle w:val="ListBullet"/>
        <w:spacing w:after="60"/>
      </w:pPr>
      <w:r>
        <w:t>Create evaluation suites for routing, factual grounding, access isolation, refusal/escalation and prompt-injection resistance before production AI is enabled.</w:t>
      </w:r>
    </w:p>
    <w:p>
      <w:pPr>
        <w:pStyle w:val="Heading1"/>
      </w:pPr>
      <w:r>
        <w:t>11. Subscription strategy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33C"/>
            <w:vAlign w:val="center"/>
          </w:tcPr>
          <w:p>
            <w:r/>
            <w:r>
              <w:rPr>
                <w:rFonts w:ascii="Aptos" w:hAnsi="Aptos"/>
                <w:b/>
                <w:color w:val="FFFFFF"/>
                <w:sz w:val="17"/>
              </w:rPr>
              <w:t>Plan</w:t>
            </w:r>
          </w:p>
        </w:tc>
        <w:tc>
          <w:tcPr>
            <w:tcW w:type="dxa" w:w="3389"/>
            <w:shd w:fill="17233C"/>
            <w:vAlign w:val="center"/>
          </w:tcPr>
          <w:p>
            <w:r/>
            <w:r>
              <w:rPr>
                <w:rFonts w:ascii="Aptos" w:hAnsi="Aptos"/>
                <w:b/>
                <w:color w:val="FFFFFF"/>
                <w:sz w:val="17"/>
              </w:rPr>
              <w:t>Position</w:t>
            </w:r>
          </w:p>
        </w:tc>
        <w:tc>
          <w:tcPr>
            <w:tcW w:type="dxa" w:w="3389"/>
            <w:shd w:fill="17233C"/>
            <w:vAlign w:val="center"/>
          </w:tcPr>
          <w:p>
            <w:r/>
            <w:r>
              <w:rPr>
                <w:rFonts w:ascii="Aptos" w:hAnsi="Aptos"/>
                <w:b/>
                <w:color w:val="FFFFFF"/>
                <w:sz w:val="17"/>
              </w:rPr>
              <w:t>Launch treatment</w:t>
            </w:r>
          </w:p>
        </w:tc>
      </w:tr>
      <w:tr>
        <w:tc>
          <w:tcPr>
            <w:tcW w:type="dxa" w:w="3389"/>
            <w:vAlign w:val="center"/>
          </w:tcPr>
          <w:p>
            <w:r/>
            <w:r>
              <w:rPr>
                <w:rFonts w:ascii="Aptos" w:hAnsi="Aptos"/>
                <w:b w:val="0"/>
                <w:color w:val="17233C"/>
                <w:sz w:val="17"/>
              </w:rPr>
              <w:t>Starter — £39/month</w:t>
            </w:r>
          </w:p>
        </w:tc>
        <w:tc>
          <w:tcPr>
            <w:tcW w:type="dxa" w:w="3389"/>
            <w:vAlign w:val="center"/>
          </w:tcPr>
          <w:p>
            <w:r/>
            <w:r>
              <w:rPr>
                <w:rFonts w:ascii="Aptos" w:hAnsi="Aptos"/>
                <w:b w:val="0"/>
                <w:color w:val="17233C"/>
                <w:sz w:val="17"/>
              </w:rPr>
              <w:t>Entry tier for sole traders and very small businesses; 1 user</w:t>
            </w:r>
          </w:p>
        </w:tc>
        <w:tc>
          <w:tcPr>
            <w:tcW w:type="dxa" w:w="3389"/>
            <w:vAlign w:val="center"/>
          </w:tcPr>
          <w:p>
            <w:r/>
            <w:r>
              <w:rPr>
                <w:rFonts w:ascii="Aptos" w:hAnsi="Aptos"/>
                <w:b w:val="0"/>
                <w:color w:val="17233C"/>
                <w:sz w:val="17"/>
              </w:rPr>
              <w:t>Sell at launch. Core dashboard, executive, timeline, reports, Jova guidance, core compliance, basic Academy and export.</w:t>
            </w:r>
          </w:p>
        </w:tc>
      </w:tr>
      <w:tr>
        <w:tc>
          <w:tcPr>
            <w:tcW w:type="dxa" w:w="3389"/>
            <w:shd w:fill="F4F7F8"/>
            <w:vAlign w:val="center"/>
          </w:tcPr>
          <w:p>
            <w:r/>
            <w:r>
              <w:rPr>
                <w:rFonts w:ascii="Aptos" w:hAnsi="Aptos"/>
                <w:b w:val="0"/>
                <w:color w:val="17233C"/>
                <w:sz w:val="17"/>
              </w:rPr>
              <w:t>Growth — £99/month</w:t>
            </w:r>
          </w:p>
        </w:tc>
        <w:tc>
          <w:tcPr>
            <w:tcW w:type="dxa" w:w="3389"/>
            <w:shd w:fill="F4F7F8"/>
            <w:vAlign w:val="center"/>
          </w:tcPr>
          <w:p>
            <w:r/>
            <w:r>
              <w:rPr>
                <w:rFonts w:ascii="Aptos" w:hAnsi="Aptos"/>
                <w:b w:val="0"/>
                <w:color w:val="17233C"/>
                <w:sz w:val="17"/>
              </w:rPr>
              <w:t>Primary offer for growing small businesses; up to 5 users</w:t>
            </w:r>
          </w:p>
        </w:tc>
        <w:tc>
          <w:tcPr>
            <w:tcW w:type="dxa" w:w="3389"/>
            <w:shd w:fill="F4F7F8"/>
            <w:vAlign w:val="center"/>
          </w:tcPr>
          <w:p>
            <w:r/>
            <w:r>
              <w:rPr>
                <w:rFonts w:ascii="Aptos" w:hAnsi="Aptos"/>
                <w:b w:val="0"/>
                <w:color w:val="17233C"/>
                <w:sz w:val="17"/>
              </w:rPr>
              <w:t>Sell at launch and feature as recommended. Includes operational, governance, risk, growth, full Academy and branded outputs.</w:t>
            </w:r>
          </w:p>
        </w:tc>
      </w:tr>
      <w:tr>
        <w:tc>
          <w:tcPr>
            <w:tcW w:type="dxa" w:w="3389"/>
            <w:vAlign w:val="center"/>
          </w:tcPr>
          <w:p>
            <w:r/>
            <w:r>
              <w:rPr>
                <w:rFonts w:ascii="Aptos" w:hAnsi="Aptos"/>
                <w:b w:val="0"/>
                <w:color w:val="17233C"/>
                <w:sz w:val="17"/>
              </w:rPr>
              <w:t>Professional — £249/month</w:t>
            </w:r>
          </w:p>
        </w:tc>
        <w:tc>
          <w:tcPr>
            <w:tcW w:type="dxa" w:w="3389"/>
            <w:vAlign w:val="center"/>
          </w:tcPr>
          <w:p>
            <w:r/>
            <w:r>
              <w:rPr>
                <w:rFonts w:ascii="Aptos" w:hAnsi="Aptos"/>
                <w:b w:val="0"/>
                <w:color w:val="17233C"/>
                <w:sz w:val="17"/>
              </w:rPr>
              <w:t>Established businesses/advisory teams; up to 20 users</w:t>
            </w:r>
          </w:p>
        </w:tc>
        <w:tc>
          <w:tcPr>
            <w:tcW w:type="dxa" w:w="3389"/>
            <w:vAlign w:val="center"/>
          </w:tcPr>
          <w:p>
            <w:r/>
            <w:r>
              <w:rPr>
                <w:rFonts w:ascii="Aptos" w:hAnsi="Aptos"/>
                <w:b w:val="0"/>
                <w:color w:val="17233C"/>
                <w:sz w:val="17"/>
              </w:rPr>
              <w:t>Keep visible as ‘Coming later’ or ‘Join waitlist’ until advanced permissions, reporting and support are operational.</w:t>
            </w:r>
          </w:p>
        </w:tc>
      </w:tr>
      <w:tr>
        <w:tc>
          <w:tcPr>
            <w:tcW w:type="dxa" w:w="3389"/>
            <w:shd w:fill="F4F7F8"/>
            <w:vAlign w:val="center"/>
          </w:tcPr>
          <w:p>
            <w:r/>
            <w:r>
              <w:rPr>
                <w:rFonts w:ascii="Aptos" w:hAnsi="Aptos"/>
                <w:b w:val="0"/>
                <w:color w:val="17233C"/>
                <w:sz w:val="17"/>
              </w:rPr>
              <w:t>Enterprise — Custom</w:t>
            </w:r>
          </w:p>
        </w:tc>
        <w:tc>
          <w:tcPr>
            <w:tcW w:type="dxa" w:w="3389"/>
            <w:shd w:fill="F4F7F8"/>
            <w:vAlign w:val="center"/>
          </w:tcPr>
          <w:p>
            <w:r/>
            <w:r>
              <w:rPr>
                <w:rFonts w:ascii="Aptos" w:hAnsi="Aptos"/>
                <w:b w:val="0"/>
                <w:color w:val="17233C"/>
                <w:sz w:val="17"/>
              </w:rPr>
              <w:t>Larger organisations/partner deployments</w:t>
            </w:r>
          </w:p>
        </w:tc>
        <w:tc>
          <w:tcPr>
            <w:tcW w:type="dxa" w:w="3389"/>
            <w:shd w:fill="F4F7F8"/>
            <w:vAlign w:val="center"/>
          </w:tcPr>
          <w:p>
            <w:r/>
            <w:r>
              <w:rPr>
                <w:rFonts w:ascii="Aptos" w:hAnsi="Aptos"/>
                <w:b w:val="0"/>
                <w:color w:val="17233C"/>
                <w:sz w:val="17"/>
              </w:rPr>
              <w:t>Keep visible as ‘Talk to us’; scope only through a contract and technical discovery.</w:t>
            </w:r>
          </w:p>
        </w:tc>
      </w:tr>
    </w:tbl>
    <w:p/>
    <w:tbl>
      <w:tblPr>
        <w:tblW w:type="auto" w:w="0"/>
        <w:jc w:val="center"/>
        <w:tblLook w:firstColumn="1" w:firstRow="1" w:lastColumn="0" w:lastRow="0" w:noHBand="0" w:noVBand="1" w:val="04A0"/>
      </w:tblPr>
      <w:tblGrid>
        <w:gridCol w:w="10166"/>
      </w:tblGrid>
      <w:tr>
        <w:tc>
          <w:tcPr>
            <w:tcW w:type="dxa" w:w="10166"/>
            <w:shd w:fill="EAF6F2"/>
          </w:tcPr>
          <w:p>
            <w:pPr>
              <w:spacing w:after="40"/>
            </w:pPr>
            <w:r>
              <w:rPr>
                <w:rFonts w:ascii="Aptos" w:hAnsi="Aptos"/>
                <w:sz w:val="18"/>
              </w:rPr>
            </w:r>
            <w:r>
              <w:rPr>
                <w:rFonts w:ascii="Aptos" w:hAnsi="Aptos"/>
                <w:b/>
                <w:color w:val="17233C"/>
                <w:sz w:val="18"/>
              </w:rPr>
              <w:t xml:space="preserve">Recommendation  </w:t>
            </w:r>
            <w:r>
              <w:rPr>
                <w:rFonts w:ascii="Aptos" w:hAnsi="Aptos"/>
                <w:sz w:val="18"/>
              </w:rPr>
              <w:t>Do not hide Professional or Enterprise. They make the product direction clear. However, the website, onboarding, entitlement engine, support procedures and sales materials should be built and tested around Starter and Growth first. Growth should be visually recommended; Starter should remain the low-risk entry route.</w:t>
            </w:r>
          </w:p>
        </w:tc>
      </w:tr>
    </w:tbl>
    <w:p/>
    <w:p>
      <w:pPr>
        <w:pStyle w:val="Heading2"/>
      </w:pPr>
      <w:r>
        <w:t>Billing and entitlement rules</w:t>
      </w:r>
    </w:p>
    <w:p>
      <w:pPr>
        <w:pStyle w:val="ListBullet"/>
        <w:spacing w:after="60"/>
      </w:pPr>
      <w:r>
        <w:t>One canonical subscription record must drive the current-plan summary, plan cards, usage warnings and permissions.</w:t>
      </w:r>
    </w:p>
    <w:p>
      <w:pPr>
        <w:pStyle w:val="ListBullet"/>
        <w:spacing w:after="60"/>
      </w:pPr>
      <w:r>
        <w:t>The current prototype may show 3 users against Starter's allowance of 1 to demonstrate overage. Production must either block additional active seats, offer upgrade, or apply an explicit grace policy.</w:t>
      </w:r>
    </w:p>
    <w:p>
      <w:pPr>
        <w:pStyle w:val="ListBullet"/>
        <w:spacing w:after="60"/>
      </w:pPr>
      <w:r>
        <w:t>Safety notices, data export and professional-support escalation must never be paywalled.</w:t>
      </w:r>
    </w:p>
    <w:p>
      <w:pPr>
        <w:pStyle w:val="ListBullet"/>
        <w:spacing w:after="60"/>
      </w:pPr>
      <w:r>
        <w:t>Plan changes must be idempotent and driven by verified payment-provider webhooks, not browser state.</w:t>
      </w:r>
    </w:p>
    <w:p>
      <w:pPr>
        <w:pStyle w:val="ListBullet"/>
        <w:spacing w:after="60"/>
      </w:pPr>
      <w:r>
        <w:t>Do not charge for Professional/Enterprise until the stated entitlements can be fulfilled.</w:t>
      </w:r>
    </w:p>
    <w:p>
      <w:pPr>
        <w:pStyle w:val="Heading1"/>
      </w:pPr>
      <w:r>
        <w:t>12. Visual and brand requirements</w:t>
      </w:r>
    </w:p>
    <w:p>
      <w:pPr>
        <w:pStyle w:val="ListBullet"/>
        <w:spacing w:after="60"/>
      </w:pPr>
      <w:r>
        <w:t>Preserve the uploaded Jojan One logo, business-display branding and user-selectable safe primary colour.</w:t>
      </w:r>
    </w:p>
    <w:p>
      <w:pPr>
        <w:pStyle w:val="ListBullet"/>
        <w:spacing w:after="60"/>
      </w:pPr>
      <w:r>
        <w:t>Use the premium, calm, board-ready visual direction already established for Dashboard, Executive and Jova without redesigning functional flows.</w:t>
      </w:r>
    </w:p>
    <w:p>
      <w:pPr>
        <w:pStyle w:val="ListBullet"/>
        <w:spacing w:after="60"/>
      </w:pPr>
      <w:r>
        <w:t>Keep semantic status colours independent of the brand colour: success, warning, danger, information and disabled states must remain understandable.</w:t>
      </w:r>
    </w:p>
    <w:p>
      <w:pPr>
        <w:pStyle w:val="ListBullet"/>
        <w:spacing w:after="60"/>
      </w:pPr>
      <w:r>
        <w:t>Use accessible contrast, keyboard navigation, clear focus states, reduced-motion support and responsive layouts.</w:t>
      </w:r>
    </w:p>
    <w:p>
      <w:pPr>
        <w:pStyle w:val="ListBullet"/>
        <w:spacing w:after="60"/>
      </w:pPr>
      <w:r>
        <w:t>Reports and certificates must be print-safe and retain mandatory non-advice/non-accreditation wording.</w:t>
      </w:r>
    </w:p>
    <w:p>
      <w:pPr>
        <w:pStyle w:val="Heading1"/>
      </w:pPr>
      <w:r>
        <w:t>13. Technical architecture expectations</w:t>
      </w:r>
    </w:p>
    <w:p>
      <w:pPr>
        <w:pStyle w:val="ListBullet"/>
        <w:spacing w:after="60"/>
      </w:pPr>
      <w:r>
        <w:t>Frontend: retain React/TypeScript where practical; introduce a typed API client and production error/loading states.</w:t>
      </w:r>
    </w:p>
    <w:p>
      <w:pPr>
        <w:pStyle w:val="ListBullet"/>
        <w:spacing w:after="60"/>
      </w:pPr>
      <w:r>
        <w:t>Backend: documented API/service layer with input validation, authorisation and idempotency.</w:t>
      </w:r>
    </w:p>
    <w:p>
      <w:pPr>
        <w:pStyle w:val="ListBullet"/>
        <w:spacing w:after="60"/>
      </w:pPr>
      <w:r>
        <w:t>Database: managed relational database with migrations, constraints, indexes, tenant policies and point-in-time recovery.</w:t>
      </w:r>
    </w:p>
    <w:p>
      <w:pPr>
        <w:pStyle w:val="ListBullet"/>
        <w:spacing w:after="60"/>
      </w:pPr>
      <w:r>
        <w:t>Storage: private object storage with short-lived signed URLs, scanning and size/type restrictions.</w:t>
      </w:r>
    </w:p>
    <w:p>
      <w:pPr>
        <w:pStyle w:val="ListBullet"/>
        <w:spacing w:after="60"/>
      </w:pPr>
      <w:r>
        <w:t>Background work: queue/scheduler for reminders, reports, imports, webhooks and notifications.</w:t>
      </w:r>
    </w:p>
    <w:p>
      <w:pPr>
        <w:pStyle w:val="ListBullet"/>
        <w:spacing w:after="60"/>
      </w:pPr>
      <w:r>
        <w:t>Observability: structured logs, metrics, traces, exception reporting, audit alerts and runbooks without leaking confidential data.</w:t>
      </w:r>
    </w:p>
    <w:p>
      <w:pPr>
        <w:pStyle w:val="ListBullet"/>
        <w:spacing w:after="60"/>
      </w:pPr>
      <w:r>
        <w:t>Environments: separate local, test, staging and production with managed configuration and deployment rollback.</w:t>
      </w:r>
    </w:p>
    <w:p>
      <w:pPr>
        <w:pStyle w:val="Heading1"/>
      </w:pPr>
      <w:r>
        <w:t>14. Delivery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33C"/>
            <w:vAlign w:val="center"/>
          </w:tcPr>
          <w:p>
            <w:r/>
            <w:r>
              <w:rPr>
                <w:rFonts w:ascii="Aptos" w:hAnsi="Aptos"/>
                <w:b/>
                <w:color w:val="FFFFFF"/>
                <w:sz w:val="17"/>
              </w:rPr>
              <w:t>Milestone</w:t>
            </w:r>
          </w:p>
        </w:tc>
        <w:tc>
          <w:tcPr>
            <w:tcW w:type="dxa" w:w="3389"/>
            <w:shd w:fill="17233C"/>
            <w:vAlign w:val="center"/>
          </w:tcPr>
          <w:p>
            <w:r/>
            <w:r>
              <w:rPr>
                <w:rFonts w:ascii="Aptos" w:hAnsi="Aptos"/>
                <w:b/>
                <w:color w:val="FFFFFF"/>
                <w:sz w:val="17"/>
              </w:rPr>
              <w:t>Priority</w:t>
            </w:r>
          </w:p>
        </w:tc>
        <w:tc>
          <w:tcPr>
            <w:tcW w:type="dxa" w:w="3389"/>
            <w:shd w:fill="17233C"/>
            <w:vAlign w:val="center"/>
          </w:tcPr>
          <w:p>
            <w:r/>
            <w:r>
              <w:rPr>
                <w:rFonts w:ascii="Aptos" w:hAnsi="Aptos"/>
                <w:b/>
                <w:color w:val="FFFFFF"/>
                <w:sz w:val="17"/>
              </w:rPr>
              <w:t>Deliverables / exit criteria</w:t>
            </w:r>
          </w:p>
        </w:tc>
      </w:tr>
      <w:tr>
        <w:tc>
          <w:tcPr>
            <w:tcW w:type="dxa" w:w="3389"/>
            <w:vAlign w:val="center"/>
          </w:tcPr>
          <w:p>
            <w:r/>
            <w:r>
              <w:rPr>
                <w:rFonts w:ascii="Aptos" w:hAnsi="Aptos"/>
                <w:b w:val="0"/>
                <w:color w:val="17233C"/>
                <w:sz w:val="17"/>
              </w:rPr>
              <w:t>0. Discovery and audit</w:t>
            </w:r>
          </w:p>
        </w:tc>
        <w:tc>
          <w:tcPr>
            <w:tcW w:type="dxa" w:w="3389"/>
            <w:vAlign w:val="center"/>
          </w:tcPr>
          <w:p>
            <w:r/>
            <w:r>
              <w:rPr>
                <w:rFonts w:ascii="Aptos" w:hAnsi="Aptos"/>
                <w:b w:val="0"/>
                <w:color w:val="17233C"/>
                <w:sz w:val="17"/>
              </w:rPr>
              <w:t>P0</w:t>
            </w:r>
          </w:p>
        </w:tc>
        <w:tc>
          <w:tcPr>
            <w:tcW w:type="dxa" w:w="3389"/>
            <w:vAlign w:val="center"/>
          </w:tcPr>
          <w:p>
            <w:r/>
            <w:r>
              <w:rPr>
                <w:rFonts w:ascii="Aptos" w:hAnsi="Aptos"/>
                <w:b w:val="0"/>
                <w:color w:val="17233C"/>
                <w:sz w:val="17"/>
              </w:rPr>
              <w:t>Repository audit, prototype data map, architecture decision record, integration feasibility, migration plan, risk register and confirmed estimate.</w:t>
            </w:r>
          </w:p>
        </w:tc>
      </w:tr>
      <w:tr>
        <w:tc>
          <w:tcPr>
            <w:tcW w:type="dxa" w:w="3389"/>
            <w:shd w:fill="F4F7F8"/>
            <w:vAlign w:val="center"/>
          </w:tcPr>
          <w:p>
            <w:r/>
            <w:r>
              <w:rPr>
                <w:rFonts w:ascii="Aptos" w:hAnsi="Aptos"/>
                <w:b w:val="0"/>
                <w:color w:val="17233C"/>
                <w:sz w:val="17"/>
              </w:rPr>
              <w:t>1. Production foundation</w:t>
            </w:r>
          </w:p>
        </w:tc>
        <w:tc>
          <w:tcPr>
            <w:tcW w:type="dxa" w:w="3389"/>
            <w:shd w:fill="F4F7F8"/>
            <w:vAlign w:val="center"/>
          </w:tcPr>
          <w:p>
            <w:r/>
            <w:r>
              <w:rPr>
                <w:rFonts w:ascii="Aptos" w:hAnsi="Aptos"/>
                <w:b w:val="0"/>
                <w:color w:val="17233C"/>
                <w:sz w:val="17"/>
              </w:rPr>
              <w:t>P0</w:t>
            </w:r>
          </w:p>
        </w:tc>
        <w:tc>
          <w:tcPr>
            <w:tcW w:type="dxa" w:w="3389"/>
            <w:shd w:fill="F4F7F8"/>
            <w:vAlign w:val="center"/>
          </w:tcPr>
          <w:p>
            <w:r/>
            <w:r>
              <w:rPr>
                <w:rFonts w:ascii="Aptos" w:hAnsi="Aptos"/>
                <w:b w:val="0"/>
                <w:color w:val="17233C"/>
                <w:sz w:val="17"/>
              </w:rPr>
              <w:t>Authentication, organisation/workspace tenancy, database, secure storage, server permissions, secrets, environments, backups and CI/CD.</w:t>
            </w:r>
          </w:p>
        </w:tc>
      </w:tr>
      <w:tr>
        <w:tc>
          <w:tcPr>
            <w:tcW w:type="dxa" w:w="3389"/>
            <w:vAlign w:val="center"/>
          </w:tcPr>
          <w:p>
            <w:r/>
            <w:r>
              <w:rPr>
                <w:rFonts w:ascii="Aptos" w:hAnsi="Aptos"/>
                <w:b w:val="0"/>
                <w:color w:val="17233C"/>
                <w:sz w:val="17"/>
              </w:rPr>
              <w:t>2. Core product migration</w:t>
            </w:r>
          </w:p>
        </w:tc>
        <w:tc>
          <w:tcPr>
            <w:tcW w:type="dxa" w:w="3389"/>
            <w:vAlign w:val="center"/>
          </w:tcPr>
          <w:p>
            <w:r/>
            <w:r>
              <w:rPr>
                <w:rFonts w:ascii="Aptos" w:hAnsi="Aptos"/>
                <w:b w:val="0"/>
                <w:color w:val="17233C"/>
                <w:sz w:val="17"/>
              </w:rPr>
              <w:t>P0</w:t>
            </w:r>
          </w:p>
        </w:tc>
        <w:tc>
          <w:tcPr>
            <w:tcW w:type="dxa" w:w="3389"/>
            <w:vAlign w:val="center"/>
          </w:tcPr>
          <w:p>
            <w:r/>
            <w:r>
              <w:rPr>
                <w:rFonts w:ascii="Aptos" w:hAnsi="Aptos"/>
                <w:b w:val="0"/>
                <w:color w:val="17233C"/>
                <w:sz w:val="17"/>
              </w:rPr>
              <w:t>Migrate shared state and workflows; imports/exports; reports; audit; responsive/accessibility baseline; Jova deterministic behaviour preserved.</w:t>
            </w:r>
          </w:p>
        </w:tc>
      </w:tr>
      <w:tr>
        <w:tc>
          <w:tcPr>
            <w:tcW w:type="dxa" w:w="3389"/>
            <w:shd w:fill="F4F7F8"/>
            <w:vAlign w:val="center"/>
          </w:tcPr>
          <w:p>
            <w:r/>
            <w:r>
              <w:rPr>
                <w:rFonts w:ascii="Aptos" w:hAnsi="Aptos"/>
                <w:b w:val="0"/>
                <w:color w:val="17233C"/>
                <w:sz w:val="17"/>
              </w:rPr>
              <w:t>3. First integrations</w:t>
            </w:r>
          </w:p>
        </w:tc>
        <w:tc>
          <w:tcPr>
            <w:tcW w:type="dxa" w:w="3389"/>
            <w:shd w:fill="F4F7F8"/>
            <w:vAlign w:val="center"/>
          </w:tcPr>
          <w:p>
            <w:r/>
            <w:r>
              <w:rPr>
                <w:rFonts w:ascii="Aptos" w:hAnsi="Aptos"/>
                <w:b w:val="0"/>
                <w:color w:val="17233C"/>
                <w:sz w:val="17"/>
              </w:rPr>
              <w:t>P1</w:t>
            </w:r>
          </w:p>
        </w:tc>
        <w:tc>
          <w:tcPr>
            <w:tcW w:type="dxa" w:w="3389"/>
            <w:shd w:fill="F4F7F8"/>
            <w:vAlign w:val="center"/>
          </w:tcPr>
          <w:p>
            <w:r/>
            <w:r>
              <w:rPr>
                <w:rFonts w:ascii="Aptos" w:hAnsi="Aptos"/>
                <w:b w:val="0"/>
                <w:color w:val="17233C"/>
                <w:sz w:val="17"/>
              </w:rPr>
              <w:t>Companies House read-only lookup, official filing links, in-app notifications and evidence confirmation workflow.</w:t>
            </w:r>
          </w:p>
        </w:tc>
      </w:tr>
      <w:tr>
        <w:tc>
          <w:tcPr>
            <w:tcW w:type="dxa" w:w="3389"/>
            <w:vAlign w:val="center"/>
          </w:tcPr>
          <w:p>
            <w:r/>
            <w:r>
              <w:rPr>
                <w:rFonts w:ascii="Aptos" w:hAnsi="Aptos"/>
                <w:b w:val="0"/>
                <w:color w:val="17233C"/>
                <w:sz w:val="17"/>
              </w:rPr>
              <w:t>4. Starter/Growth billing</w:t>
            </w:r>
          </w:p>
        </w:tc>
        <w:tc>
          <w:tcPr>
            <w:tcW w:type="dxa" w:w="3389"/>
            <w:vAlign w:val="center"/>
          </w:tcPr>
          <w:p>
            <w:r/>
            <w:r>
              <w:rPr>
                <w:rFonts w:ascii="Aptos" w:hAnsi="Aptos"/>
                <w:b w:val="0"/>
                <w:color w:val="17233C"/>
                <w:sz w:val="17"/>
              </w:rPr>
              <w:t>P1</w:t>
            </w:r>
          </w:p>
        </w:tc>
        <w:tc>
          <w:tcPr>
            <w:tcW w:type="dxa" w:w="3389"/>
            <w:vAlign w:val="center"/>
          </w:tcPr>
          <w:p>
            <w:r/>
            <w:r>
              <w:rPr>
                <w:rFonts w:ascii="Aptos" w:hAnsi="Aptos"/>
                <w:b w:val="0"/>
                <w:color w:val="17233C"/>
                <w:sz w:val="17"/>
              </w:rPr>
              <w:t>Hosted checkout/portal, webhook-verified subscriptions, canonical entitlements, seat handling, invoices and cancellation/grace flows.</w:t>
            </w:r>
          </w:p>
        </w:tc>
      </w:tr>
      <w:tr>
        <w:tc>
          <w:tcPr>
            <w:tcW w:type="dxa" w:w="3389"/>
            <w:shd w:fill="F4F7F8"/>
            <w:vAlign w:val="center"/>
          </w:tcPr>
          <w:p>
            <w:r/>
            <w:r>
              <w:rPr>
                <w:rFonts w:ascii="Aptos" w:hAnsi="Aptos"/>
                <w:b w:val="0"/>
                <w:color w:val="17233C"/>
                <w:sz w:val="17"/>
              </w:rPr>
              <w:t>5. Controlled Jova upgrade</w:t>
            </w:r>
          </w:p>
        </w:tc>
        <w:tc>
          <w:tcPr>
            <w:tcW w:type="dxa" w:w="3389"/>
            <w:shd w:fill="F4F7F8"/>
            <w:vAlign w:val="center"/>
          </w:tcPr>
          <w:p>
            <w:r/>
            <w:r>
              <w:rPr>
                <w:rFonts w:ascii="Aptos" w:hAnsi="Aptos"/>
                <w:b w:val="0"/>
                <w:color w:val="17233C"/>
                <w:sz w:val="17"/>
              </w:rPr>
              <w:t>P1/P2</w:t>
            </w:r>
          </w:p>
        </w:tc>
        <w:tc>
          <w:tcPr>
            <w:tcW w:type="dxa" w:w="3389"/>
            <w:shd w:fill="F4F7F8"/>
            <w:vAlign w:val="center"/>
          </w:tcPr>
          <w:p>
            <w:r/>
            <w:r>
              <w:rPr>
                <w:rFonts w:ascii="Aptos" w:hAnsi="Aptos"/>
                <w:b w:val="0"/>
                <w:color w:val="17233C"/>
                <w:sz w:val="17"/>
              </w:rPr>
              <w:t>Retrieval layer, source citations, access filtering, safety policy, evaluations, monitoring and deterministic fallback.</w:t>
            </w:r>
          </w:p>
        </w:tc>
      </w:tr>
      <w:tr>
        <w:tc>
          <w:tcPr>
            <w:tcW w:type="dxa" w:w="3389"/>
            <w:vAlign w:val="center"/>
          </w:tcPr>
          <w:p>
            <w:r/>
            <w:r>
              <w:rPr>
                <w:rFonts w:ascii="Aptos" w:hAnsi="Aptos"/>
                <w:b w:val="0"/>
                <w:color w:val="17233C"/>
                <w:sz w:val="17"/>
              </w:rPr>
              <w:t>6. Launch assurance</w:t>
            </w:r>
          </w:p>
        </w:tc>
        <w:tc>
          <w:tcPr>
            <w:tcW w:type="dxa" w:w="3389"/>
            <w:vAlign w:val="center"/>
          </w:tcPr>
          <w:p>
            <w:r/>
            <w:r>
              <w:rPr>
                <w:rFonts w:ascii="Aptos" w:hAnsi="Aptos"/>
                <w:b w:val="0"/>
                <w:color w:val="17233C"/>
                <w:sz w:val="17"/>
              </w:rPr>
              <w:t>P0</w:t>
            </w:r>
          </w:p>
        </w:tc>
        <w:tc>
          <w:tcPr>
            <w:tcW w:type="dxa" w:w="3389"/>
            <w:vAlign w:val="center"/>
          </w:tcPr>
          <w:p>
            <w:r/>
            <w:r>
              <w:rPr>
                <w:rFonts w:ascii="Aptos" w:hAnsi="Aptos"/>
                <w:b w:val="0"/>
                <w:color w:val="17233C"/>
                <w:sz w:val="17"/>
              </w:rPr>
              <w:t>Security review, privacy documents, DPIA where needed, accessibility review, load/restore tests, support runbooks and go-live checklist.</w:t>
            </w:r>
          </w:p>
        </w:tc>
      </w:tr>
    </w:tbl>
    <w:p/>
    <w:p>
      <w:pPr>
        <w:pStyle w:val="Heading1"/>
      </w:pPr>
      <w:r>
        <w:t>15. Professional deliverables</w:t>
      </w:r>
    </w:p>
    <w:p>
      <w:pPr>
        <w:pStyle w:val="ListBullet"/>
        <w:spacing w:after="60"/>
      </w:pPr>
      <w:r>
        <w:t>Written technical assessment and assumptions/questions log.</w:t>
      </w:r>
    </w:p>
    <w:p>
      <w:pPr>
        <w:pStyle w:val="ListBullet"/>
        <w:spacing w:after="60"/>
      </w:pPr>
      <w:r>
        <w:t>Target architecture and data model diagrams.</w:t>
      </w:r>
    </w:p>
    <w:p>
      <w:pPr>
        <w:pStyle w:val="ListBullet"/>
        <w:spacing w:after="60"/>
      </w:pPr>
      <w:r>
        <w:t>Prioritised backlog with acceptance criteria, estimates, dependencies and named exclusions.</w:t>
      </w:r>
    </w:p>
    <w:p>
      <w:pPr>
        <w:pStyle w:val="ListBullet"/>
        <w:spacing w:after="60"/>
      </w:pPr>
      <w:r>
        <w:t>Production source code, migrations, infrastructure configuration and deployment pipeline.</w:t>
      </w:r>
    </w:p>
    <w:p>
      <w:pPr>
        <w:pStyle w:val="ListBullet"/>
        <w:spacing w:after="60"/>
      </w:pPr>
      <w:r>
        <w:t>API/integration documentation and webhook/security design.</w:t>
      </w:r>
    </w:p>
    <w:p>
      <w:pPr>
        <w:pStyle w:val="ListBullet"/>
        <w:spacing w:after="60"/>
      </w:pPr>
      <w:r>
        <w:t>Migration/import utility for prototype data, with reconciliation report and rollback plan.</w:t>
      </w:r>
    </w:p>
    <w:p>
      <w:pPr>
        <w:pStyle w:val="ListBullet"/>
        <w:spacing w:after="60"/>
      </w:pPr>
      <w:r>
        <w:t>Automated tests: unit, integration, end-to-end, permissions/tenant isolation and critical accessibility checks.</w:t>
      </w:r>
    </w:p>
    <w:p>
      <w:pPr>
        <w:pStyle w:val="ListBullet"/>
        <w:spacing w:after="60"/>
      </w:pPr>
      <w:r>
        <w:t>Security/privacy pack: threat model, retention matrix, backup/restore evidence, incident response and data-flow inventory.</w:t>
      </w:r>
    </w:p>
    <w:p>
      <w:pPr>
        <w:pStyle w:val="ListBullet"/>
        <w:spacing w:after="60"/>
      </w:pPr>
      <w:r>
        <w:t>Administrator and user documentation plus handover/training session.</w:t>
      </w:r>
    </w:p>
    <w:p>
      <w:pPr>
        <w:pStyle w:val="ListBullet"/>
        <w:spacing w:after="60"/>
      </w:pPr>
      <w:r>
        <w:t>Launch report listing connected services, known limitations, monitoring, support ownership and next-phase recommendations.</w:t>
      </w:r>
    </w:p>
    <w:p>
      <w:pPr>
        <w:pStyle w:val="Heading1"/>
      </w:pPr>
      <w:r>
        <w:t>16. Acceptance criteria</w:t>
      </w:r>
    </w:p>
    <w:p>
      <w:pPr>
        <w:pStyle w:val="ListBullet"/>
        <w:spacing w:after="60"/>
      </w:pPr>
      <w:r>
        <w:t>A user can register/sign in, create or join the correct workspace and recover access securely.</w:t>
      </w:r>
    </w:p>
    <w:p>
      <w:pPr>
        <w:pStyle w:val="ListBullet"/>
        <w:spacing w:after="60"/>
      </w:pPr>
      <w:r>
        <w:t>No user can read or change another workspace's data, including through URLs, exports, search, files or Jova.</w:t>
      </w:r>
    </w:p>
    <w:p>
      <w:pPr>
        <w:pStyle w:val="ListBullet"/>
        <w:spacing w:after="60"/>
      </w:pPr>
      <w:r>
        <w:t>Core records persist across browsers/devices and backups can be restored in a tested environment.</w:t>
      </w:r>
    </w:p>
    <w:p>
      <w:pPr>
        <w:pStyle w:val="ListBullet"/>
        <w:spacing w:after="60"/>
      </w:pPr>
      <w:r>
        <w:t>Starter and Growth subscription states and seat allowances are consistent on every screen and driven by the backend/provider state.</w:t>
      </w:r>
    </w:p>
    <w:p>
      <w:pPr>
        <w:pStyle w:val="ListBullet"/>
        <w:spacing w:after="60"/>
      </w:pPr>
      <w:r>
        <w:t>Companies House data is labelled with source and retrieval time; failures and stale data are handled honestly.</w:t>
      </w:r>
    </w:p>
    <w:p>
      <w:pPr>
        <w:pStyle w:val="ListBullet"/>
        <w:spacing w:after="60"/>
      </w:pPr>
      <w:r>
        <w:t>Jova asks for clarification when needed, cites authorised source records, preserves mandatory safeguards and escalates sensitive matters.</w:t>
      </w:r>
    </w:p>
    <w:p>
      <w:pPr>
        <w:pStyle w:val="ListBullet"/>
        <w:spacing w:after="60"/>
      </w:pPr>
      <w:r>
        <w:t>All important mutations create attributable audit events.</w:t>
      </w:r>
    </w:p>
    <w:p>
      <w:pPr>
        <w:pStyle w:val="ListBullet"/>
        <w:spacing w:after="60"/>
      </w:pPr>
      <w:r>
        <w:t>Critical journeys work on desktop and mobile and meet the agreed accessibility target.</w:t>
      </w:r>
    </w:p>
    <w:p>
      <w:pPr>
        <w:pStyle w:val="ListBullet"/>
        <w:spacing w:after="60"/>
      </w:pPr>
      <w:r>
        <w:t>No raw card data, Government Gateway credentials, API secrets or cross-tenant information is stored in the client.</w:t>
      </w:r>
    </w:p>
    <w:p>
      <w:pPr>
        <w:pStyle w:val="Heading1"/>
      </w:pPr>
      <w:r>
        <w:t>17. Questions the professional must resolve before build</w:t>
      </w:r>
    </w:p>
    <w:p>
      <w:pPr>
        <w:pStyle w:val="ListBullet"/>
        <w:spacing w:after="60"/>
      </w:pPr>
      <w:r>
        <w:t>What technology stack and hosting region are recommended, and why?</w:t>
      </w:r>
    </w:p>
    <w:p>
      <w:pPr>
        <w:pStyle w:val="ListBullet"/>
        <w:spacing w:after="60"/>
      </w:pPr>
      <w:r>
        <w:t>Which prototype records are demonstration-only and which must be migrated?</w:t>
      </w:r>
    </w:p>
    <w:p>
      <w:pPr>
        <w:pStyle w:val="ListBullet"/>
        <w:spacing w:after="60"/>
      </w:pPr>
      <w:r>
        <w:t>What is the tenant-isolation model and how will it be tested?</w:t>
      </w:r>
    </w:p>
    <w:p>
      <w:pPr>
        <w:pStyle w:val="ListBullet"/>
        <w:spacing w:after="60"/>
      </w:pPr>
      <w:r>
        <w:t>Which files and personal-data categories are truly required at launch?</w:t>
      </w:r>
    </w:p>
    <w:p>
      <w:pPr>
        <w:pStyle w:val="ListBullet"/>
        <w:spacing w:after="60"/>
      </w:pPr>
      <w:r>
        <w:t>What Companies House endpoints, caching periods and rate-limit controls will be used?</w:t>
      </w:r>
    </w:p>
    <w:p>
      <w:pPr>
        <w:pStyle w:val="ListBullet"/>
        <w:spacing w:after="60"/>
      </w:pPr>
      <w:r>
        <w:t>Which Stripe/tax/invoicing model fits the UK launch and annual discount treatment?</w:t>
      </w:r>
    </w:p>
    <w:p>
      <w:pPr>
        <w:pStyle w:val="ListBullet"/>
        <w:spacing w:after="60"/>
      </w:pPr>
      <w:r>
        <w:t>What is the exact Starter-to-Growth upgrade/seat-overage journey?</w:t>
      </w:r>
    </w:p>
    <w:p>
      <w:pPr>
        <w:pStyle w:val="ListBullet"/>
        <w:spacing w:after="60"/>
      </w:pPr>
      <w:r>
        <w:t>What Jova functions remain deterministic at launch and which, if any, require a model?</w:t>
      </w:r>
    </w:p>
    <w:p>
      <w:pPr>
        <w:pStyle w:val="ListBullet"/>
        <w:spacing w:after="60"/>
      </w:pPr>
      <w:r>
        <w:t>What legal/privacy documents, processor agreements and operational support coverage are required before customer onboarding?</w:t>
      </w:r>
    </w:p>
    <w:p>
      <w:pPr>
        <w:pStyle w:val="ListBullet"/>
        <w:spacing w:after="60"/>
      </w:pPr>
      <w:r>
        <w:t>What measurable service levels, recovery targets and security review are included in the estimate?</w:t>
      </w:r>
    </w:p>
    <w:p>
      <w:pPr>
        <w:pStyle w:val="Heading1"/>
      </w:pPr>
      <w:r>
        <w:t>18. Immediate instruction to the professional</w:t>
      </w:r>
    </w:p>
    <w:tbl>
      <w:tblPr>
        <w:tblW w:type="auto" w:w="0"/>
        <w:jc w:val="center"/>
        <w:tblLook w:firstColumn="1" w:firstRow="1" w:lastColumn="0" w:lastRow="0" w:noHBand="0" w:noVBand="1" w:val="04A0"/>
      </w:tblPr>
      <w:tblGrid>
        <w:gridCol w:w="10166"/>
      </w:tblGrid>
      <w:tr>
        <w:tc>
          <w:tcPr>
            <w:tcW w:type="dxa" w:w="10166"/>
            <w:shd w:fill="EAF6F2"/>
          </w:tcPr>
          <w:p>
            <w:pPr>
              <w:spacing w:after="40"/>
            </w:pPr>
            <w:r>
              <w:rPr>
                <w:rFonts w:ascii="Aptos" w:hAnsi="Aptos"/>
                <w:sz w:val="18"/>
              </w:rPr>
            </w:r>
            <w:r>
              <w:rPr>
                <w:rFonts w:ascii="Aptos" w:hAnsi="Aptos"/>
                <w:b/>
                <w:color w:val="17233C"/>
                <w:sz w:val="18"/>
              </w:rPr>
              <w:t xml:space="preserve">Start here  </w:t>
            </w:r>
            <w:r>
              <w:rPr>
                <w:rFonts w:ascii="Aptos" w:hAnsi="Aptos"/>
                <w:sz w:val="18"/>
              </w:rPr>
              <w:t>Begin with a technical and data audit of the existing Lovable project. Do not rebuild the interface or replace working prototype logic until the audit, target data model, tenant/security design, integration approach and phased estimate have been reviewed and approved. The first implementation objective is a trustworthy production foundation—not live government filing.</w:t>
            </w:r>
          </w:p>
        </w:tc>
      </w:tr>
    </w:tbl>
    <w:p/>
    <w:p>
      <w:r>
        <w:t>Prepared for Jojan One. This brief is a product and technical handover, not legal, tax, financial, regulatory or security certification. Third-party API terms, permissions and production requirements must be verified by the appointed professional before implementation.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5"/>
      </w:rPr>
      <w:t xml:space="preserve">Confidential working brief · Version 1.0 · 16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7966F"/>
        <w:sz w:val="16"/>
      </w:rPr>
      <w:t>JOJAN ONE  /  PRODUCTION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3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233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7966F"/>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723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3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00"/>
    </w:pPr>
    <w:rPr>
      <w:rFonts w:asciiTheme="majorHAnsi" w:eastAsiaTheme="majorEastAsia" w:hAnsiTheme="majorHAnsi" w:cstheme="majorBidi" w:ascii="Aptos" w:hAnsi="Aptos"/>
      <w:b w:val="0"/>
      <w:i/>
      <w:iCs/>
      <w:color w:val="5F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