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E5E4E"/>
        </w:rPr>
        <w:t>Propuesta — Proyecto 2</w:t>
      </w:r>
    </w:p>
    <w:p>
      <w:r>
        <w:rPr>
          <w:b/>
          <w:color w:val="1F4E79"/>
          <w:sz w:val="22"/>
        </w:rPr>
        <w:t>Visualización reproducible en Python · Visualización I · Quinto Semestre 2026</w:t>
      </w:r>
    </w:p>
    <w:p>
      <w:r>
        <w:rPr>
          <w:b/>
        </w:rPr>
        <w:t xml:space="preserve">Equipo: </w:t>
      </w:r>
      <w:r>
        <w:t>Equipo 7 — Joshua Trujillo y Nicolás Figueroa</w:t>
      </w:r>
      <w:r>
        <w:rPr>
          <w:color w:val="999999"/>
        </w:rPr>
        <w:t xml:space="preserve">    |    </w:t>
      </w:r>
      <w:r>
        <w:rPr>
          <w:b/>
        </w:rPr>
        <w:t xml:space="preserve">Fecha: </w:t>
      </w:r>
      <w:r>
        <w:t>12 de octubre de 2026</w:t>
      </w:r>
    </w:p>
    <w:p>
      <w:r>
        <w:rPr>
          <w:b/>
        </w:rPr>
        <w:t xml:space="preserve">Docentes: </w:t>
      </w:r>
      <w:r>
        <w:t>Adriana Pineda – Paola Moreno</w:t>
      </w:r>
      <w:r>
        <w:rPr>
          <w:color w:val="999999"/>
        </w:rPr>
        <w:t xml:space="preserve">    |    </w:t>
      </w:r>
      <w:r>
        <w:rPr>
          <w:b/>
        </w:rPr>
        <w:t xml:space="preserve">Entrega del proyecto: </w:t>
      </w:r>
      <w:r>
        <w:t>26 de octubre de 2026</w:t>
      </w:r>
    </w:p>
    <w:p>
      <w:pPr>
        <w:pStyle w:val="Heading1"/>
      </w:pPr>
      <w:r>
        <w:t>1. Audiencia técnica específica</w:t>
      </w:r>
    </w:p>
    <w:p>
      <w:r>
        <w:rPr>
          <w:b/>
        </w:rPr>
        <w:t xml:space="preserve">Destinatario: </w:t>
      </w:r>
      <w:r>
        <w:t>unidad de investigación comparativa sobre determinantes del bienestar de una organización internacional (por ejemplo, el grupo de investigación del PNUD o del Banco Mundial que estudia indicadores de desarrollo y calidad de vida).</w:t>
      </w:r>
    </w:p>
    <w:p>
      <w:r>
        <w:rPr>
          <w:b/>
        </w:rPr>
        <w:t xml:space="preserve">Interés en la problemática: </w:t>
      </w:r>
      <w:r>
        <w:t>este equipo necesita identificar de manera fundamentada y reproducible qué combinaciones de condiciones —PIB per cápita, apoyo social, esperanza de vida saludable, libertad, generosidad y percepción de corrupción— se asocian con altos niveles de bienestar reportado, y en qué medida esas condiciones no alcanzan a explicar la evaluación de vida de algunos países. El resultado orienta futuras investigaciones sobre los determinantes explicados y no explicados del bienestar y sirve como base verificable para estudios comparados.</w:t>
      </w:r>
    </w:p>
    <w:p>
      <w:pPr>
        <w:pStyle w:val="Heading1"/>
      </w:pPr>
      <w:r>
        <w:t>2. Pregunta analítica</w:t>
      </w:r>
    </w:p>
    <w:p>
      <w:pPr>
        <w:ind w:left="283" w:right="283"/>
      </w:pPr>
      <w:r>
        <w:rPr>
          <w:b/>
          <w:color w:val="2E5E4E"/>
          <w:sz w:val="23"/>
        </w:rPr>
        <w:t>¿Qué «recetas» de bienestar predominan entre los países con mayor y menor evaluación de vida según el World Happiness Report 2024, y en qué medida el componente no explicado (Distopía + residual) altera o cuestiona esas recetas?</w:t>
      </w:r>
    </w:p>
    <w:p>
      <w:pPr>
        <w:pStyle w:val="IntenseQuote"/>
      </w:pPr>
      <w:r>
        <w:t>Subpreguntas de apoyo:</w:t>
      </w:r>
    </w:p>
    <w:p>
      <w:pPr>
        <w:pStyle w:val="ListNumber"/>
      </w:pPr>
      <w:r>
        <w:t>¿Qué combinación de los seis indicadores explicativos caracteriza a los países en los terciles superior e inferior del ladder score?</w:t>
      </w:r>
    </w:p>
    <w:p>
      <w:pPr>
        <w:pStyle w:val="ListNumber"/>
      </w:pPr>
      <w:r>
        <w:t>¿Qué países presentan el componente Dystopia + residual más alto y qué tienen en común, sugiriendo que las variables disponibles no bastan para explicar su bienestar?</w:t>
      </w:r>
    </w:p>
    <w:p>
      <w:pPr>
        <w:pStyle w:val="ListNumber"/>
      </w:pPr>
      <w:r>
        <w:t>¿Los países atípicos respecto de su «receta» esperada concentran altos o bajos niveles de residual, lo que indicaría que la explicación está incompleta?</w:t>
      </w:r>
    </w:p>
    <w:p>
      <w:pPr>
        <w:pStyle w:val="Heading1"/>
      </w:pPr>
      <w:r>
        <w:t>3. Variables que se emplearán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515"/>
          </w:tcPr>
          <w:p>
            <w:r/>
            <w:r>
              <w:rPr>
                <w:b/>
              </w:rPr>
              <w:t>Variable (archivo oficial)</w:t>
            </w:r>
          </w:p>
        </w:tc>
        <w:tc>
          <w:tcPr>
            <w:tcW w:type="dxa" w:w="2948"/>
          </w:tcPr>
          <w:p>
            <w:r/>
            <w:r>
              <w:rPr>
                <w:b/>
              </w:rPr>
              <w:t>Significado</w:t>
            </w:r>
          </w:p>
        </w:tc>
        <w:tc>
          <w:tcPr>
            <w:tcW w:type="dxa" w:w="3061"/>
          </w:tcPr>
          <w:p>
            <w:r/>
            <w:r>
              <w:rPr>
                <w:b/>
              </w:rPr>
              <w:t>Uso previsto</w:t>
            </w:r>
          </w:p>
        </w:tc>
      </w:tr>
      <w:tr>
        <w:tc>
          <w:tcPr>
            <w:tcW w:type="dxa" w:w="3515"/>
          </w:tcPr>
          <w:p>
            <w:r>
              <w:t>Country name</w:t>
            </w:r>
          </w:p>
        </w:tc>
        <w:tc>
          <w:tcPr>
            <w:tcW w:type="dxa" w:w="2948"/>
          </w:tcPr>
          <w:p>
            <w:r>
              <w:t>País</w:t>
            </w:r>
          </w:p>
        </w:tc>
        <w:tc>
          <w:tcPr>
            <w:tcW w:type="dxa" w:w="3061"/>
          </w:tcPr>
          <w:p>
            <w:r>
              <w:t>Identificación y anotaciones en gráficos</w:t>
            </w:r>
          </w:p>
        </w:tc>
      </w:tr>
      <w:tr>
        <w:tc>
          <w:tcPr>
            <w:tcW w:type="dxa" w:w="3515"/>
          </w:tcPr>
          <w:p>
            <w:r>
              <w:t>Ladder score</w:t>
            </w:r>
          </w:p>
        </w:tc>
        <w:tc>
          <w:tcPr>
            <w:tcW w:type="dxa" w:w="2948"/>
          </w:tcPr>
          <w:p>
            <w:r>
              <w:t>Evaluación de vida (0–10)</w:t>
            </w:r>
          </w:p>
        </w:tc>
        <w:tc>
          <w:tcPr>
            <w:tcW w:type="dxa" w:w="3061"/>
          </w:tcPr>
          <w:p>
            <w:r>
              <w:t>Variable de interés / eje de orden</w:t>
            </w:r>
          </w:p>
        </w:tc>
      </w:tr>
      <w:tr>
        <w:tc>
          <w:tcPr>
            <w:tcW w:type="dxa" w:w="3515"/>
          </w:tcPr>
          <w:p>
            <w:r>
              <w:t>upperwhisker / lowerwhisker</w:t>
            </w:r>
          </w:p>
        </w:tc>
        <w:tc>
          <w:tcPr>
            <w:tcW w:type="dxa" w:w="2948"/>
          </w:tcPr>
          <w:p>
            <w:r>
              <w:t>Intervalos del ladder score</w:t>
            </w:r>
          </w:p>
        </w:tc>
        <w:tc>
          <w:tcPr>
            <w:tcW w:type="dxa" w:w="3061"/>
          </w:tcPr>
          <w:p>
            <w:r>
              <w:t>Bandas de incertidumbre (referencia)</w:t>
            </w:r>
          </w:p>
        </w:tc>
      </w:tr>
      <w:tr>
        <w:tc>
          <w:tcPr>
            <w:tcW w:type="dxa" w:w="3515"/>
          </w:tcPr>
          <w:p>
            <w:r>
              <w:t>Explained by: Log GDP per capita</w:t>
            </w:r>
          </w:p>
        </w:tc>
        <w:tc>
          <w:tcPr>
            <w:tcW w:type="dxa" w:w="2948"/>
          </w:tcPr>
          <w:p>
            <w:r>
              <w:t>Contribución del PIB per cápita</w:t>
            </w:r>
          </w:p>
        </w:tc>
        <w:tc>
          <w:tcPr>
            <w:tcW w:type="dxa" w:w="3061"/>
          </w:tcPr>
          <w:p>
            <w:r>
              <w:t>Dimensión 1 de la «receta»</w:t>
            </w:r>
          </w:p>
        </w:tc>
      </w:tr>
      <w:tr>
        <w:tc>
          <w:tcPr>
            <w:tcW w:type="dxa" w:w="3515"/>
          </w:tcPr>
          <w:p>
            <w:r>
              <w:t>Explained by: Social support</w:t>
            </w:r>
          </w:p>
        </w:tc>
        <w:tc>
          <w:tcPr>
            <w:tcW w:type="dxa" w:w="2948"/>
          </w:tcPr>
          <w:p>
            <w:r>
              <w:t>Contribución del apoyo social</w:t>
            </w:r>
          </w:p>
        </w:tc>
        <w:tc>
          <w:tcPr>
            <w:tcW w:type="dxa" w:w="3061"/>
          </w:tcPr>
          <w:p>
            <w:r>
              <w:t>Dimensión 2 de la «receta»</w:t>
            </w:r>
          </w:p>
        </w:tc>
      </w:tr>
      <w:tr>
        <w:tc>
          <w:tcPr>
            <w:tcW w:type="dxa" w:w="3515"/>
          </w:tcPr>
          <w:p>
            <w:r>
              <w:t>Explained by: Healthy life expectancy</w:t>
            </w:r>
          </w:p>
        </w:tc>
        <w:tc>
          <w:tcPr>
            <w:tcW w:type="dxa" w:w="2948"/>
          </w:tcPr>
          <w:p>
            <w:r>
              <w:t>Contribución de la esperanza de vida saludable</w:t>
            </w:r>
          </w:p>
        </w:tc>
        <w:tc>
          <w:tcPr>
            <w:tcW w:type="dxa" w:w="3061"/>
          </w:tcPr>
          <w:p>
            <w:r>
              <w:t>Dimensión 3 de la «receta»</w:t>
            </w:r>
          </w:p>
        </w:tc>
      </w:tr>
      <w:tr>
        <w:tc>
          <w:tcPr>
            <w:tcW w:type="dxa" w:w="3515"/>
          </w:tcPr>
          <w:p>
            <w:r>
              <w:t>Explained by: Freedom to make life choices</w:t>
            </w:r>
          </w:p>
        </w:tc>
        <w:tc>
          <w:tcPr>
            <w:tcW w:type="dxa" w:w="2948"/>
          </w:tcPr>
          <w:p>
            <w:r>
              <w:t>Contribución de la libertad</w:t>
            </w:r>
          </w:p>
        </w:tc>
        <w:tc>
          <w:tcPr>
            <w:tcW w:type="dxa" w:w="3061"/>
          </w:tcPr>
          <w:p>
            <w:r>
              <w:t>Dimensión 4 de la «receta»</w:t>
            </w:r>
          </w:p>
        </w:tc>
      </w:tr>
      <w:tr>
        <w:tc>
          <w:tcPr>
            <w:tcW w:type="dxa" w:w="3515"/>
          </w:tcPr>
          <w:p>
            <w:r>
              <w:t>Explained by: Generosity</w:t>
            </w:r>
          </w:p>
        </w:tc>
        <w:tc>
          <w:tcPr>
            <w:tcW w:type="dxa" w:w="2948"/>
          </w:tcPr>
          <w:p>
            <w:r>
              <w:t>Contribución de la generosidad</w:t>
            </w:r>
          </w:p>
        </w:tc>
        <w:tc>
          <w:tcPr>
            <w:tcW w:type="dxa" w:w="3061"/>
          </w:tcPr>
          <w:p>
            <w:r>
              <w:t>Dimensión 5 de la «receta»</w:t>
            </w:r>
          </w:p>
        </w:tc>
      </w:tr>
      <w:tr>
        <w:tc>
          <w:tcPr>
            <w:tcW w:type="dxa" w:w="3515"/>
          </w:tcPr>
          <w:p>
            <w:r>
              <w:t>Explained by: Perceptions of corruption</w:t>
            </w:r>
          </w:p>
        </w:tc>
        <w:tc>
          <w:tcPr>
            <w:tcW w:type="dxa" w:w="2948"/>
          </w:tcPr>
          <w:p>
            <w:r>
              <w:t>Contribución de la percepción de corrupción</w:t>
            </w:r>
          </w:p>
        </w:tc>
        <w:tc>
          <w:tcPr>
            <w:tcW w:type="dxa" w:w="3061"/>
          </w:tcPr>
          <w:p>
            <w:r>
              <w:t>Dimensión 6 de la «receta»</w:t>
            </w:r>
          </w:p>
        </w:tc>
      </w:tr>
      <w:tr>
        <w:tc>
          <w:tcPr>
            <w:tcW w:type="dxa" w:w="3515"/>
          </w:tcPr>
          <w:p>
            <w:r>
              <w:t>Dystopia + residual</w:t>
            </w:r>
          </w:p>
        </w:tc>
        <w:tc>
          <w:tcPr>
            <w:tcW w:type="dxa" w:w="2948"/>
          </w:tcPr>
          <w:p>
            <w:r>
              <w:t>Componente residual no explicado</w:t>
            </w:r>
          </w:p>
        </w:tc>
        <w:tc>
          <w:tcPr>
            <w:tcW w:type="dxa" w:w="3061"/>
          </w:tcPr>
          <w:p>
            <w:r>
              <w:t>Eje central de la subpregunta 2</w:t>
            </w:r>
          </w:p>
        </w:tc>
      </w:tr>
    </w:tbl>
    <w:p/>
    <w:p>
      <w:r>
        <w:rPr>
          <w:b/>
        </w:rPr>
        <w:t xml:space="preserve">Criterio de selección: </w:t>
      </w:r>
      <w:r>
        <w:t>se emplean las variables numéricas disponibles en el archivo oficial WHR24_Data_Figure_2.1.xls. No se crearán indicadores derivados salvo la clasificación en terciles del ladder score (pandas qcut, q=3), cuyo criterio se documentará en el notebook. Los tres países con valores faltantes (Bahrain, Tajikistan y State of Palestine) se conservarán y se excluirán explícitamente solo en las visualizaciones que lo requieran.</w:t>
      </w:r>
    </w:p>
    <w:p>
      <w:pPr>
        <w:pStyle w:val="Heading1"/>
      </w:pPr>
      <w:r>
        <w:t>4. Plan de visualizaciones (anteproyecto)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74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762"/>
          </w:tcPr>
          <w:p>
            <w:r/>
            <w:r>
              <w:rPr>
                <w:b/>
              </w:rPr>
              <w:t>Visualización</w:t>
            </w:r>
          </w:p>
        </w:tc>
        <w:tc>
          <w:tcPr>
            <w:tcW w:type="dxa" w:w="3288"/>
          </w:tcPr>
          <w:p>
            <w:r/>
            <w:r>
              <w:rPr>
                <w:b/>
              </w:rPr>
              <w:t>Propósito analítico</w:t>
            </w:r>
          </w:p>
        </w:tc>
      </w:tr>
      <w:tr>
        <w:tc>
          <w:tcPr>
            <w:tcW w:type="dxa" w:w="1474"/>
          </w:tcPr>
          <w:p>
            <w:r>
              <w:t>Seaborn 1</w:t>
            </w:r>
          </w:p>
        </w:tc>
        <w:tc>
          <w:tcPr>
            <w:tcW w:type="dxa" w:w="4762"/>
          </w:tcPr>
          <w:p>
            <w:r>
              <w:t>Distribución del ladder score y del residual</w:t>
            </w:r>
          </w:p>
        </w:tc>
        <w:tc>
          <w:tcPr>
            <w:tcW w:type="dxa" w:w="3288"/>
          </w:tcPr>
          <w:p>
            <w:r>
              <w:t>Forma global y extremos</w:t>
            </w:r>
          </w:p>
        </w:tc>
      </w:tr>
      <w:tr>
        <w:tc>
          <w:tcPr>
            <w:tcW w:type="dxa" w:w="1474"/>
          </w:tcPr>
          <w:p>
            <w:r>
              <w:t>Seaborn 2</w:t>
            </w:r>
          </w:p>
        </w:tc>
        <w:tc>
          <w:tcPr>
            <w:tcW w:type="dxa" w:w="4762"/>
          </w:tcPr>
          <w:p>
            <w:r>
              <w:t>Boxplot de los 6 indicadores por tercil de bienestar</w:t>
            </w:r>
          </w:p>
        </w:tc>
        <w:tc>
          <w:tcPr>
            <w:tcW w:type="dxa" w:w="3288"/>
          </w:tcPr>
          <w:p>
            <w:r>
              <w:t>Comparación de «recetas»</w:t>
            </w:r>
          </w:p>
        </w:tc>
      </w:tr>
      <w:tr>
        <w:tc>
          <w:tcPr>
            <w:tcW w:type="dxa" w:w="1474"/>
          </w:tcPr>
          <w:p>
            <w:r>
              <w:t>Seaborn 3</w:t>
            </w:r>
          </w:p>
        </w:tc>
        <w:tc>
          <w:tcPr>
            <w:tcW w:type="dxa" w:w="4762"/>
          </w:tcPr>
          <w:p>
            <w:r>
              <w:t>Heatmap: composición relativa (%) de indicadores por grupo</w:t>
            </w:r>
          </w:p>
        </w:tc>
        <w:tc>
          <w:tcPr>
            <w:tcW w:type="dxa" w:w="3288"/>
          </w:tcPr>
          <w:p>
            <w:r>
              <w:t>Perfil de receta por grupo</w:t>
            </w:r>
          </w:p>
        </w:tc>
      </w:tr>
      <w:tr>
        <w:tc>
          <w:tcPr>
            <w:tcW w:type="dxa" w:w="1474"/>
          </w:tcPr>
          <w:p>
            <w:r>
              <w:t>Seaborn 4</w:t>
            </w:r>
          </w:p>
        </w:tc>
        <w:tc>
          <w:tcPr>
            <w:tcW w:type="dxa" w:w="4762"/>
          </w:tcPr>
          <w:p>
            <w:r>
              <w:t>Residual (Distopía + residual) vs. ladder score</w:t>
            </w:r>
          </w:p>
        </w:tc>
        <w:tc>
          <w:tcPr>
            <w:tcW w:type="dxa" w:w="3288"/>
          </w:tcPr>
          <w:p>
            <w:r>
              <w:t>Qué queda sin explicar</w:t>
            </w:r>
          </w:p>
        </w:tc>
      </w:tr>
      <w:tr>
        <w:tc>
          <w:tcPr>
            <w:tcW w:type="dxa" w:w="1474"/>
          </w:tcPr>
          <w:p>
            <w:r>
              <w:t>Plotly 1</w:t>
            </w:r>
          </w:p>
        </w:tc>
        <w:tc>
          <w:tcPr>
            <w:tcW w:type="dxa" w:w="4762"/>
          </w:tcPr>
          <w:p>
            <w:r>
              <w:t>Scatter interactivo: indicadores vs. ladder, tamaño = residual</w:t>
            </w:r>
          </w:p>
        </w:tc>
        <w:tc>
          <w:tcPr>
            <w:tcW w:type="dxa" w:w="3288"/>
          </w:tcPr>
          <w:p>
            <w:r>
              <w:t>Explorar atípicos con hover</w:t>
            </w:r>
          </w:p>
        </w:tc>
      </w:tr>
      <w:tr>
        <w:tc>
          <w:tcPr>
            <w:tcW w:type="dxa" w:w="1474"/>
          </w:tcPr>
          <w:p>
            <w:r>
              <w:t>Plotly 2</w:t>
            </w:r>
          </w:p>
        </w:tc>
        <w:tc>
          <w:tcPr>
            <w:tcW w:type="dxa" w:w="4762"/>
          </w:tcPr>
          <w:p>
            <w:r>
              <w:t>Barras top-15 con selector de indicador y color por tercil</w:t>
            </w:r>
          </w:p>
        </w:tc>
        <w:tc>
          <w:tcPr>
            <w:tcW w:type="dxa" w:w="3288"/>
          </w:tcPr>
          <w:p>
            <w:r>
              <w:t>Profundizar por dimensión</w:t>
            </w:r>
          </w:p>
        </w:tc>
      </w:tr>
    </w:tbl>
    <w:p/>
    <w:p>
      <w:pPr>
        <w:pStyle w:val="Heading1"/>
      </w:pPr>
      <w:r>
        <w:t>5. Coherencia esperada</w:t>
      </w:r>
    </w:p>
    <w:p>
      <w:r>
        <w:t>audiencia (unidad de investigación comparativa) ⇒ pregunta (recetas de bienestar y componente no explicado) ⇒ variables (seis indicadores + residual + ladder score) ⇒ preparación (renombre documentado, terciles, manejo de faltantes) ⇒ visualizaciones (composición por grupos, perfiles, residual, atípicos) ⇒ interpretación escrita tras cada gráfico ⇒ conclusiones (qué recetas predominan y qué queda sin explicar).</w:t>
      </w:r>
    </w:p>
    <w:p/>
    <w:p>
      <w:r>
        <w:rPr>
          <w:b/>
        </w:rPr>
        <w:t xml:space="preserve">Estado: </w:t>
      </w:r>
      <w:r>
        <w:t>☐ Borrador    ☑ Enviado para aprobación    ☐ Aprobado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