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160" w:line="264" w:lineRule="auto"/>
        <w:jc w:val="center"/>
      </w:pPr>
      <w:r>
        <w:rPr>
          <w:rFonts w:ascii="Calibri" w:hAnsi="Calibri" w:eastAsia="Microsoft YaHei"/>
          <w:b/>
          <w:color w:val="0B2545"/>
          <w:sz w:val="48"/>
        </w:rPr>
        <w:t>GeniusQ DaaS 智能问数 Demo</w:t>
      </w:r>
    </w:p>
    <w:p>
      <w:pPr>
        <w:spacing w:before="0" w:after="440" w:line="264" w:lineRule="auto"/>
        <w:jc w:val="center"/>
      </w:pPr>
      <w:r>
        <w:rPr>
          <w:rFonts w:ascii="Calibri" w:hAnsi="Calibri" w:eastAsia="Microsoft YaHei"/>
          <w:b/>
          <w:color w:val="2563A6"/>
          <w:sz w:val="40"/>
        </w:rPr>
        <w:t>实施计划书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304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1F2937"/>
                <w:sz w:val="21"/>
              </w:rPr>
              <w:t>文档版本</w:t>
            </w:r>
          </w:p>
        </w:tc>
        <w:tc>
          <w:tcPr>
            <w:tcW w:type="dxa" w:w="6336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1F2937"/>
                <w:sz w:val="21"/>
              </w:rPr>
              <w:t>V2.0</w:t>
            </w:r>
          </w:p>
        </w:tc>
      </w:tr>
      <w:tr>
        <w:tc>
          <w:tcPr>
            <w:tcW w:type="dxa" w:w="2304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1F2937"/>
                <w:sz w:val="21"/>
              </w:rPr>
              <w:t>更新日期</w:t>
            </w:r>
          </w:p>
        </w:tc>
        <w:tc>
          <w:tcPr>
            <w:tcW w:type="dxa" w:w="6336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1F2937"/>
                <w:sz w:val="21"/>
              </w:rPr>
              <w:t>2026-07-20</w:t>
            </w:r>
          </w:p>
        </w:tc>
      </w:tr>
      <w:tr>
        <w:tc>
          <w:tcPr>
            <w:tcW w:type="dxa" w:w="2304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1F2937"/>
                <w:sz w:val="21"/>
              </w:rPr>
              <w:t>适用范围</w:t>
            </w:r>
          </w:p>
        </w:tc>
        <w:tc>
          <w:tcPr>
            <w:tcW w:type="dxa" w:w="6336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1F2937"/>
                <w:sz w:val="21"/>
              </w:rPr>
              <w:t>本地 Demo 演示、实习项目交付、后续平台化开发参考</w:t>
            </w:r>
          </w:p>
        </w:tc>
      </w:tr>
      <w:tr>
        <w:tc>
          <w:tcPr>
            <w:tcW w:type="dxa" w:w="2304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fill="F2F4F7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/>
                <w:color w:val="1F2937"/>
                <w:sz w:val="21"/>
              </w:rPr>
              <w:t>项目定位</w:t>
            </w:r>
          </w:p>
        </w:tc>
        <w:tc>
          <w:tcPr>
            <w:tcW w:type="dxa" w:w="6336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icrosoft YaHei"/>
                <w:b w:val="0"/>
                <w:color w:val="1F2937"/>
                <w:sz w:val="21"/>
              </w:rPr>
              <w:t>独立全栈原型，不直接修改或合并生产平台源码</w:t>
            </w:r>
          </w:p>
        </w:tc>
      </w:tr>
    </w:tbl>
    <w:p/>
    <w:p>
      <w:pPr>
        <w:jc w:val="center"/>
      </w:pPr>
      <w:r>
        <w:rPr>
          <w:rFonts w:ascii="Calibri" w:hAnsi="Calibri" w:eastAsia="Microsoft YaHei"/>
          <w:b w:val="0"/>
          <w:color w:val="4B5563"/>
          <w:sz w:val="21"/>
        </w:rPr>
        <w:t>本文件同步当前项目功能、运行逻辑、技术架构、测试验收和后续扩展建议。</w:t>
      </w:r>
    </w:p>
    <w:p>
      <w:r>
        <w:br w:type="page"/>
      </w:r>
    </w:p>
    <w:p>
      <w:pPr>
        <w:pStyle w:val="Heading2"/>
      </w:pPr>
      <w:r>
        <w:t>1. 项目背景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color w:val="1F2937"/>
          <w:sz w:val="21"/>
        </w:rPr>
        <w:t>GeniusQ DaaS 是面向企业数据资产使用场景建设的数据平台，核心目标是让业务用户可以通过自然语言查询授权数据，并将常见 SQL、分析逻辑或脚本沉淀为可复用模型。当前 Demo 围绕“智能问数”能力构建一个可本地运行的全栈原型，用于验证自然语言问数、Text-to-SQL、知识检索增强、图表分析、仪表盘沉淀和运行配置等关键链路。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color w:val="1F2937"/>
          <w:sz w:val="21"/>
        </w:rPr>
        <w:t>本项目不接入真实生产数据库，也不修改 GeniusQ DaaS 生产源码。Demo 通过本地 SQLite 生成确定性的房价、成交、人口、通勤和知识库样例数据，复刻企业数据平台中的核心交互和工程边界，便于演示、评审和后续迁移设计。</w:t>
      </w:r>
    </w:p>
    <w:p>
      <w:pPr>
        <w:pStyle w:val="Heading2"/>
      </w:pPr>
      <w:r>
        <w:t>2. 建设目标</w:t>
      </w:r>
    </w:p>
    <w:p>
      <w:pPr>
        <w:pStyle w:val="Heading3"/>
      </w:pPr>
      <w:r>
        <w:t>2.1 产品目标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让用户可以用自然语言完成“提问 - 分析 - 图表 - 追问 - 保存看板”的完整流程。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让系统执行过程可观察：展示问题理解、上下文合并、知识检索、字段选择、SQL 生成、SQL 校验、查询执行和图表推荐等步骤。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支持 DeepSeek Text-to-SQL，同时保留本地离线规则兜底，保证无 API Key 时仍可演示。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支持数据源查看、知识库管理、仪表盘管理、历史会话管理和运行配置。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形成清晰的项目文档、README、测试用例和一键启动方式，便于交付和二次开发。</w:t>
      </w:r>
    </w:p>
    <w:p>
      <w:pPr>
        <w:pStyle w:val="Heading3"/>
      </w:pPr>
      <w:r>
        <w:t>2.2 工程目标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前后端职责清晰：React 负责交互和可视化，FastAPI 负责编排、SQL 安全、数据访问和模型调用。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后端按 api / services / repositories / domain 分层，降低业务逻辑与数据库访问耦合。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前端拆分大型页面和图表组件，降低 QueryWorkspace、DashboardWorkspace、AnalysisChart 的维护成本。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API Key 只在本地后端运行时使用，不在页面回显完整密钥，不提交到仓库。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SQL 只允许只读查询，禁止 DDL、DML、PRAGMA、ATTACH、多语句和越权表访问。</w:t>
      </w:r>
    </w:p>
    <w:p>
      <w:pPr>
        <w:pStyle w:val="Heading2"/>
      </w:pPr>
      <w:r>
        <w:t>3. 当前已实现功能</w:t>
      </w:r>
    </w:p>
    <w:p>
      <w:pPr>
        <w:pStyle w:val="Heading3"/>
      </w:pPr>
      <w:r>
        <w:t>3.1 智能问数工作台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color w:val="1F2937"/>
          <w:sz w:val="21"/>
        </w:rPr>
        <w:t>用户输入问题后，系统会创建一次分析任务，并按步骤展示执行过程。步骤会逐个出现并完成，呈现类似 Agent 工具调用的体验，但不会暴露模型隐藏推理链。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color w:val="1F2937"/>
          <w:sz w:val="21"/>
        </w:rPr>
        <w:t>已实现能力：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自然语言问数。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问题过短或条件不足时，推荐 3 个可点击问题。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多轮会话上下文继承，例如继续限定年份、区域或指标。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知识库检索增强，优先使用业务口径、字段说明和 SQL 示例。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DeepSeek Text-to-SQL 生成 SQL。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SQL 只读安全校验。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SQL 执行和结果集返回。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自动图表推荐和分析结论生成。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查询结果后的 3 个后续追问建议，避免与历史推荐重复。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历史会话自动保存，支持恢复、删除、清空；删除和清空均有二次确认。</w:t>
      </w:r>
    </w:p>
    <w:p>
      <w:pPr>
        <w:pStyle w:val="Heading3"/>
      </w:pPr>
      <w:r>
        <w:t>3.2 数据源管理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color w:val="1F2937"/>
          <w:sz w:val="21"/>
        </w:rPr>
        <w:t>数据源页面用于解释当前 Demo 可查询的数据结构，帮助用户理解“能问什么”和“每张表有哪些字段”。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color w:val="1F2937"/>
          <w:sz w:val="21"/>
        </w:rPr>
        <w:t>已实现能力：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自动读取 SQLite 表结构。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展示字段名称、含义、类型、用途、示例值。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展示样例数据。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每张表生成可点击的推荐问题，并可跳转回智能问数页面。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数据库文件集中放在后端 data/runtime 目录中，避免根目录散乱。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color w:val="1F2937"/>
          <w:sz w:val="21"/>
        </w:rPr>
        <w:t>当前演示数据表：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`house_price_monthly`：房价月度指标。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`housing_transactions`：住房成交指标。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`district_population`：区域人口指标。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`commuting_metrics`：通勤与就业指标。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`knowledge_items`：知识库条目。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`semantic_metrics`：语义指标库。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`conversations` / `messages` / `analysis_runs`：会话和分析运行状态。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`dashboards` / `dashboard_cards` / `share_links`：仪表盘和分享状态。</w:t>
      </w:r>
    </w:p>
    <w:p>
      <w:pPr>
        <w:pStyle w:val="Heading3"/>
      </w:pPr>
      <w:r>
        <w:t>3.3 知识库管理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color w:val="1F2937"/>
          <w:sz w:val="21"/>
        </w:rPr>
        <w:t>知识库用于增强 Text-to-SQL 的业务理解能力。模型生成 SQL 前，后端会检索相关知识，将业务口径、字段说明、SQL 示例等内容作为上下文。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color w:val="1F2937"/>
          <w:sz w:val="21"/>
        </w:rPr>
        <w:t>已实现能力：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私有 / 公共知识条目管理。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按标签、类型、范围筛选。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知识与数据表关系维护。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重复内容识别。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私有知识优先级覆盖。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字段同步、模型同步和冲突提示。</w:t>
      </w:r>
    </w:p>
    <w:p>
      <w:pPr>
        <w:pStyle w:val="Heading3"/>
      </w:pPr>
      <w:r>
        <w:t>3.4 DeepSeek Text-to-SQL 与离线兜底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color w:val="1F2937"/>
          <w:sz w:val="21"/>
        </w:rPr>
        <w:t>系统支持两种模型模式：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`offline`：默认模式，使用本地规则生成可演示的 SQL 和图表结果。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`deepseek`：在线模式，调用 DeepSeek API 生成 SQL。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color w:val="1F2937"/>
          <w:sz w:val="21"/>
        </w:rPr>
        <w:t>已实现能力：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页面内配置 API Key、Base URL 和 Model。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后端运行时保存配置，前端只展示脱敏 API Key。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DeepSeek 默认配置已抽离到独立配置文件，便于后续替换模型服务。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连接测试支持错误分类：缺少 Key、超时、鉴权失败、限流、网络异常、服务异常。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Text-to-SQL 失败时返回更明确的错误提示，并允许切回离线规则模式演示。</w:t>
      </w:r>
    </w:p>
    <w:p>
      <w:pPr>
        <w:pStyle w:val="Heading3"/>
      </w:pPr>
      <w:r>
        <w:t>3.5 图表和仪表盘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color w:val="1F2937"/>
          <w:sz w:val="21"/>
        </w:rPr>
        <w:t>问数结果可以保存到仪表盘，形成可持续查看的分析看板。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color w:val="1F2937"/>
          <w:sz w:val="21"/>
        </w:rPr>
        <w:t>已实现能力：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新建多个仪表盘。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仪表盘支持自定义名称和重命名。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重命名时校验空名称和重复名称。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两列看板布局。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卡片拖拽排序，并提供蓝色虚线占位提示。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图表类型切换：折线图、柱状图、饼图、散点图、堆叠柱状图、表格。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年份、区域、指标筛选器。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卡片刷新、放大、移除。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本地只读分享页。</w:t>
      </w:r>
    </w:p>
    <w:p>
      <w:pPr>
        <w:pStyle w:val="Heading3"/>
      </w:pPr>
      <w:r>
        <w:t>3.6 项目文档和测试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color w:val="1F2937"/>
          <w:sz w:val="21"/>
        </w:rPr>
        <w:t>当前项目已包含 README、设计文档、实施计划书和自动化测试。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color w:val="1F2937"/>
          <w:sz w:val="21"/>
        </w:rPr>
        <w:t>已实现验证：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后端测试覆盖 SQL Guard、会话历史、DeepSeek 错误分类、数据源、知识库、仪表盘 API。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前端测试覆盖智能问数、历史会话、图表切换、数据源推荐问题、仪表盘创建/重命名、运行配置和分享页。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前端生产构建通过。</w:t>
      </w:r>
    </w:p>
    <w:p>
      <w:pPr>
        <w:pStyle w:val="Heading2"/>
      </w:pPr>
      <w:r>
        <w:t>4. 技术架构</w:t>
      </w:r>
    </w:p>
    <w:p>
      <w:pPr>
        <w:spacing w:before="40" w:after="120" w:line="240" w:lineRule="auto"/>
      </w:pPr>
      <w:r>
        <w:rPr>
          <w:rFonts w:ascii="Consolas" w:hAnsi="Consolas" w:eastAsia="Microsoft YaHei"/>
          <w:color w:val="334155"/>
          <w:sz w:val="17"/>
        </w:rPr>
        <w:t>flowchart LR</w:t>
      </w:r>
      <w:r>
        <w:br/>
      </w:r>
      <w:r>
        <w:rPr>
          <w:rFonts w:ascii="Consolas" w:hAnsi="Consolas" w:eastAsia="Microsoft YaHei"/>
          <w:color w:val="334155"/>
          <w:sz w:val="17"/>
        </w:rPr>
        <w:t xml:space="preserve">  USER[用户自然语言问题]</w:t>
      </w:r>
      <w:r>
        <w:br/>
      </w:r>
      <w:r>
        <w:rPr>
          <w:rFonts w:ascii="Consolas" w:hAnsi="Consolas" w:eastAsia="Microsoft YaHei"/>
          <w:color w:val="334155"/>
          <w:sz w:val="17"/>
        </w:rPr>
        <w:t xml:space="preserve">  UI[React + TypeScript 前端]</w:t>
      </w:r>
      <w:r>
        <w:br/>
      </w:r>
      <w:r>
        <w:rPr>
          <w:rFonts w:ascii="Consolas" w:hAnsi="Consolas" w:eastAsia="Microsoft YaHei"/>
          <w:color w:val="334155"/>
          <w:sz w:val="17"/>
        </w:rPr>
        <w:t xml:space="preserve">  API[FastAPI REST API]</w:t>
      </w:r>
      <w:r>
        <w:br/>
      </w:r>
      <w:r>
        <w:rPr>
          <w:rFonts w:ascii="Consolas" w:hAnsi="Consolas" w:eastAsia="Microsoft YaHei"/>
          <w:color w:val="334155"/>
          <w:sz w:val="17"/>
        </w:rPr>
        <w:t xml:space="preserve">  ORCH[会话与分析编排服务]</w:t>
      </w:r>
      <w:r>
        <w:br/>
      </w:r>
      <w:r>
        <w:rPr>
          <w:rFonts w:ascii="Consolas" w:hAnsi="Consolas" w:eastAsia="Microsoft YaHei"/>
          <w:color w:val="334155"/>
          <w:sz w:val="17"/>
        </w:rPr>
        <w:t xml:space="preserve">  RAG[知识检索增强]</w:t>
      </w:r>
      <w:r>
        <w:br/>
      </w:r>
      <w:r>
        <w:rPr>
          <w:rFonts w:ascii="Consolas" w:hAnsi="Consolas" w:eastAsia="Microsoft YaHei"/>
          <w:color w:val="334155"/>
          <w:sz w:val="17"/>
        </w:rPr>
        <w:t xml:space="preserve">  LLM[DeepSeek Text-to-SQL / 离线规则]</w:t>
      </w:r>
      <w:r>
        <w:br/>
      </w:r>
      <w:r>
        <w:rPr>
          <w:rFonts w:ascii="Consolas" w:hAnsi="Consolas" w:eastAsia="Microsoft YaHei"/>
          <w:color w:val="334155"/>
          <w:sz w:val="17"/>
        </w:rPr>
        <w:t xml:space="preserve">  GUARD[只读 SQL Guard]</w:t>
      </w:r>
      <w:r>
        <w:br/>
      </w:r>
      <w:r>
        <w:rPr>
          <w:rFonts w:ascii="Consolas" w:hAnsi="Consolas" w:eastAsia="Microsoft YaHei"/>
          <w:color w:val="334155"/>
          <w:sz w:val="17"/>
        </w:rPr>
        <w:t xml:space="preserve">  DB[(SQLite Demo Database)]</w:t>
      </w:r>
      <w:r>
        <w:br/>
      </w:r>
      <w:r>
        <w:rPr>
          <w:rFonts w:ascii="Consolas" w:hAnsi="Consolas" w:eastAsia="Microsoft YaHei"/>
          <w:color w:val="334155"/>
          <w:sz w:val="17"/>
        </w:rPr>
        <w:t xml:space="preserve">  CHART[图表与仪表盘]</w:t>
      </w:r>
      <w:r>
        <w:br/>
      </w:r>
      <w:r>
        <w:rPr>
          <w:rFonts w:ascii="Consolas" w:hAnsi="Consolas" w:eastAsia="Microsoft YaHei"/>
          <w:color w:val="334155"/>
          <w:sz w:val="17"/>
        </w:rPr>
      </w:r>
      <w:r>
        <w:br/>
      </w:r>
      <w:r>
        <w:rPr>
          <w:rFonts w:ascii="Consolas" w:hAnsi="Consolas" w:eastAsia="Microsoft YaHei"/>
          <w:color w:val="334155"/>
          <w:sz w:val="17"/>
        </w:rPr>
        <w:t xml:space="preserve">  USER --&gt; UI</w:t>
      </w:r>
      <w:r>
        <w:br/>
      </w:r>
      <w:r>
        <w:rPr>
          <w:rFonts w:ascii="Consolas" w:hAnsi="Consolas" w:eastAsia="Microsoft YaHei"/>
          <w:color w:val="334155"/>
          <w:sz w:val="17"/>
        </w:rPr>
        <w:t xml:space="preserve">  UI --&gt; API</w:t>
      </w:r>
      <w:r>
        <w:br/>
      </w:r>
      <w:r>
        <w:rPr>
          <w:rFonts w:ascii="Consolas" w:hAnsi="Consolas" w:eastAsia="Microsoft YaHei"/>
          <w:color w:val="334155"/>
          <w:sz w:val="17"/>
        </w:rPr>
        <w:t xml:space="preserve">  API --&gt; ORCH</w:t>
      </w:r>
      <w:r>
        <w:br/>
      </w:r>
      <w:r>
        <w:rPr>
          <w:rFonts w:ascii="Consolas" w:hAnsi="Consolas" w:eastAsia="Microsoft YaHei"/>
          <w:color w:val="334155"/>
          <w:sz w:val="17"/>
        </w:rPr>
        <w:t xml:space="preserve">  ORCH --&gt; RAG</w:t>
      </w:r>
      <w:r>
        <w:br/>
      </w:r>
      <w:r>
        <w:rPr>
          <w:rFonts w:ascii="Consolas" w:hAnsi="Consolas" w:eastAsia="Microsoft YaHei"/>
          <w:color w:val="334155"/>
          <w:sz w:val="17"/>
        </w:rPr>
        <w:t xml:space="preserve">  ORCH --&gt; LLM</w:t>
      </w:r>
      <w:r>
        <w:br/>
      </w:r>
      <w:r>
        <w:rPr>
          <w:rFonts w:ascii="Consolas" w:hAnsi="Consolas" w:eastAsia="Microsoft YaHei"/>
          <w:color w:val="334155"/>
          <w:sz w:val="17"/>
        </w:rPr>
        <w:t xml:space="preserve">  LLM --&gt; GUARD</w:t>
      </w:r>
      <w:r>
        <w:br/>
      </w:r>
      <w:r>
        <w:rPr>
          <w:rFonts w:ascii="Consolas" w:hAnsi="Consolas" w:eastAsia="Microsoft YaHei"/>
          <w:color w:val="334155"/>
          <w:sz w:val="17"/>
        </w:rPr>
        <w:t xml:space="preserve">  GUARD --&gt; DB</w:t>
      </w:r>
      <w:r>
        <w:br/>
      </w:r>
      <w:r>
        <w:rPr>
          <w:rFonts w:ascii="Consolas" w:hAnsi="Consolas" w:eastAsia="Microsoft YaHei"/>
          <w:color w:val="334155"/>
          <w:sz w:val="17"/>
        </w:rPr>
        <w:t xml:space="preserve">  DB --&gt; ORCH</w:t>
      </w:r>
      <w:r>
        <w:br/>
      </w:r>
      <w:r>
        <w:rPr>
          <w:rFonts w:ascii="Consolas" w:hAnsi="Consolas" w:eastAsia="Microsoft YaHei"/>
          <w:color w:val="334155"/>
          <w:sz w:val="17"/>
        </w:rPr>
        <w:t xml:space="preserve">  ORCH --&gt; CHART</w:t>
      </w:r>
      <w:r>
        <w:br/>
      </w:r>
      <w:r>
        <w:rPr>
          <w:rFonts w:ascii="Consolas" w:hAnsi="Consolas" w:eastAsia="Microsoft YaHei"/>
          <w:color w:val="334155"/>
          <w:sz w:val="17"/>
        </w:rPr>
        <w:t xml:space="preserve">  CHART --&gt; UI</w:t>
      </w:r>
    </w:p>
    <w:p>
      <w:pPr>
        <w:pStyle w:val="Heading3"/>
      </w:pPr>
      <w:r>
        <w:t>4.1 前端架构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color w:val="1F2937"/>
          <w:sz w:val="21"/>
        </w:rPr>
        <w:t>前端使用 React + Vite + TypeScript，页面按业务工作区组织：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`QueryWorkspace`：智能问数主页面。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`DataSourceWorkspace`：数据源管理。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`KnowledgeWorkspace`：知识库管理。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`DashboardWorkspace`：仪表盘管理。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`SettingsWorkspace`：DeepSeek API 配置。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`SharedDashboardPage`：只读分享页。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color w:val="1F2937"/>
          <w:sz w:val="21"/>
        </w:rPr>
        <w:t>近期重构重点：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QueryWorkspace 拆出模型配置 hook、仪表盘保存 hook 和输入组件。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AnalysisChart 拆出图表类型、数据转换和图表配置。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图表样式从全局 CSS 拆出到独立样式文件。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前端模型默认配置抽离到 `frontend/src/config/modelDefaults.ts`。</w:t>
      </w:r>
    </w:p>
    <w:p>
      <w:pPr>
        <w:pStyle w:val="Heading3"/>
      </w:pPr>
      <w:r>
        <w:t>4.2 后端架构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color w:val="1F2937"/>
          <w:sz w:val="21"/>
        </w:rPr>
        <w:t>后端使用 FastAPI + SQLAlchemy，按以下层次组织：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`api/`：HTTP 路由和响应模型。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`services/`：业务流程、会话编排、知识检索、SQL 校验、仪表盘服务。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`repositories/`：数据库访问层，隔离 SQLAlchemy 查询。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`domain/`：业务域配置和模型默认配置。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`db.py`：数据库连接和 session 管理。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`seed.py`：演示数据库初始化和样例数据生成。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color w:val="1F2937"/>
          <w:sz w:val="21"/>
        </w:rPr>
        <w:t>近期重构重点：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新增 `repositories/conversations.py`，承接会话删除、清空、存在性检查等数据访问逻辑。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新增 `repositories/dashboards.py`，承接仪表盘查询、分享标识查询、名称重复校验等数据访问逻辑。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Settings API 使用更明确的响应模型，减少宽泛的 `dict[str, Any]`。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DeepSeek 调用增加超时和错误类型分类。</w:t>
      </w:r>
    </w:p>
    <w:p>
      <w:pPr>
        <w:pStyle w:val="Heading2"/>
      </w:pPr>
      <w:r>
        <w:t>5. 核心运行逻辑</w:t>
      </w:r>
    </w:p>
    <w:p>
      <w:pPr>
        <w:pStyle w:val="Heading3"/>
      </w:pPr>
      <w:r>
        <w:t>5.1 智能问数链路</w:t>
      </w:r>
    </w:p>
    <w:p>
      <w:pPr>
        <w:pStyle w:val="ListNumber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前端提交用户问题和当前会话 ID。</w:t>
      </w:r>
    </w:p>
    <w:p>
      <w:pPr>
        <w:pStyle w:val="ListNumber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后端读取历史会话上下文。</w:t>
      </w:r>
    </w:p>
    <w:p>
      <w:pPr>
        <w:pStyle w:val="ListNumber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系统判断问题是否完整；如果不完整，则返回推荐问题而不执行 SQL。</w:t>
      </w:r>
    </w:p>
    <w:p>
      <w:pPr>
        <w:pStyle w:val="ListNumber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系统检索知识库，获取相关业务口径、字段说明和 SQL 示例。</w:t>
      </w:r>
    </w:p>
    <w:p>
      <w:pPr>
        <w:pStyle w:val="ListNumber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系统选择候选数据表和字段。</w:t>
      </w:r>
    </w:p>
    <w:p>
      <w:pPr>
        <w:pStyle w:val="ListNumber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DeepSeek 或离线规则生成候选 SQL。</w:t>
      </w:r>
    </w:p>
    <w:p>
      <w:pPr>
        <w:pStyle w:val="ListNumber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SQL Guard 校验语句是否只读、是否单语句、是否访问授权表。</w:t>
      </w:r>
    </w:p>
    <w:p>
      <w:pPr>
        <w:pStyle w:val="ListNumber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校验通过后查询 SQLite。</w:t>
      </w:r>
    </w:p>
    <w:p>
      <w:pPr>
        <w:pStyle w:val="ListNumber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后端生成图表建议、分析结论和追问建议。</w:t>
      </w:r>
    </w:p>
    <w:p>
      <w:pPr>
        <w:pStyle w:val="ListNumber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前端渲染工具调用步骤、SQL、图表、结论和追问问题。</w:t>
      </w:r>
    </w:p>
    <w:p>
      <w:pPr>
        <w:pStyle w:val="ListNumber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用户可继续追问、保存到仪表盘或查看历史会话。</w:t>
      </w:r>
    </w:p>
    <w:p>
      <w:pPr>
        <w:pStyle w:val="Heading3"/>
      </w:pPr>
      <w:r>
        <w:t>5.2 仪表盘链路</w:t>
      </w:r>
    </w:p>
    <w:p>
      <w:pPr>
        <w:pStyle w:val="ListNumber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用户在问数结果中点击加入仪表盘。</w:t>
      </w:r>
    </w:p>
    <w:p>
      <w:pPr>
        <w:pStyle w:val="ListNumber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后端保存图表配置、结果数据和布局信息。</w:t>
      </w:r>
    </w:p>
    <w:p>
      <w:pPr>
        <w:pStyle w:val="ListNumber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仪表盘页面读取看板和卡片列表。</w:t>
      </w:r>
    </w:p>
    <w:p>
      <w:pPr>
        <w:pStyle w:val="ListNumber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用户可切换图表类型、拖拽排序、筛选、刷新、放大或删除卡片。</w:t>
      </w:r>
    </w:p>
    <w:p>
      <w:pPr>
        <w:pStyle w:val="ListNumber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分享时后端生成分享标识，前端打开只读分享页。</w:t>
      </w:r>
    </w:p>
    <w:p>
      <w:pPr>
        <w:pStyle w:val="Heading3"/>
      </w:pPr>
      <w:r>
        <w:t>5.3 DeepSeek 配置链路</w:t>
      </w:r>
    </w:p>
    <w:p>
      <w:pPr>
        <w:pStyle w:val="ListNumber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用户在运行配置页输入 API Key、Base URL、Model。</w:t>
      </w:r>
    </w:p>
    <w:p>
      <w:pPr>
        <w:pStyle w:val="ListNumber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前端提交给本地后端，后端保存运行时配置。</w:t>
      </w:r>
    </w:p>
    <w:p>
      <w:pPr>
        <w:pStyle w:val="ListNumber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前端只展示脱敏后的 API Key。</w:t>
      </w:r>
    </w:p>
    <w:p>
      <w:pPr>
        <w:pStyle w:val="ListNumber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测试连接时，后端调用 DeepSeek API 并分类错误。</w:t>
      </w:r>
    </w:p>
    <w:p>
      <w:pPr>
        <w:pStyle w:val="ListNumber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智能问数时，如果 DeepSeek 可用则调用在线模型，否则使用离线规则兜底。</w:t>
      </w:r>
    </w:p>
    <w:p>
      <w:pPr>
        <w:pStyle w:val="Heading2"/>
      </w:pPr>
      <w:r>
        <w:t>6. 数据与安全设计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演示数据为本地生成的虚构数据，不接入生产库。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SQL 只允许 `SELECT` / `WITH`。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禁止 DDL、DML、PRAGMA、ATTACH、多语句。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查询表必须在白名单内。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查询结果有行数上限，避免页面过载。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API Key 不写入 README，不提交 `.env`。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前端不保存完整 API Key。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删除历史会话和清空历史会话均需要二次确认。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仪表盘重命名需要校验空名和重名。</w:t>
      </w:r>
    </w:p>
    <w:p>
      <w:pPr>
        <w:pStyle w:val="Heading2"/>
      </w:pPr>
      <w:r>
        <w:t>7. 本地运行方式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color w:val="1F2937"/>
          <w:sz w:val="21"/>
        </w:rPr>
        <w:t>推荐在项目根目录执行：</w:t>
      </w:r>
    </w:p>
    <w:p>
      <w:pPr>
        <w:spacing w:before="40" w:after="120" w:line="240" w:lineRule="auto"/>
      </w:pPr>
      <w:r>
        <w:rPr>
          <w:rFonts w:ascii="Consolas" w:hAnsi="Consolas" w:eastAsia="Microsoft YaHei"/>
          <w:color w:val="334155"/>
          <w:sz w:val="17"/>
        </w:rPr>
        <w:t>powershell -ExecutionPolicy Bypass -File .\start-demo.ps1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color w:val="1F2937"/>
          <w:sz w:val="21"/>
        </w:rPr>
        <w:t>也可以分开启动：</w:t>
      </w:r>
    </w:p>
    <w:p>
      <w:pPr>
        <w:spacing w:before="40" w:after="120" w:line="240" w:lineRule="auto"/>
      </w:pPr>
      <w:r>
        <w:rPr>
          <w:rFonts w:ascii="Consolas" w:hAnsi="Consolas" w:eastAsia="Microsoft YaHei"/>
          <w:color w:val="334155"/>
          <w:sz w:val="17"/>
        </w:rPr>
        <w:t>python -m uvicorn backend.app.main:app --reload --port 8000</w:t>
      </w:r>
      <w:r>
        <w:br/>
      </w:r>
      <w:r>
        <w:rPr>
          <w:rFonts w:ascii="Consolas" w:hAnsi="Consolas" w:eastAsia="Microsoft YaHei"/>
          <w:color w:val="334155"/>
          <w:sz w:val="17"/>
        </w:rPr>
        <w:t>npm --prefix frontend install</w:t>
      </w:r>
      <w:r>
        <w:br/>
      </w:r>
      <w:r>
        <w:rPr>
          <w:rFonts w:ascii="Consolas" w:hAnsi="Consolas" w:eastAsia="Microsoft YaHei"/>
          <w:color w:val="334155"/>
          <w:sz w:val="17"/>
        </w:rPr>
        <w:t>npm --prefix frontend run dev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color w:val="1F2937"/>
          <w:sz w:val="21"/>
        </w:rPr>
        <w:t>访问地址：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前端：http://127.0.0.1:5173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后端 API：http://127.0.0.1:8000</w:t>
      </w:r>
    </w:p>
    <w:p>
      <w:pPr>
        <w:pStyle w:val="Heading2"/>
      </w:pPr>
      <w:r>
        <w:t>8. 测试与验收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color w:val="1F2937"/>
          <w:sz w:val="21"/>
        </w:rPr>
        <w:t>当前推荐测试命令：</w:t>
      </w:r>
    </w:p>
    <w:p>
      <w:pPr>
        <w:spacing w:before="40" w:after="120" w:line="240" w:lineRule="auto"/>
      </w:pPr>
      <w:r>
        <w:rPr>
          <w:rFonts w:ascii="Consolas" w:hAnsi="Consolas" w:eastAsia="Microsoft YaHei"/>
          <w:color w:val="334155"/>
          <w:sz w:val="17"/>
        </w:rPr>
        <w:t>python -m pytest backend/tests -q</w:t>
      </w:r>
      <w:r>
        <w:br/>
      </w:r>
      <w:r>
        <w:rPr>
          <w:rFonts w:ascii="Consolas" w:hAnsi="Consolas" w:eastAsia="Microsoft YaHei"/>
          <w:color w:val="334155"/>
          <w:sz w:val="17"/>
        </w:rPr>
        <w:t>npm --prefix frontend run test:run</w:t>
      </w:r>
      <w:r>
        <w:br/>
      </w:r>
      <w:r>
        <w:rPr>
          <w:rFonts w:ascii="Consolas" w:hAnsi="Consolas" w:eastAsia="Microsoft YaHei"/>
          <w:color w:val="334155"/>
          <w:sz w:val="17"/>
        </w:rPr>
        <w:t>npm --prefix frontend run build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color w:val="1F2937"/>
          <w:sz w:val="21"/>
        </w:rPr>
        <w:t>人工验收建议：</w:t>
      </w:r>
    </w:p>
    <w:p>
      <w:pPr>
        <w:pStyle w:val="ListNumber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打开智能问数页面，输入简单问题，确认系统推荐 3 个可问问题。</w:t>
      </w:r>
    </w:p>
    <w:p>
      <w:pPr>
        <w:pStyle w:val="ListNumber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输入完整问题，例如“分析 2025 年各区平均房价”，确认出现逐步工具调用过程、SQL、图表和结论。</w:t>
      </w:r>
    </w:p>
    <w:p>
      <w:pPr>
        <w:pStyle w:val="ListNumber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连续追问“只看海淀区”，确认继承前文年份和指标。</w:t>
      </w:r>
    </w:p>
    <w:p>
      <w:pPr>
        <w:pStyle w:val="ListNumber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在结果中切换折线图、柱状图、饼图、散点图、堆叠柱状图和表格。</w:t>
      </w:r>
    </w:p>
    <w:p>
      <w:pPr>
        <w:pStyle w:val="ListNumber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将图表加入仪表盘，确认刷新后仍存在。</w:t>
      </w:r>
    </w:p>
    <w:p>
      <w:pPr>
        <w:pStyle w:val="ListNumber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新建仪表盘并重命名，确认空名和重复名会被拦截。</w:t>
      </w:r>
    </w:p>
    <w:p>
      <w:pPr>
        <w:pStyle w:val="ListNumber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拖拽仪表盘卡片，确认蓝色虚线占位框出现并保存新顺序。</w:t>
      </w:r>
    </w:p>
    <w:p>
      <w:pPr>
        <w:pStyle w:val="ListNumber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打开数据源页面，确认表结构和推荐问题可用。</w:t>
      </w:r>
    </w:p>
    <w:p>
      <w:pPr>
        <w:pStyle w:val="ListNumber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打开知识库页面，确认筛选、同步和冲突提示可用。</w:t>
      </w:r>
    </w:p>
    <w:p>
      <w:pPr>
        <w:pStyle w:val="ListNumber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打开运行配置页，测试 DeepSeek API 成功或失败分类提示。</w:t>
      </w:r>
    </w:p>
    <w:p>
      <w:pPr>
        <w:pStyle w:val="ListNumber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删除单条历史会话或清空全部历史，确认出现二次确认。</w:t>
      </w:r>
    </w:p>
    <w:p>
      <w:pPr>
        <w:pStyle w:val="Heading2"/>
      </w:pPr>
      <w:r>
        <w:t>9. 后续扩展建议</w:t>
      </w:r>
    </w:p>
    <w:p>
      <w:pPr>
        <w:pStyle w:val="Heading3"/>
      </w:pPr>
      <w:r>
        <w:t>9.1 模型与智能体能力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增加模型提供商适配层，支持 OpenAI、DeepSeek、通义、私有大模型等。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引入更严格的结构化输出协议，降低 SQL 生成不稳定性。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增加 SQL 自动修复次数限制和失败归因。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将工具调用轨迹进一步标准化，支持导出审计报告。</w:t>
      </w:r>
    </w:p>
    <w:p>
      <w:pPr>
        <w:pStyle w:val="Heading3"/>
      </w:pPr>
      <w:r>
        <w:t>9.2 数据和知识治理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增加数据表权限、字段权限和租户隔离。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支持真实元数据中心接入。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支持知识版本管理、发布审核和回滚。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支持定时同步任务和同步差异对比。</w:t>
      </w:r>
    </w:p>
    <w:p>
      <w:pPr>
        <w:pStyle w:val="Heading3"/>
      </w:pPr>
      <w:r>
        <w:t>9.3 图表和仪表盘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增加多图联动。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支持仪表盘导出 PNG / PDF。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支持分享页刷新数据和访问权限控制。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支持更多业务模板看板。</w:t>
      </w:r>
    </w:p>
    <w:p>
      <w:pPr>
        <w:pStyle w:val="Heading3"/>
      </w:pPr>
      <w:r>
        <w:t>9.4 工程质量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继续拆分大型前端页面和全局样式。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后端进一步减少宽泛响应类型，统一 API schema。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增加端到端测试和浏览器截图回归。</w:t>
      </w:r>
    </w:p>
    <w:p>
      <w:pPr>
        <w:pStyle w:val="ListBullet"/>
        <w:spacing w:before="0" w:after="80" w:line="269" w:lineRule="auto"/>
      </w:pPr>
      <w:r>
        <w:rPr>
          <w:rFonts w:ascii="Calibri" w:hAnsi="Calibri" w:eastAsia="Microsoft YaHei"/>
          <w:b w:val="0"/>
          <w:color w:val="1F2937"/>
          <w:sz w:val="21"/>
        </w:rPr>
        <w:t>增加 CI 流程，自动运行后端测试、前端测试和构建。</w:t>
      </w:r>
    </w:p>
    <w:p>
      <w:pPr>
        <w:pStyle w:val="Heading2"/>
      </w:pPr>
      <w:r>
        <w:t>10. 结论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color w:val="1F2937"/>
          <w:sz w:val="21"/>
        </w:rPr>
        <w:t>当前 Demo 已经从早期静态演示升级为具备真实后端编排、DeepSeek Text-to-SQL、知识检索增强、SQL 安全校验、图表分析、仪表盘沉淀和运行配置能力的本地全栈原型。它能够较完整地展示智能问数产品的核心体验，同时保留了工程上的安全边界和可扩展结构。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color w:val="1F2937"/>
          <w:sz w:val="21"/>
        </w:rPr>
        <w:t>后续如果进入真实平台集成阶段，建议以当前 Demo 的接口、测试和交互为参考，逐步替换本地 SQLite、离线规则和演示数据，接入真实数据权限、统一认证、元数据中心和生产级模型服务。</w:t>
      </w:r>
    </w:p>
    <w:sectPr w:rsidR="00FC693F" w:rsidRPr="0006063C" w:rsidSect="00034616">
      <w:footerReference w:type="default" r:id="rId9"/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b w:val="0"/>
        <w:color w:val="64748B"/>
        <w:sz w:val="17"/>
      </w:rPr>
      <w:t>GeniusQ DaaS Intelligent Query Demo · Implementation Plan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563A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