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B2545"/>
          <w:sz w:val="44"/>
        </w:rPr>
        <w:t>GeniusQ DaaS Platform 智能问数优化实施计划书</w:t>
      </w:r>
    </w:p>
    <w:p>
      <w:pPr>
        <w:spacing w:after="240"/>
        <w:jc w:val="center"/>
      </w:pPr>
      <w:r>
        <w:rPr>
          <w:color w:val="667085"/>
          <w:sz w:val="18"/>
        </w:rPr>
        <w:t>文档版本：V1.0 | 编制日期：2026-07-14 | 适用范围：实习交付评审、本地 Demo 演示、后续真实平台集成评估</w:t>
      </w:r>
    </w:p>
    <w:p>
      <w:pPr>
        <w:pStyle w:val="Heading1"/>
      </w:pPr>
      <w:r>
        <w:t>1. 项目背景</w:t>
      </w:r>
    </w:p>
    <w:p>
      <w:r>
        <w:t>GeniusQ DaaS Platform 是公司面向数据资产使用场景建设的平台，能够基于授权数据生成智能问数助手，并支持将用户 SQL 或 Python 脚本沉淀为可复用模型。现有“智能问数优化需求 0714”聚焦三个方向：让分析过程可理解、让追问与图表形成连续工作流、让知识与数据表之间建立可管理的关联。</w:t>
      </w:r>
    </w:p>
    <w:p>
      <w:r>
        <w:t>本项目交付两类成果：一份可用于产品和研发评审的实施计划书；一个不修改 GeniusQ DaaS Platform 源码、可在 Windows 本地运行的全栈 Demo。Demo 使用确定性样例数据复刻平台信息架构与关键交互，用于证明需求具备工程可行性，并为后续真实平台改造提供接口和验收基线。</w:t>
      </w:r>
    </w:p>
    <w:p>
      <w:pPr>
        <w:pStyle w:val="Heading1"/>
      </w:pPr>
      <w:r>
        <w:t>2. 现状问题</w:t>
      </w:r>
    </w:p>
    <w:p>
      <w:pPr>
        <w:pStyle w:val="ListNumber"/>
      </w:pPr>
      <w:r>
        <w:t>过程不透明：用户只看到结果，难以确认使用了哪些表、字段、模型/Skill、时间范围和安全规则。</w:t>
      </w:r>
    </w:p>
    <w:p>
      <w:pPr>
        <w:pStyle w:val="ListNumber"/>
      </w:pPr>
      <w:r>
        <w:t>问题不完整时缺少引导：时间、区域或指标缺失会导致回答不稳定，缺少可直接点击的补全问题。</w:t>
      </w:r>
    </w:p>
    <w:p>
      <w:pPr>
        <w:pStyle w:val="ListNumber"/>
      </w:pPr>
      <w:r>
        <w:t>分析链路易中断：多轮上下文、推荐追问、图表切换、仪表盘保存和分享尚未形成闭环。</w:t>
      </w:r>
    </w:p>
    <w:p>
      <w:pPr>
        <w:pStyle w:val="ListNumber"/>
      </w:pPr>
      <w:r>
        <w:t>知识治理不足：相同知识可能重复入库，公开/私有冲突缺少明确优先级，文本/SQL 与数据表关系不够直观。</w:t>
      </w:r>
    </w:p>
    <w:p>
      <w:pPr>
        <w:pStyle w:val="ListNumber"/>
      </w:pPr>
      <w:r>
        <w:t>同步与删除缺少审计：手动同步、定时同步、结构变化和删除联动的影响范围需要可预览、可追溯。</w:t>
      </w:r>
    </w:p>
    <w:p>
      <w:pPr>
        <w:pStyle w:val="ListNumber"/>
      </w:pPr>
      <w:r>
        <w:t>多源问题缺少统一编排：涉及房价、人口、通勤等多源数据时，需要拆分多个只读查询，再按共同维度汇总。</w:t>
      </w:r>
    </w:p>
    <w:p>
      <w:pPr>
        <w:pStyle w:val="Heading1"/>
      </w:pPr>
      <w:r>
        <w:t>3. 建设目标</w:t>
      </w:r>
    </w:p>
    <w:p>
      <w:pPr>
        <w:pStyle w:val="Heading2"/>
      </w:pPr>
      <w:r>
        <w:t>3.1 产品目标</w:t>
      </w:r>
    </w:p>
    <w:p>
      <w:pPr>
        <w:pStyle w:val="ListBullet"/>
      </w:pPr>
      <w:r>
        <w:t>将“问问题—补全条件—执行分析—解释结果—继续追问—保存分享”串成完整旅程。</w:t>
      </w:r>
    </w:p>
    <w:p>
      <w:pPr>
        <w:pStyle w:val="ListBullet"/>
      </w:pPr>
      <w:r>
        <w:t>用可审计业务步骤替代黑盒展示，不暴露模型隐藏链路推理。</w:t>
      </w:r>
    </w:p>
    <w:p>
      <w:pPr>
        <w:pStyle w:val="ListBullet"/>
      </w:pPr>
      <w:r>
        <w:t>建立知识条目、SQL 模型、标签、数据表和同步日志之间的可视化关系。</w:t>
      </w:r>
    </w:p>
    <w:p>
      <w:pPr>
        <w:pStyle w:val="ListBullet"/>
      </w:pPr>
      <w:r>
        <w:t>用需求编号贯穿页面、API、自动化测试与演示脚本，降低评审沟通成本。</w:t>
      </w:r>
    </w:p>
    <w:p>
      <w:pPr>
        <w:pStyle w:val="Heading2"/>
      </w:pPr>
      <w:r>
        <w:t>3.2 工程目标</w:t>
      </w:r>
    </w:p>
    <w:p>
      <w:pPr>
        <w:pStyle w:val="ListBullet"/>
      </w:pPr>
      <w:r>
        <w:t>默认 LLM_MODE=offline，在无网络、无密钥条件下稳定重复演示。</w:t>
      </w:r>
    </w:p>
    <w:p>
      <w:pPr>
        <w:pStyle w:val="ListBullet"/>
      </w:pPr>
      <w:r>
        <w:t>只允许单条 SELECT/WITH，限制授权表与 500 行返回上限。</w:t>
      </w:r>
    </w:p>
    <w:p>
      <w:pPr>
        <w:pStyle w:val="ListBullet"/>
      </w:pPr>
      <w:r>
        <w:t>所有会话、分析、知识、同步和仪表盘状态落本地 SQLite。</w:t>
      </w:r>
    </w:p>
    <w:p>
      <w:pPr>
        <w:pStyle w:val="ListBullet"/>
      </w:pPr>
      <w:r>
        <w:t>保留 OpenAI 兼容模型接入边界，浏览器永不接触模型密钥。</w:t>
      </w:r>
    </w:p>
    <w:p>
      <w:pPr>
        <w:pStyle w:val="Heading2"/>
      </w:pPr>
      <w:r>
        <w:t>3.3 成功指标</w:t>
      </w:r>
    </w:p>
    <w:p>
      <w:pPr>
        <w:pStyle w:val="ListBullet"/>
      </w:pPr>
      <w:r>
        <w:t>15 个原始需求均能在“需求映射”页定位到页面与验收动作。</w:t>
      </w:r>
    </w:p>
    <w:p>
      <w:pPr>
        <w:pStyle w:val="ListBullet"/>
      </w:pPr>
      <w:r>
        <w:t>五条端到端旅程可自动运行，后端、前端单元测试全部通过。</w:t>
      </w:r>
    </w:p>
    <w:p>
      <w:pPr>
        <w:pStyle w:val="ListBullet"/>
      </w:pPr>
      <w:r>
        <w:t>本地首次启动只需一个 PowerShell 命令，健康检查在 30 秒内完成（依赖下载时间除外）。</w:t>
      </w:r>
    </w:p>
    <w:p>
      <w:pPr>
        <w:pStyle w:val="ListBullet"/>
      </w:pPr>
      <w:r>
        <w:t>非法 SQL、重复知识和未确认的数据表删除均被明确拒绝，并返回可执行建议。</w:t>
      </w:r>
    </w:p>
    <w:p>
      <w:pPr>
        <w:pStyle w:val="Heading1"/>
      </w:pPr>
      <w:r>
        <w:t>4. 需求范围</w:t>
      </w:r>
    </w:p>
    <w:p>
      <w:pPr>
        <w:pStyle w:val="Heading2"/>
      </w:pPr>
      <w:r>
        <w:t>4.1 本期范围</w:t>
      </w:r>
    </w:p>
    <w:p>
      <w:pPr>
        <w:pStyle w:val="ListBullet"/>
      </w:pPr>
      <w:r>
        <w:t>智能问数：2.1-a、2.1-b、2.1-c、2.2、2.3、2.4-a、2.4-b、2.5。</w:t>
      </w:r>
    </w:p>
    <w:p>
      <w:pPr>
        <w:pStyle w:val="ListBullet"/>
      </w:pPr>
      <w:r>
        <w:t>仪表盘：2.6。</w:t>
      </w:r>
    </w:p>
    <w:p>
      <w:pPr>
        <w:pStyle w:val="ListBullet"/>
      </w:pPr>
      <w:r>
        <w:t>知识库管理：3.2、3.3、3.4-a、3.4-b、3.4-c。</w:t>
      </w:r>
    </w:p>
    <w:p>
      <w:pPr>
        <w:pStyle w:val="ListBullet"/>
      </w:pPr>
      <w:r>
        <w:t>多源知识学习与多 SQL 汇总：5。</w:t>
      </w:r>
    </w:p>
    <w:p>
      <w:pPr>
        <w:pStyle w:val="ListBullet"/>
      </w:pPr>
      <w:r>
        <w:t>完整平台外壳、需求追踪页、本地样例数据、自动化测试和一键启动。</w:t>
      </w:r>
    </w:p>
    <w:p>
      <w:pPr>
        <w:pStyle w:val="Heading2"/>
      </w:pPr>
      <w:r>
        <w:t>4.2 非目标</w:t>
      </w:r>
    </w:p>
    <w:p>
      <w:pPr>
        <w:pStyle w:val="ListBullet"/>
      </w:pPr>
      <w:r>
        <w:t>不修改、合并或发布公司 GeniusQ DaaS Platform 生产源码。</w:t>
      </w:r>
    </w:p>
    <w:p>
      <w:pPr>
        <w:pStyle w:val="ListBullet"/>
      </w:pPr>
      <w:r>
        <w:t>不接入生产数据库、真实账号、统一认证或多人实时协作。</w:t>
      </w:r>
    </w:p>
    <w:p>
      <w:pPr>
        <w:pStyle w:val="ListBullet"/>
      </w:pPr>
      <w:r>
        <w:t>不执行写入型 SQL，不运行用户 Python 脚本，不实现真实定时调度器。</w:t>
      </w:r>
    </w:p>
    <w:p>
      <w:pPr>
        <w:pStyle w:val="ListBullet"/>
      </w:pPr>
      <w:r>
        <w:t>“模拟定时同步”仅复用真实同步服务入口并写入审计日志，不声明已部署生产调度。</w:t>
      </w:r>
    </w:p>
    <w:p>
      <w:pPr>
        <w:pStyle w:val="Heading1"/>
      </w:pPr>
      <w:r>
        <w:t>5. 总体方案</w:t>
      </w:r>
    </w:p>
    <w:p>
      <w:r>
        <w:t>采用“独立全栈 Demo + 需求追踪矩阵”的方案：React/TypeScript 负责平台壳与交互，FastAPI 负责会话编排和领域规则，SQLite 同时保存样例业务数据与应用状态。</w:t>
      </w:r>
    </w:p>
    <w:p>
      <w:r>
        <w:t>与 Streamlit 单体方案相比，该方案能更准确复刻 DAAS 导航、工作台和卡片交互；与纯前端静态稿相比，它能真实验证 SQL 安全、会话持久化、知识查重、同步审计、删除联动和仪表盘布局保存。</w:t>
      </w:r>
    </w:p>
    <w:p>
      <w:r>
        <w:t>本地 Demo 已完成：独立分支中已经实现并自动验证核心页面与 API。真实平台集成建议：以本计划的四周排期为参考，在公司代码库中逐模块接入，而不是直接复制 Demo 的样例数据和本地身份假设。</w:t>
      </w:r>
    </w:p>
    <w:p>
      <w:pPr>
        <w:pStyle w:val="Heading1"/>
      </w:pPr>
      <w:r>
        <w:t>6. 功能方案</w:t>
      </w:r>
    </w:p>
    <w:p>
      <w:pPr>
        <w:pStyle w:val="Heading2"/>
      </w:pPr>
      <w:r>
        <w:t>6.1 智能问数工作台</w:t>
      </w:r>
    </w:p>
    <w:p>
      <w:pPr>
        <w:pStyle w:val="ListNumber"/>
      </w:pPr>
      <w:r>
        <w:t>创建会话并保存时间、区域、指标上下文。</w:t>
      </w:r>
    </w:p>
    <w:p>
      <w:pPr>
        <w:pStyle w:val="ListNumber"/>
      </w:pPr>
      <w:r>
        <w:t>对“分析房价”等不完整问题返回三条补全建议，不生成 SQL（2.2）。</w:t>
      </w:r>
    </w:p>
    <w:p>
      <w:pPr>
        <w:pStyle w:val="ListNumber"/>
      </w:pPr>
      <w:r>
        <w:t>完整问题展示意图确认、数据表/字段选择、Skill 调用、SQL 校验执行和结果生成（2.1-a、2.1-b、2.1-c）。</w:t>
      </w:r>
    </w:p>
    <w:p>
      <w:pPr>
        <w:pStyle w:val="ListNumber"/>
      </w:pPr>
      <w:r>
        <w:t>输出来源、更新时间、置信度、字段、只读 SQL、表格/图表、最大值、趋势和异常提示（2.4-a、2.4-b）。</w:t>
      </w:r>
    </w:p>
    <w:p>
      <w:pPr>
        <w:pStyle w:val="ListNumber"/>
      </w:pPr>
      <w:r>
        <w:t>支持连续追问与显式覆盖上下文（2.3），并给出下一步推荐问题（2.5）。</w:t>
      </w:r>
    </w:p>
    <w:p>
      <w:pPr>
        <w:pStyle w:val="ListNumber"/>
      </w:pPr>
      <w:r>
        <w:t>将当前图表保存到仪表盘（2.6）。</w:t>
      </w:r>
    </w:p>
    <w:p>
      <w:pPr>
        <w:pStyle w:val="Heading2"/>
      </w:pPr>
      <w:r>
        <w:t>6.2 多源分析</w:t>
      </w:r>
    </w:p>
    <w:p>
      <w:r>
        <w:t>对于“房价上涨是否与人口和通勤相关”等问题，规划器生成房产子查询与人口通勤子查询，分别通过相同 SQL 安全防线，按行政区对齐后给出综合解释，同时提示“相关不等于因果”（5）。</w:t>
      </w:r>
    </w:p>
    <w:p>
      <w:pPr>
        <w:pStyle w:val="Heading2"/>
      </w:pPr>
      <w:r>
        <w:t>6.3 知识库管理</w:t>
      </w:r>
    </w:p>
    <w:p>
      <w:pPr>
        <w:pStyle w:val="ListBullet"/>
      </w:pPr>
      <w:r>
        <w:t>以规范化内容、SQL 和关联表生成 SHA-256 指纹；同库重复返回冲突，跨库允许共存（3.2）。</w:t>
      </w:r>
    </w:p>
    <w:p>
      <w:pPr>
        <w:pStyle w:val="ListBullet"/>
      </w:pPr>
      <w:r>
        <w:t>私有知识覆盖匹配的公开知识，同时保留两条记录和覆盖关系（3.2）。</w:t>
      </w:r>
    </w:p>
    <w:p>
      <w:pPr>
        <w:pStyle w:val="ListBullet"/>
      </w:pPr>
      <w:r>
        <w:t>支持关键词、类型、范围和标签组合筛选（3.4-a）。</w:t>
      </w:r>
    </w:p>
    <w:p>
      <w:pPr>
        <w:pStyle w:val="ListBullet"/>
      </w:pPr>
      <w:r>
        <w:t>文本/SQL 条目展示关联数据表；SQL 自动抽取 FROM/JOIN 表名，并保存结构状态（3.4-b、3.4-c）。</w:t>
      </w:r>
    </w:p>
    <w:p>
      <w:pPr>
        <w:pStyle w:val="ListBullet"/>
      </w:pPr>
      <w:r>
        <w:t>手动同步和模拟定时同步共用服务，写入统一审计日志（3.3）。</w:t>
      </w:r>
    </w:p>
    <w:p>
      <w:pPr>
        <w:pStyle w:val="ListBullet"/>
      </w:pPr>
      <w:r>
        <w:t>删除数据表前返回受影响知识；确认后在一个事务中标记表不可用并移除关联知识（3.3）。</w:t>
      </w:r>
    </w:p>
    <w:p>
      <w:pPr>
        <w:pStyle w:val="Heading2"/>
      </w:pPr>
      <w:r>
        <w:t>6.4 仪表盘与需求追踪</w:t>
      </w:r>
    </w:p>
    <w:p>
      <w:pPr>
        <w:pStyle w:val="ListBullet"/>
      </w:pPr>
      <w:r>
        <w:t>卡片和布局持久化到 SQLite，使用 12 列坐标呈现放大、恢复、移动、刷新和移除，并提供可打开的本地只读分享页（2.6）。</w:t>
      </w:r>
    </w:p>
    <w:p>
      <w:pPr>
        <w:pStyle w:val="ListBullet"/>
      </w:pPr>
      <w:r>
        <w:t>/api/requirements 保存全部 15 个需求条目，前端支持模块/优先级筛选和验收动作展开。</w:t>
      </w:r>
    </w:p>
    <w:p>
      <w:pPr>
        <w:pStyle w:val="Heading1"/>
      </w:pPr>
      <w:r>
        <w:t>7. 技术架构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>flowchart LR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UI[React + TypeScript\n平台壳与四个工作区]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API[FastAPI\nREST API 与统一错误]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ENGINE[分析引擎\n离线规则 / 模型适配边界]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GUARD[只读 SQL Guard\n授权表 + 单语句 + 500 行]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DB[(SQLite\n业务样例 + 应用状态)]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UI --&gt;|JSON / Vite Proxy| API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API --&gt; ENGINE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ENGINE --&gt; GUARD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GUARD --&gt; DB</w:t>
      </w:r>
    </w:p>
    <w:p>
      <w:pPr>
        <w:spacing w:after="0"/>
        <w:ind w:left="288"/>
      </w:pPr>
      <w:r>
        <w:rPr>
          <w:rFonts w:ascii="Consolas" w:hAnsi="Consolas"/>
          <w:color w:val="344054"/>
          <w:sz w:val="17"/>
        </w:rPr>
        <w:t xml:space="preserve">  API --&gt; DB</w:t>
      </w:r>
    </w:p>
    <w:p/>
    <w:p>
      <w:pPr>
        <w:pStyle w:val="Heading2"/>
      </w:pPr>
      <w:r>
        <w:t>7.1 前端职责</w:t>
      </w:r>
    </w:p>
    <w:p>
      <w:pPr>
        <w:pStyle w:val="ListBullet"/>
      </w:pPr>
      <w:r>
        <w:t>复刻深色顶栏、蓝色激活态、左侧导航、中央工作区和浅灰背景。</w:t>
      </w:r>
    </w:p>
    <w:p>
      <w:pPr>
        <w:pStyle w:val="ListBullet"/>
      </w:pPr>
      <w:r>
        <w:t>管理输入、加载、澄清、完成、错误和确认等页面状态。</w:t>
      </w:r>
    </w:p>
    <w:p>
      <w:pPr>
        <w:pStyle w:val="ListBullet"/>
      </w:pPr>
      <w:r>
        <w:t>渲染业务步骤、来源、SQL、图表、洞察、知识关系、同步日志和看板布局。</w:t>
      </w:r>
    </w:p>
    <w:p>
      <w:pPr>
        <w:pStyle w:val="ListBullet"/>
      </w:pPr>
      <w:r>
        <w:t>不生成 SQL，不保存模型密钥，不绕过后端规则。</w:t>
      </w:r>
    </w:p>
    <w:p>
      <w:pPr>
        <w:pStyle w:val="Heading2"/>
      </w:pPr>
      <w:r>
        <w:t>7.2 后端职责</w:t>
      </w:r>
    </w:p>
    <w:p>
      <w:pPr>
        <w:pStyle w:val="ListBullet"/>
      </w:pPr>
      <w:r>
        <w:t>合并会话上下文并选择分析意图。</w:t>
      </w:r>
    </w:p>
    <w:p>
      <w:pPr>
        <w:pStyle w:val="ListBullet"/>
      </w:pPr>
      <w:r>
        <w:t>校验/执行只读 SQL，组装数据集、洞察和图表规范。</w:t>
      </w:r>
    </w:p>
    <w:p>
      <w:pPr>
        <w:pStyle w:val="ListBullet"/>
      </w:pPr>
      <w:r>
        <w:t>实现知识指纹、优先级、关联、同步与删除联动。</w:t>
      </w:r>
    </w:p>
    <w:p>
      <w:pPr>
        <w:pStyle w:val="ListBullet"/>
      </w:pPr>
      <w:r>
        <w:t>持久化仪表盘与需求映射；统一错误包含 code、message、action、request_id。</w:t>
      </w:r>
    </w:p>
    <w:p>
      <w:pPr>
        <w:pStyle w:val="Heading2"/>
      </w:pPr>
      <w:r>
        <w:t>7.3 核心数据表</w:t>
      </w:r>
    </w:p>
    <w:p>
      <w:pPr>
        <w:pStyle w:val="ListBullet"/>
      </w:pPr>
      <w:r>
        <w:t>业务样例：house_price_monthly、housing_transactions、district_population、commuting_metrics。</w:t>
      </w:r>
    </w:p>
    <w:p>
      <w:pPr>
        <w:pStyle w:val="ListBullet"/>
      </w:pPr>
      <w:r>
        <w:t>问数状态：conversations、messages、analysis_runs。</w:t>
      </w:r>
    </w:p>
    <w:p>
      <w:pPr>
        <w:pStyle w:val="ListBullet"/>
      </w:pPr>
      <w:r>
        <w:t>知识治理：knowledge_items、data_tables、sync_logs。</w:t>
      </w:r>
    </w:p>
    <w:p>
      <w:pPr>
        <w:pStyle w:val="ListBullet"/>
      </w:pPr>
      <w:r>
        <w:t>仪表盘：dashboards、dashboard_cards。</w:t>
      </w:r>
    </w:p>
    <w:p>
      <w:pPr>
        <w:pStyle w:val="ListBullet"/>
      </w:pPr>
      <w:r>
        <w:t>需求追踪：requirement_mappings。</w:t>
      </w:r>
    </w:p>
    <w:p>
      <w:pPr>
        <w:pStyle w:val="Heading1"/>
      </w:pPr>
      <w:r>
        <w:t>8. 数据与安全</w:t>
      </w:r>
    </w:p>
    <w:p>
      <w:pPr>
        <w:pStyle w:val="ListNumber"/>
      </w:pPr>
      <w:r>
        <w:t>Demo 仅使用北京六个行政区的确定性虚构数据，不连接生产库。</w:t>
      </w:r>
    </w:p>
    <w:p>
      <w:pPr>
        <w:pStyle w:val="ListNumber"/>
      </w:pPr>
      <w:r>
        <w:t>SQL 必须以 SELECT 或 WITH 开始；拒绝 DDL、DML、PRAGMA、ATTACH 和多语句。</w:t>
      </w:r>
    </w:p>
    <w:p>
      <w:pPr>
        <w:pStyle w:val="ListNumber"/>
      </w:pPr>
      <w:r>
        <w:t>SQL 只能访问四张白名单表，结果最多 500 行；用户区域输入来自固定行政区词表。</w:t>
      </w:r>
    </w:p>
    <w:p>
      <w:pPr>
        <w:pStyle w:val="ListNumber"/>
      </w:pPr>
      <w:r>
        <w:t>模型凭证仅由后端环境变量读取；日志、API 错误和浏览器响应不包含密钥、数据库连接串或内部路径。</w:t>
      </w:r>
    </w:p>
    <w:p>
      <w:pPr>
        <w:pStyle w:val="ListNumber"/>
      </w:pPr>
      <w:r>
        <w:t>删除操作先预览影响范围，用户确认后才执行关联状态修改。</w:t>
      </w:r>
    </w:p>
    <w:p>
      <w:pPr>
        <w:pStyle w:val="ListNumber"/>
      </w:pPr>
      <w:r>
        <w:t>“思考过程”是业务执行审计，不记录或输出模型隐式推理。</w:t>
      </w:r>
    </w:p>
    <w:p>
      <w:pPr>
        <w:pStyle w:val="Heading1"/>
      </w:pPr>
      <w:r>
        <w:t>9. 实施阶段与排期</w:t>
      </w:r>
    </w:p>
    <w:p>
      <w:r>
        <w:t>下表是真实平台集成建议的四周参考排期；本地 Demo 已完成，不将此排期误表述为已经发生的生产改造。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200"/>
        <w:gridCol w:w="2300"/>
        <w:gridCol w:w="3300"/>
        <w:gridCol w:w="2560"/>
      </w:tblGrid>
      <w:tr>
        <w:tc>
          <w:tcPr>
            <w:tcW w:type="dxa" w:w="1200"/>
            <w:shd w:fill="F2F4F7"/>
            <w:vAlign w:val="center"/>
          </w:tcPr>
          <w:p>
            <w:r>
              <w:rPr>
                <w:b/>
                <w:sz w:val="18"/>
              </w:rPr>
              <w:t>周次</w:t>
            </w:r>
          </w:p>
        </w:tc>
        <w:tc>
          <w:tcPr>
            <w:tcW w:type="dxa" w:w="2300"/>
            <w:shd w:fill="F2F4F7"/>
            <w:vAlign w:val="center"/>
          </w:tcPr>
          <w:p>
            <w:r>
              <w:rPr>
                <w:b/>
                <w:sz w:val="18"/>
              </w:rPr>
              <w:t>目标</w:t>
            </w:r>
          </w:p>
        </w:tc>
        <w:tc>
          <w:tcPr>
            <w:tcW w:type="dxa" w:w="3300"/>
            <w:shd w:fill="F2F4F7"/>
            <w:vAlign w:val="center"/>
          </w:tcPr>
          <w:p>
            <w:r>
              <w:rPr>
                <w:b/>
                <w:sz w:val="18"/>
              </w:rPr>
              <w:t>主要工作</w:t>
            </w:r>
          </w:p>
        </w:tc>
        <w:tc>
          <w:tcPr>
            <w:tcW w:type="dxa" w:w="2560"/>
            <w:shd w:fill="F2F4F7"/>
            <w:vAlign w:val="center"/>
          </w:tcPr>
          <w:p>
            <w:r>
              <w:rPr>
                <w:b/>
                <w:sz w:val="18"/>
              </w:rPr>
              <w:t>周交付与退出条件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第 1 周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需求基线与数据契约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核对 15 项需求；确认数据表、权限、会话和错误协议；接入只读查询沙箱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接口契约、威胁清单、样例数据与后端基础测试通过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第 2 周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智能问数闭环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上下文、澄清、步骤、数据血缘、Skill、图表规范、洞察和推荐追问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2.1–2.5 与 5 的 API/页面联调通过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第 3 周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知识与仪表盘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指纹查重、私有优先、关联、同步、删除联动、看板布局与分享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2.6、3.2–3.4 的自动化用例通过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第 4 周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验收与灰度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性能/安全回归、真实模型适配、埋点、用户演示、缺陷收敛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五条端到端旅程通过，需求矩阵签字，具备灰度条件</w:t>
            </w:r>
          </w:p>
        </w:tc>
      </w:tr>
    </w:tbl>
    <w:p/>
    <w:p>
      <w:r>
        <w:t>建议每周设置一次产品/数据/研发联合评审；任一 P0 验收失败均不得进入下一阶段的生产发布。</w:t>
      </w:r>
    </w:p>
    <w:p>
      <w:pPr>
        <w:pStyle w:val="Heading1"/>
      </w:pPr>
      <w:r>
        <w:t>10. 人员分工建议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900"/>
        <w:gridCol w:w="3400"/>
        <w:gridCol w:w="4060"/>
      </w:tblGrid>
      <w:tr>
        <w:tc>
          <w:tcPr>
            <w:tcW w:type="dxa" w:w="1900"/>
            <w:shd w:fill="F2F4F7"/>
            <w:vAlign w:val="center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3400"/>
            <w:shd w:fill="F2F4F7"/>
            <w:vAlign w:val="center"/>
          </w:tcPr>
          <w:p>
            <w:r>
              <w:rPr>
                <w:b/>
                <w:sz w:val="18"/>
              </w:rPr>
              <w:t>建议投入</w:t>
            </w:r>
          </w:p>
        </w:tc>
        <w:tc>
          <w:tcPr>
            <w:tcW w:type="dxa" w:w="4060"/>
            <w:shd w:fill="F2F4F7"/>
            <w:vAlign w:val="center"/>
          </w:tcPr>
          <w:p>
            <w:r>
              <w:rPr>
                <w:b/>
                <w:sz w:val="18"/>
              </w:rPr>
              <w:t>主要职责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产品/业务负责人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0.5 人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口径、优先级、演示脚本、验收签字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后端工程师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1–2 人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会话编排、模型适配、SQL Guard、知识与看板 API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前端工程师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1 人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平台壳、问数/知识/看板/追踪页面和可访问交互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数据工程师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0.5–1 人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数据表权限、元数据、口径与同步策略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测试/安全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0.5–1 人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自动化、越权/注入/删除联动、回归与验收证据</w:t>
            </w:r>
          </w:p>
        </w:tc>
      </w:tr>
    </w:tbl>
    <w:p/>
    <w:p>
      <w:pPr>
        <w:pStyle w:val="Heading1"/>
      </w:pPr>
      <w:r>
        <w:t>11. 风险与应对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900"/>
        <w:gridCol w:w="3400"/>
        <w:gridCol w:w="4060"/>
      </w:tblGrid>
      <w:tr>
        <w:tc>
          <w:tcPr>
            <w:tcW w:type="dxa" w:w="1900"/>
            <w:shd w:fill="F2F4F7"/>
            <w:vAlign w:val="center"/>
          </w:tcPr>
          <w:p>
            <w:r>
              <w:rPr>
                <w:b/>
                <w:sz w:val="18"/>
              </w:rPr>
              <w:t>风险</w:t>
            </w:r>
          </w:p>
        </w:tc>
        <w:tc>
          <w:tcPr>
            <w:tcW w:type="dxa" w:w="3400"/>
            <w:shd w:fill="F2F4F7"/>
            <w:vAlign w:val="center"/>
          </w:tcPr>
          <w:p>
            <w:r>
              <w:rPr>
                <w:b/>
                <w:sz w:val="18"/>
              </w:rPr>
              <w:t>影响</w:t>
            </w:r>
          </w:p>
        </w:tc>
        <w:tc>
          <w:tcPr>
            <w:tcW w:type="dxa" w:w="4060"/>
            <w:shd w:fill="F2F4F7"/>
            <w:vAlign w:val="center"/>
          </w:tcPr>
          <w:p>
            <w:r>
              <w:rPr>
                <w:b/>
                <w:sz w:val="18"/>
              </w:rPr>
              <w:t>应对措施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真实模型输出不稳定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生成不可执行 SQL 或字段不一致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强制结构化输出；后端二次校验；失败不执行；离线模式作为确定性验收基线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数据口径不一致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结果正确但业务解释错误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口径知识版本化；数据表/字段/更新时间/置信度随结果展示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SQL 注入或越权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数据泄漏或破坏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单语句只读、关键词拦截、表白名单、行数/超时限制、服务账号最小权限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私有/公开知识冲突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使用错误口径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指纹查重；私有优先；页面明确显示覆盖关系并保留公开记录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删除或表结构变化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SQL 模型失效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删除预览、确认联动、同步标记 needs_review、审计日志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Demo 与生产架构差异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低估集成成本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将 Demo 定位为接口与验收基线；生产集成另行评估认证、权限、队列和监控</w:t>
            </w:r>
          </w:p>
        </w:tc>
      </w:tr>
      <w:tr>
        <w:tc>
          <w:tcPr>
            <w:tcW w:type="dxa" w:w="1900"/>
            <w:vAlign w:val="center"/>
          </w:tcPr>
          <w:p>
            <w:r>
              <w:rPr>
                <w:sz w:val="17"/>
              </w:rPr>
              <w:t>演示环境依赖失败</w:t>
            </w:r>
          </w:p>
        </w:tc>
        <w:tc>
          <w:tcPr>
            <w:tcW w:type="dxa" w:w="3400"/>
            <w:vAlign w:val="center"/>
          </w:tcPr>
          <w:p>
            <w:r>
              <w:rPr>
                <w:sz w:val="17"/>
              </w:rPr>
              <w:t>无法现场启动</w:t>
            </w:r>
          </w:p>
        </w:tc>
        <w:tc>
          <w:tcPr>
            <w:tcW w:type="dxa" w:w="4060"/>
            <w:vAlign w:val="center"/>
          </w:tcPr>
          <w:p>
            <w:r>
              <w:rPr>
                <w:sz w:val="17"/>
              </w:rPr>
              <w:t>一键脚本检查运行时、安装依赖、轮询健康；提供手动启动与重置说明</w:t>
            </w:r>
          </w:p>
        </w:tc>
      </w:tr>
    </w:tbl>
    <w:p/>
    <w:p>
      <w:pPr>
        <w:pStyle w:val="Heading1"/>
      </w:pPr>
      <w:r>
        <w:t>12. 验收方案</w:t>
      </w:r>
    </w:p>
    <w:p>
      <w:pPr>
        <w:pStyle w:val="Heading2"/>
      </w:pPr>
      <w:r>
        <w:t>12.1 自动化验收</w:t>
      </w:r>
    </w:p>
    <w:p>
      <w:pPr>
        <w:pStyle w:val="ListBullet"/>
      </w:pPr>
      <w:r>
        <w:t>后端：数据库幂等种子、SQL Guard、离线分析、上下文、知识、同步、删除联动、仪表盘、需求与文档覆盖。</w:t>
      </w:r>
    </w:p>
    <w:p>
      <w:pPr>
        <w:pStyle w:val="ListBullet"/>
      </w:pPr>
      <w:r>
        <w:t>前端：需求徽标、澄清建议、思考步骤、保存图表、私有优先、同步、布局、需求筛选。</w:t>
      </w:r>
    </w:p>
    <w:p>
      <w:pPr>
        <w:pStyle w:val="ListBullet"/>
      </w:pPr>
      <w:r>
        <w:t>端到端：问题到图表到看板、多轮追问、多源拆分、知识冲突、同步与删除联动。</w:t>
      </w:r>
    </w:p>
    <w:p>
      <w:pPr>
        <w:pStyle w:val="Heading2"/>
      </w:pPr>
      <w:r>
        <w:t>12.2 演示验收</w:t>
      </w:r>
    </w:p>
    <w:p>
      <w:pPr>
        <w:pStyle w:val="ListNumber"/>
      </w:pPr>
      <w:r>
        <w:t>输入“分析房价”，必须返回三条建议且无 SQL（2.2）。</w:t>
      </w:r>
    </w:p>
    <w:p>
      <w:pPr>
        <w:pStyle w:val="ListNumber"/>
      </w:pPr>
      <w:r>
        <w:t>完成房价分析，必须看到步骤、来源、Skill、SQL、图表、最大值/异常和追问（2.1、2.4、2.5）。</w:t>
      </w:r>
    </w:p>
    <w:p>
      <w:pPr>
        <w:pStyle w:val="ListNumber"/>
      </w:pPr>
      <w:r>
        <w:t>追问“只看海淀区”，必须继承 2025 年和平均房价指标（2.3）。</w:t>
      </w:r>
    </w:p>
    <w:p>
      <w:pPr>
        <w:pStyle w:val="ListNumber"/>
      </w:pPr>
      <w:r>
        <w:t>多源问题必须至少生成两条白名单 SQL 并汇总（5）。</w:t>
      </w:r>
    </w:p>
    <w:p>
      <w:pPr>
        <w:pStyle w:val="ListNumber"/>
      </w:pPr>
      <w:r>
        <w:t>私有知识必须覆盖公开匹配项；同步和删除必须留痕并先确认（3.2–3.4）。</w:t>
      </w:r>
    </w:p>
    <w:p>
      <w:pPr>
        <w:pStyle w:val="ListNumber"/>
      </w:pPr>
      <w:r>
        <w:t>图表加入看板后，刷新仍存在且布局变化可保存；复制的分享链接必须能打开只读看板且不出现编辑按钮（2.6）。</w:t>
      </w:r>
    </w:p>
    <w:p>
      <w:pPr>
        <w:pStyle w:val="Heading1"/>
      </w:pPr>
      <w:r>
        <w:t>13. 需求追踪矩阵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1200"/>
        <w:gridCol w:w="2300"/>
        <w:gridCol w:w="3300"/>
        <w:gridCol w:w="2560"/>
      </w:tblGrid>
      <w:tr>
        <w:tc>
          <w:tcPr>
            <w:tcW w:type="dxa" w:w="1200"/>
            <w:shd w:fill="F2F4F7"/>
            <w:vAlign w:val="center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300"/>
            <w:shd w:fill="F2F4F7"/>
            <w:vAlign w:val="center"/>
          </w:tcPr>
          <w:p>
            <w:r>
              <w:rPr>
                <w:b/>
                <w:sz w:val="18"/>
              </w:rPr>
              <w:t>解决方案摘要</w:t>
            </w:r>
          </w:p>
        </w:tc>
        <w:tc>
          <w:tcPr>
            <w:tcW w:type="dxa" w:w="3300"/>
            <w:shd w:fill="F2F4F7"/>
            <w:vAlign w:val="center"/>
          </w:tcPr>
          <w:p>
            <w:r>
              <w:rPr>
                <w:b/>
                <w:sz w:val="18"/>
              </w:rPr>
              <w:t>Demo 页面</w:t>
            </w:r>
          </w:p>
        </w:tc>
        <w:tc>
          <w:tcPr>
            <w:tcW w:type="dxa" w:w="2560"/>
            <w:shd w:fill="F2F4F7"/>
            <w:vAlign w:val="center"/>
          </w:tcPr>
          <w:p>
            <w:r>
              <w:rPr>
                <w:b/>
                <w:sz w:val="18"/>
              </w:rPr>
              <w:t>主要 API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2.1-a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可折叠业务步骤时间线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2.1-b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来源、表、字段、更新时间、置信度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2.1-c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Skill 调用记录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2.2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完整性判断和三条建议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2.3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SQLite 会话上下文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/api/conversations、POST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2.4-a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图表规范、类型切换、加入看板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智能问数/仪表盘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/api/dashboards/{id}/cards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2.4-b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最大值、趋势、异常洞察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GET /api/analysis/{id}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2.5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推荐追问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2.6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卡片布局、刷新、移除、分享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我的仪表盘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/api/dashboards/*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3.2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指纹查重、私有优先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知识库管理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/api/knowledge/deduplicate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3.3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同步审计、删除预览与确认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知识库管理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/api/sync、DELETE /api/data-tables/{name}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3.4-a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标签与组合筛选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知识库管理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GET /api/knowledge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3.4-b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文本—数据表双向关系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知识库管理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GET /api/knowledge/{id}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3.4-c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SQL 表名抽取与结构状态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知识库管理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/api/knowledge</w:t>
            </w:r>
          </w:p>
        </w:tc>
      </w:tr>
      <w:tr>
        <w:tc>
          <w:tcPr>
            <w:tcW w:type="dxa" w:w="1200"/>
            <w:vAlign w:val="center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00"/>
            <w:vAlign w:val="center"/>
          </w:tcPr>
          <w:p>
            <w:r>
              <w:rPr>
                <w:sz w:val="17"/>
              </w:rPr>
              <w:t>多源拆分、多 SQL、按区域汇总</w:t>
            </w:r>
          </w:p>
        </w:tc>
        <w:tc>
          <w:tcPr>
            <w:tcW w:type="dxa" w:w="3300"/>
            <w:vAlign w:val="center"/>
          </w:tcPr>
          <w:p>
            <w:r>
              <w:rPr>
                <w:sz w:val="17"/>
              </w:rPr>
              <w:t>智能问数</w:t>
            </w:r>
          </w:p>
        </w:tc>
        <w:tc>
          <w:tcPr>
            <w:tcW w:type="dxa" w:w="2560"/>
            <w:vAlign w:val="center"/>
          </w:tcPr>
          <w:p>
            <w:r>
              <w:rPr>
                <w:sz w:val="17"/>
              </w:rPr>
              <w:t>POST /api/chat</w:t>
            </w:r>
          </w:p>
        </w:tc>
      </w:tr>
    </w:tbl>
    <w:p/>
    <w:p>
      <w:r>
        <w:t>逐项测试文件和具体验收动作见《需求追踪矩阵》。</w:t>
      </w:r>
    </w:p>
    <w:sectPr w:rsidR="00FC693F" w:rsidRPr="0006063C" w:rsidSect="00034616">
      <w:footerReference w:type="default" r:id="rId9"/>
      <w:pgSz w:w="12240" w:h="15840"/>
      <w:pgMar w:top="1224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GeniusQ DaaS Platform Intelligent Query Demo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