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224247</wp:posOffset>
            </wp:positionV>
            <wp:extent cx="1300163" cy="1618137"/>
            <wp:effectExtent b="0" l="0" r="0" t="0"/>
            <wp:wrapNone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618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44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725"/>
        <w:gridCol w:w="255"/>
        <w:gridCol w:w="4515"/>
        <w:gridCol w:w="435"/>
        <w:gridCol w:w="4515"/>
        <w:tblGridChange w:id="0">
          <w:tblGrid>
            <w:gridCol w:w="2970"/>
            <w:gridCol w:w="1725"/>
            <w:gridCol w:w="255"/>
            <w:gridCol w:w="4515"/>
            <w:gridCol w:w="435"/>
            <w:gridCol w:w="451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114300" distR="114300" hidden="0" layoutInCell="1" locked="0" relativeHeight="0" simplePos="0">
                  <wp:simplePos x="0" y="0"/>
                  <wp:positionH relativeFrom="column">
                    <wp:posOffset>89536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b="0" l="0" r="0" t="0"/>
                  <wp:wrapNone/>
                  <wp:docPr descr="User" id="9" name="image1.png"/>
                  <a:graphic>
                    <a:graphicData uri="http://schemas.openxmlformats.org/drawingml/2006/picture">
                      <pic:pic>
                        <pic:nvPicPr>
                          <pic:cNvPr descr="User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Increase brand awareness for his company.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 lead generation and conversion rates.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Enhance customer engagement through digital marketing strategies.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 to communicate with the stakeholders. This makes his team dysfunctional. This trait is constant, and affects the team's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“Mary had a little lamb.”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Stevie Ray Vaughan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Frustrated with cluttered layouts and unprofessional designs. Unprofessional, means a design with no thought put into it. He only responds well if de-facto design principles have been followed and has familiarity.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.94140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Research gate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IEEE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Annual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$130,069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iQNd032AxhGFp18kD2SvugQ/DQ==">CgMxLjAyCGguZ2pkZ3hzOAByITFZOC04b3RFaTdqZVJ0Tk9aM2Zva3VxUUVBNk9PMlpHZQ==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