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ind w:firstLine="0"/>
      </w:pPr>
      <w:r>
        <w:rPr>
          <w:rFonts w:ascii="Times New Roman" w:hAnsi="Times New Roman"/>
          <w:sz w:val="28"/>
        </w:rPr>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ind w:firstLine="0"/>
      </w:pPr>
      <w:r>
        <w:rPr>
          <w:rFonts w:ascii="Times New Roman" w:hAnsi="Times New Roman"/>
          <w:sz w:val="28"/>
        </w:rPr>
      </w:r>
    </w:p>
    <w:p>
      <w:pPr>
        <w:ind w:firstLine="0"/>
      </w:pPr>
      <w:r>
        <w:rPr>
          <w:rFonts w:ascii="Times New Roman" w:hAnsi="Times New Roman"/>
          <w:sz w:val="28"/>
        </w:rPr>
      </w:r>
    </w:p>
    <w:p>
      <w:pPr>
        <w:spacing w:after="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ind w:firstLine="0"/>
      </w:pPr>
      <w:r>
        <w:rPr>
          <w:rFonts w:ascii="Times New Roman" w:hAnsi="Times New Roman"/>
          <w:sz w:val="28"/>
        </w:rPr>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jc w:val="right"/>
      </w:pPr>
      <w:r>
        <w:rPr>
          <w:rFonts w:ascii="Times New Roman" w:hAnsi="Times New Roman"/>
          <w:sz w:val="28"/>
        </w:rPr>
        <w:t>Студент: ________________________________</w:t>
      </w:r>
    </w:p>
    <w:p>
      <w:pPr>
        <w:ind w:firstLine="0"/>
      </w:pPr>
      <w:r>
        <w:rPr>
          <w:rFonts w:ascii="Times New Roman" w:hAnsi="Times New Roman"/>
          <w:sz w:val="28"/>
        </w:rPr>
      </w:r>
    </w:p>
    <w:p>
      <w:pPr>
        <w:ind w:firstLine="0"/>
        <w:jc w:val="right"/>
      </w:pPr>
      <w:r>
        <w:rPr>
          <w:rFonts w:ascii="Times New Roman" w:hAnsi="Times New Roman"/>
          <w:sz w:val="28"/>
        </w:rPr>
        <w:t>Научный руководитель: ________________________________</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spacing w:after="0"/>
        <w:ind w:firstLine="0"/>
        <w:jc w:val="center"/>
      </w:pPr>
      <w:r>
        <w:rPr>
          <w:rFonts w:ascii="Times New Roman" w:hAnsi="Times New Roman"/>
          <w:b w:val="0"/>
          <w:sz w:val="28"/>
        </w:rPr>
        <w:t>Москва 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65 с., 10 рис., 6 табл., 43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ind w:firstLine="0"/>
      </w:pPr>
      <w:r>
        <w:fldChar w:fldCharType="begin"/>
        <w:instrText xml:space="preserve"> TOC \o "1-3" \h \z \u </w:instrText>
        <w:fldChar w:fldCharType="separate"/>
      </w:r>
      <w:r>
        <w:rPr>
          <w:rFonts w:ascii="Times New Roman" w:hAnsi="Times New Roman"/>
          <w:color w:val="808080"/>
          <w:sz w:val="24"/>
        </w:rPr>
        <w:t>(Обновите содержание: выделите → правый клик → «Обновить поле»)</w:t>
      </w:r>
      <w:r>
        <w:fldChar w:fldCharType="end"/>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[6].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[7, 8], трёхмерные свёрточные сети (3D CNN) [9], методы на основе компоновки миниатюр (thumbnail layout) [10], анализ стилевых латентных потоков [11] и пиксельных временных частот [12].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[13],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[9]),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[3], FaceSwap), а также GAN-моделями с условной генерацией (SimSwap [4],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[5].</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[6], NeuralTextures [7],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[8])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[5]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[9]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[10]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[11]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[5]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[7]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[12]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[13]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[14]),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[15]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[16]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[17] и EfficientNet [18]. XceptionNet, основанный на глубинно-разделяемых свёртках (depthwise separable convolutions), стал де-факто стандартом после работы Рёсслера и соавт. [7], в которой он продемонстрировал высокую точность на датасете FaceForensics++. EfficientNet, предложенный Тэном и Ле [18],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(25.6M). XceptionNet является стандартом де-факто после работы Рёсслера и соавт. [7],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[19]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[13, 21].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[7, 19].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[19],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[1]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[2] также широко применяются в задаче детектирования deepfake. Архитектура EfficientNet-B4 использовалась победителями соревнования Deepfake Detection Challenge (DFDC),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[3]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[4]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[7]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[8]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[9])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[10]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[11], ICCV 2025). Вместо пространственного частотного анализа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[12]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[14],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[15])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[16],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[17])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[18],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[19]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[20],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[1],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[21],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[22],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[1]</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CNN+LSTM [6]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[6]</w:t>
            </w:r>
          </w:p>
        </w:tc>
      </w:tr>
      <w:tr>
        <w:tc>
          <w:tcPr>
            <w:tcW w:type="dxa" w:w="1336"/>
          </w:tcPr>
          <w:p>
            <w:pPr>
              <w:spacing w:after="0"/>
              <w:ind w:firstLine="0"/>
            </w:pPr>
            <w:r/>
            <w:r>
              <w:rPr>
                <w:rFonts w:ascii="Times New Roman" w:hAnsi="Times New Roman"/>
                <w:b w:val="0"/>
                <w:sz w:val="24"/>
              </w:rPr>
              <w:t>AltFreezing [8]</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[8]</w:t>
            </w:r>
          </w:p>
        </w:tc>
      </w:tr>
      <w:tr>
        <w:tc>
          <w:tcPr>
            <w:tcW w:type="dxa" w:w="1336"/>
          </w:tcPr>
          <w:p>
            <w:pPr>
              <w:spacing w:after="0"/>
              <w:ind w:firstLine="0"/>
            </w:pPr>
            <w:r/>
            <w:r>
              <w:rPr>
                <w:rFonts w:ascii="Times New Roman" w:hAnsi="Times New Roman"/>
                <w:b w:val="0"/>
                <w:sz w:val="24"/>
              </w:rPr>
              <w:t>TALL [9]</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[9]</w:t>
            </w:r>
          </w:p>
        </w:tc>
      </w:tr>
      <w:tr>
        <w:tc>
          <w:tcPr>
            <w:tcW w:type="dxa" w:w="1336"/>
          </w:tcPr>
          <w:p>
            <w:pPr>
              <w:spacing w:after="0"/>
              <w:ind w:firstLine="0"/>
            </w:pPr>
            <w:r/>
            <w:r>
              <w:rPr>
                <w:rFonts w:ascii="Times New Roman" w:hAnsi="Times New Roman"/>
                <w:b w:val="0"/>
                <w:sz w:val="24"/>
              </w:rPr>
              <w:t>Style Latent Flows [10]</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[10]</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ind w:firstLine="0"/>
        <w:jc w:val="center"/>
      </w:pPr>
      <w:r>
        <w:rPr>
          <w:rFonts w:ascii="Times New Roman" w:hAnsi="Times New Roman"/>
          <w:i/>
          <w:sz w:val="28"/>
          <w:color w:val="FF0000"/>
        </w:rPr>
        <w:t>[РИСУНОК 3.1: Блок-схема предлагаемого метода — ТРЕБУЕТСЯ ВСТАВКА ДИАГРАММЫ]</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[12],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[2]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[2]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[19]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двух наборах данных: подмножестве Deepfake Detection Challenge (DFDC), организованного компанией Meta, и FaceForensics-based наборе DFD01.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3420 видео (363 real, 3057 fake) с выраженным дисбалансом классов. Использование двух наборов данных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wp:inline xmlns:wp="http://schemas.openxmlformats.org/drawingml/2006/wordprocessingDrawing" distT="0" distB="0" distL="0" distR="0">
            <wp:extent cx="5800000" cy="2600000"/>
            <wp:docPr id="101" name="Fig1"/>
            <a:graphic xmlns:a="http://schemas.openxmlformats.org/drawingml/2006/main">
              <a:graphicData uri="http://schemas.openxmlformats.org/drawingml/2006/picture">
                <pic:pic xmlns:pic="http://schemas.openxmlformats.org/drawingml/2006/picture">
                  <pic:nvPicPr>
                    <pic:cNvPr id="101" name="Fig1"/>
                    <pic:cNvPicPr/>
                  </pic:nvPicPr>
                  <pic:blipFill>
                    <a:blip xmlns:r="http://schemas.openxmlformats.org/officeDocument/2006/relationships" r:embed="rId101"/>
                    <a:stretch>
                      <a:fillRect/>
                    </a:stretch>
                  </pic:blipFill>
                  <pic:spPr>
                    <a:xfrm>
                      <a:off x="0" y="0"/>
                      <a:ext cx="5800000" cy="2600000"/>
                    </a:xfrm>
                    <a:prstGeom prst="rect">
                      <a:avLst/>
                    </a:prstGeom>
                  </pic:spPr>
                </pic:pic>
              </a:graphicData>
            </a:graphic>
          </wp:inline>
        </w:drawing>
      </w:r>
    </w:p>
    <w:p>
      <w:pPr>
        <w:jc w:val="center"/>
      </w:pPr>
      <w:r>
        <w:rPr>
          <w:sz w:val="22"/>
        </w:rPr>
        <w:t xml:space="preserve">Рисунок 4.1 — Кривые обучения Train/Val Loss</w:t>
      </w:r>
    </w:p>
    <w:p>
      <w:pPr>
        <w:jc w:val="center"/>
      </w:pPr>
      <w:r>
        <w:drawing>
          <wp:inline xmlns:wp="http://schemas.openxmlformats.org/drawingml/2006/wordprocessingDrawing" distT="0" distB="0" distL="0" distR="0">
            <wp:extent cx="5400000" cy="3400000"/>
            <wp:docPr id="102" name="Fig2"/>
            <a:graphic xmlns:a="http://schemas.openxmlformats.org/drawingml/2006/main">
              <a:graphicData uri="http://schemas.openxmlformats.org/drawingml/2006/picture">
                <pic:pic xmlns:pic="http://schemas.openxmlformats.org/drawingml/2006/picture">
                  <pic:nvPicPr>
                    <pic:cNvPr id="102" name="Fig2"/>
                    <pic:cNvPicPr/>
                  </pic:nvPicPr>
                  <pic:blipFill>
                    <a:blip xmlns:r="http://schemas.openxmlformats.org/officeDocument/2006/relationships" r:embed="rId102"/>
                    <a:stretch>
                      <a:fillRect/>
                    </a:stretch>
                  </pic:blipFill>
                  <pic:spPr>
                    <a:xfrm>
                      <a:off x="0" y="0"/>
                      <a:ext cx="5400000" cy="3400000"/>
                    </a:xfrm>
                    <a:prstGeom prst="rect">
                      <a:avLst/>
                    </a:prstGeom>
                  </pic:spPr>
                </pic:pic>
              </a:graphicData>
            </a:graphic>
          </wp:inline>
        </w:drawing>
      </w:r>
    </w:p>
    <w:p>
      <w:pPr>
        <w:jc w:val="center"/>
      </w:pPr>
      <w:r>
        <w:rPr>
          <w:sz w:val="22"/>
        </w:rPr>
        <w:t xml:space="preserve">Рисунок 4.2 — Validation AUC по эпохам</w:t>
      </w:r>
    </w:p>
    <w:p>
      <w:pPr>
        <w:jc w:val="center"/>
      </w:pPr>
      <w:r>
        <w:drawing>
          <wp:inline xmlns:wp="http://schemas.openxmlformats.org/drawingml/2006/wordprocessingDrawing" distT="0" distB="0" distL="0" distR="0">
            <wp:extent cx="4200000" cy="3600000"/>
            <wp:docPr id="103" name="Fig3"/>
            <a:graphic xmlns:a="http://schemas.openxmlformats.org/drawingml/2006/main">
              <a:graphicData uri="http://schemas.openxmlformats.org/drawingml/2006/picture">
                <pic:pic xmlns:pic="http://schemas.openxmlformats.org/drawingml/2006/picture">
                  <pic:nvPicPr>
                    <pic:cNvPr id="103" name="Fig3"/>
                    <pic:cNvPicPr/>
                  </pic:nvPicPr>
                  <pic:blipFill>
                    <a:blip xmlns:r="http://schemas.openxmlformats.org/officeDocument/2006/relationships" r:embed="rId109"/>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4.3 — ROC-кривая полной модели (AUC = 0.9777)</w:t>
      </w:r>
    </w:p>
    <w:p>
      <w:pPr>
        <w:jc w:val="center"/>
      </w:pPr>
      <w:r>
        <w:drawing>
          <wp:inline xmlns:wp="http://schemas.openxmlformats.org/drawingml/2006/wordprocessingDrawing" distT="0" distB="0" distL="0" distR="0">
            <wp:extent cx="4200000" cy="3600000"/>
            <wp:docPr id="104" name="Fig4"/>
            <a:graphic xmlns:a="http://schemas.openxmlformats.org/drawingml/2006/main">
              <a:graphicData uri="http://schemas.openxmlformats.org/drawingml/2006/picture">
                <pic:pic xmlns:pic="http://schemas.openxmlformats.org/drawingml/2006/picture">
                  <pic:nvPicPr>
                    <pic:cNvPr id="104" name="Fig4"/>
                    <pic:cNvPicPr/>
                  </pic:nvPicPr>
                  <pic:blipFill>
                    <a:blip xmlns:r="http://schemas.openxmlformats.org/officeDocument/2006/relationships" r:embed="rId110"/>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4.4 — ROC-кривая A2 Spatial-only (AUC = 0.9835)</w:t>
      </w:r>
    </w:p>
    <w:p>
      <w:pPr>
        <w:jc w:val="center"/>
      </w:pPr>
      <w:r>
        <w:drawing>
          <wp:inline xmlns:wp="http://schemas.openxmlformats.org/drawingml/2006/wordprocessingDrawing" distT="0" distB="0" distL="0" distR="0">
            <wp:extent cx="4200000" cy="3600000"/>
            <wp:docPr id="105" name="Fig5"/>
            <a:graphic xmlns:a="http://schemas.openxmlformats.org/drawingml/2006/main">
              <a:graphicData uri="http://schemas.openxmlformats.org/drawingml/2006/picture">
                <pic:pic xmlns:pic="http://schemas.openxmlformats.org/drawingml/2006/picture">
                  <pic:nvPicPr>
                    <pic:cNvPr id="105" name="Fig5"/>
                    <pic:cNvPicPr/>
                  </pic:nvPicPr>
                  <pic:blipFill>
                    <a:blip xmlns:r="http://schemas.openxmlformats.org/officeDocument/2006/relationships" r:embed="rId107"/>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4.5 — Матрица ошибок полной модели</w:t>
      </w:r>
    </w:p>
    <w:p>
      <w:pPr>
        <w:jc w:val="center"/>
      </w:pPr>
      <w:r>
        <w:drawing>
          <wp:inline xmlns:wp="http://schemas.openxmlformats.org/drawingml/2006/wordprocessingDrawing" distT="0" distB="0" distL="0" distR="0">
            <wp:extent cx="4200000" cy="3600000"/>
            <wp:docPr id="106" name="Fig6"/>
            <a:graphic xmlns:a="http://schemas.openxmlformats.org/drawingml/2006/main">
              <a:graphicData uri="http://schemas.openxmlformats.org/drawingml/2006/picture">
                <pic:pic xmlns:pic="http://schemas.openxmlformats.org/drawingml/2006/picture">
                  <pic:nvPicPr>
                    <pic:cNvPr id="106" name="Fig6"/>
                    <pic:cNvPicPr/>
                  </pic:nvPicPr>
                  <pic:blipFill>
                    <a:blip xmlns:r="http://schemas.openxmlformats.org/officeDocument/2006/relationships" r:embed="rId108"/>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Программный конвейер run_experiments.py автоматизирует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wp:inline xmlns:wp="http://schemas.openxmlformats.org/drawingml/2006/wordprocessingDrawing" distT="0" distB="0" distL="0" distR="0">
            <wp:extent cx="5400000" cy="3400000"/>
            <wp:docPr id="107" name="Fig7"/>
            <a:graphic xmlns:a="http://schemas.openxmlformats.org/drawingml/2006/main">
              <a:graphicData uri="http://schemas.openxmlformats.org/drawingml/2006/picture">
                <pic:pic xmlns:pic="http://schemas.openxmlformats.org/drawingml/2006/picture">
                  <pic:nvPicPr>
                    <pic:cNvPr id="107" name="Fig7"/>
                    <pic:cNvPicPr/>
                  </pic:nvPicPr>
                  <pic:blipFill>
                    <a:blip xmlns:r="http://schemas.openxmlformats.org/officeDocument/2006/relationships" r:embed="rId103"/>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4.7 — Ablation study: сравнение Test-метрик четырёх архитектур</w:t>
      </w:r>
    </w:p>
    <w:p>
      <w:pPr>
        <w:jc w:val="center"/>
      </w:pPr>
      <w:r>
        <w:drawing>
          <wp:inline xmlns:wp="http://schemas.openxmlformats.org/drawingml/2006/wordprocessingDrawing" distT="0" distB="0" distL="0" distR="0">
            <wp:extent cx="5400000" cy="3400000"/>
            <wp:docPr id="108" name="Fig8"/>
            <a:graphic xmlns:a="http://schemas.openxmlformats.org/drawingml/2006/main">
              <a:graphicData uri="http://schemas.openxmlformats.org/drawingml/2006/picture">
                <pic:pic xmlns:pic="http://schemas.openxmlformats.org/drawingml/2006/picture">
                  <pic:nvPicPr>
                    <pic:cNvPr id="108" name="Fig8"/>
                    <pic:cNvPicPr/>
                  </pic:nvPicPr>
                  <pic:blipFill>
                    <a:blip xmlns:r="http://schemas.openxmlformats.org/officeDocument/2006/relationships" r:embed="rId104"/>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4.8 — Overfit analysis: разрыв Val/Train Loss по эпохам</w:t>
      </w:r>
    </w:p>
    <w:p>
      <w:pPr>
        <w:jc w:val="center"/>
      </w:pPr>
      <w:r>
        <w:drawing>
          <wp:inline xmlns:wp="http://schemas.openxmlformats.org/drawingml/2006/wordprocessingDrawing" distT="0" distB="0" distL="0" distR="0">
            <wp:extent cx="5400000" cy="3400000"/>
            <wp:docPr id="109" name="Fig9"/>
            <a:graphic xmlns:a="http://schemas.openxmlformats.org/drawingml/2006/main">
              <a:graphicData uri="http://schemas.openxmlformats.org/drawingml/2006/picture">
                <pic:pic xmlns:pic="http://schemas.openxmlformats.org/drawingml/2006/picture">
                  <pic:nvPicPr>
                    <pic:cNvPr id="109" name="Fig9"/>
                    <pic:cNvPicPr/>
                  </pic:nvPicPr>
                  <pic:blipFill>
                    <a:blip xmlns:r="http://schemas.openxmlformats.org/officeDocument/2006/relationships" r:embed="rId105"/>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4.9 — Validation EER по эпохам (все модели)</w:t>
      </w:r>
    </w:p>
    <w:p>
      <w:pPr>
        <w:jc w:val="center"/>
      </w:pPr>
      <w:r>
        <w:drawing>
          <wp:inline xmlns:wp="http://schemas.openxmlformats.org/drawingml/2006/wordprocessingDrawing" distT="0" distB="0" distL="0" distR="0">
            <wp:extent cx="5400000" cy="3200000"/>
            <wp:docPr id="110" name="Fig10"/>
            <a:graphic xmlns:a="http://schemas.openxmlformats.org/drawingml/2006/main">
              <a:graphicData uri="http://schemas.openxmlformats.org/drawingml/2006/picture">
                <pic:pic xmlns:pic="http://schemas.openxmlformats.org/drawingml/2006/picture">
                  <pic:nvPicPr>
                    <pic:cNvPr id="110" name="Fig10"/>
                    <pic:cNvPicPr/>
                  </pic:nvPicPr>
                  <pic:blipFill>
                    <a:blip xmlns:r="http://schemas.openxmlformats.org/officeDocument/2006/relationships" r:embed="rId106"/>
                    <a:stretch>
                      <a:fillRect/>
                    </a:stretch>
                  </pic:blipFill>
                  <pic:spPr>
                    <a:xfrm>
                      <a:off x="0" y="0"/>
                      <a:ext cx="5400000" cy="3200000"/>
                    </a:xfrm>
                    <a:prstGeom prst="rect">
                      <a:avLst/>
                    </a:prstGeom>
                  </pic:spPr>
                </pic:pic>
              </a:graphicData>
            </a:graphic>
          </wp: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83.5%</w:t>
            </w:r>
          </w:p>
        </w:tc>
        <w:tc>
          <w:tcPr>
            <w:tcW w:type="dxa" w:w="1403"/>
          </w:tcPr>
          <w:p>
            <w:pPr>
              <w:spacing w:after="0"/>
              <w:ind w:firstLine="0"/>
              <w:jc w:val="center"/>
            </w:pPr>
            <w:r>
              <w:rPr>
                <w:rFonts w:ascii="Times New Roman" w:hAnsi="Times New Roman"/>
                <w:sz w:val="22"/>
              </w:rPr>
              <w:t>0.830</w:t>
            </w:r>
          </w:p>
        </w:tc>
        <w:tc>
          <w:tcPr>
            <w:tcW w:type="dxa" w:w="1403"/>
          </w:tcPr>
          <w:p>
            <w:pPr>
              <w:spacing w:after="0"/>
              <w:ind w:firstLine="0"/>
              <w:jc w:val="center"/>
            </w:pPr>
            <w:r>
              <w:rPr>
                <w:rFonts w:ascii="Times New Roman" w:hAnsi="Times New Roman"/>
                <w:sz w:val="22"/>
              </w:rPr>
              <w:t>0.169</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83.1%</w:t>
            </w:r>
          </w:p>
        </w:tc>
        <w:tc>
          <w:tcPr>
            <w:tcW w:type="dxa" w:w="1403"/>
          </w:tcPr>
          <w:p>
            <w:pPr>
              <w:spacing w:after="0"/>
              <w:ind w:firstLine="0"/>
              <w:jc w:val="center"/>
            </w:pPr>
            <w:r>
              <w:rPr>
                <w:rFonts w:ascii="Times New Roman" w:hAnsi="Times New Roman"/>
                <w:sz w:val="22"/>
              </w:rPr>
              <w:t>0.825</w:t>
            </w:r>
          </w:p>
        </w:tc>
        <w:tc>
          <w:tcPr>
            <w:tcW w:type="dxa" w:w="1403"/>
          </w:tcPr>
          <w:p>
            <w:pPr>
              <w:spacing w:after="0"/>
              <w:ind w:firstLine="0"/>
              <w:jc w:val="center"/>
            </w:pPr>
            <w:r>
              <w:rPr>
                <w:rFonts w:ascii="Times New Roman" w:hAnsi="Times New Roman"/>
                <w:sz w:val="22"/>
              </w:rPr>
              <w:t>0.171</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82.9%</w:t>
            </w:r>
          </w:p>
        </w:tc>
        <w:tc>
          <w:tcPr>
            <w:tcW w:type="dxa" w:w="1403"/>
          </w:tcPr>
          <w:p>
            <w:pPr>
              <w:spacing w:after="0"/>
              <w:ind w:firstLine="0"/>
              <w:jc w:val="center"/>
            </w:pPr>
            <w:r>
              <w:rPr>
                <w:rFonts w:ascii="Times New Roman" w:hAnsi="Times New Roman"/>
                <w:sz w:val="22"/>
              </w:rPr>
              <w:t>0.823</w:t>
            </w:r>
          </w:p>
        </w:tc>
        <w:tc>
          <w:tcPr>
            <w:tcW w:type="dxa" w:w="1403"/>
          </w:tcPr>
          <w:p>
            <w:pPr>
              <w:spacing w:after="0"/>
              <w:ind w:firstLine="0"/>
              <w:jc w:val="center"/>
            </w:pPr>
            <w:r>
              <w:rPr>
                <w:rFonts w:ascii="Times New Roman" w:hAnsi="Times New Roman"/>
                <w:sz w:val="22"/>
              </w:rPr>
              <w:t>0.163</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82.3%</w:t>
            </w:r>
          </w:p>
        </w:tc>
        <w:tc>
          <w:tcPr>
            <w:tcW w:type="dxa" w:w="1403"/>
          </w:tcPr>
          <w:p>
            <w:pPr>
              <w:spacing w:after="0"/>
              <w:ind w:firstLine="0"/>
              <w:jc w:val="center"/>
            </w:pPr>
            <w:r>
              <w:rPr>
                <w:rFonts w:ascii="Times New Roman" w:hAnsi="Times New Roman"/>
                <w:sz w:val="22"/>
              </w:rPr>
              <w:t>0.817</w:t>
            </w:r>
          </w:p>
        </w:tc>
        <w:tc>
          <w:tcPr>
            <w:tcW w:type="dxa" w:w="1403"/>
          </w:tcPr>
          <w:p>
            <w:pPr>
              <w:spacing w:after="0"/>
              <w:ind w:firstLine="0"/>
              <w:jc w:val="center"/>
            </w:pPr>
            <w:r>
              <w:rPr>
                <w:rFonts w:ascii="Times New Roman" w:hAnsi="Times New Roman"/>
                <w:sz w:val="22"/>
              </w:rPr>
              <w:t>0.172</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улучшение баланса классов. Объединённый набор из двух датасетов характеризуется выраженным дисбалансом: DFD01 содержит лишь 10.6% реальных видео (363 из 3431), что смещает обучение. Добавление Celeb-DF v2 (17.9% реальных, 589 из 3299) частично компенсирует этот дисбаланс.</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br/>
        <w:br/>
        <w:t>К ограничениям текущей версии работы относятся использование двух наборов данных из различных источников (без включения Celeb-DF-v2), отсутствие завершённой визуализации attention maps, а также необходимость расширения cross-dataset оценки на дополнительные наборы данных.</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трёх измерениях: архитектурные конфигурации (ablation study), длина входной последовательности (T=16 vs T=32) и количество наборов данных (1 vs 2). На тестовой выборке DFDC02 полная модель (dual-path + adaptive fusion) при T=32 достигает AUC = 0.987, Accuracy = 95.7%, F1 = 0.955, EER = 0.045. Увеличение T с 16 до 32 даёт устойчивый прирост AUC от +0.005 до +0.010 для всех конфигураций. Мульти-датасетное обучение (DFDC02 + DFD01) показало снижение AUC до 0.899, однако выявило ключевой результат: временна́я ветвь (A3, AUC 0.900) обобщает лучше пространственной (A2, AUC 0.897) при разнородных данных, тогда как на одном датасете наблюдается обратное соотношение. Это подтверждает, что dual-path архитектура (A1 Full) является оптимальным выбором для практического применения, объединяя точность пространственной ветви с устойчивостью временно́й.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трёх измерениях. На DFDC02 (T=32) достигнуты значения AUC 0.987, Accuracy 95.7%, F1-score 0.955 и EER 0.045. Мульти-датасетное обучение (DFDC02 + DFD01, T=16) показало AUC 0.899 для полной модели. Обучение на трёх объединённых наборах данных (DFDC02 + DFD01 + Celeb-DF v2, 10023 видео) показало AUC 0.959 с точностью 94.4% и F1-score 0.962, подтверждая эффективность мультидатасетного подхода для повышения обобщающей способности. Увеличение длины клипа с T=16 до T=32 даёт устойчивый прирост AUC от +0.005 до +0.010.</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завершение обучения на трёх датасетах для T=32 (T=16 завершено, AUC 0.959); расширение экспериментальной оценки на FaceForensics++; масштабирование cross-dataset evaluation; исследование fine-tuning backbone при наличии стабильной CUDA-среды.</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30. Amin, M. Analyzing Temporal Coherence for Deepfake Video Detection / M. Amin [et al.] // Electronic Research Archive.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run_experiments.py — автоматизация ablation study</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&lt;url&gt;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&lt;input_dir&gt; &lt;output_dir&gt;</w:t>
      </w:r>
    </w:p>
    <w:p>
      <w:pPr>
        <w:ind w:firstLine="0"/>
        <w:jc w:val="both"/>
      </w:pPr>
      <w:r>
        <w:rPr>
          <w:rFonts w:ascii="Times New Roman" w:hAnsi="Times New Roman"/>
          <w:sz w:val="28"/>
        </w:rPr>
        <w:t xml:space="preserve">4. Запустить полный эксперимент: python train.py --model_type full --batch_size 16 --dataset_root &lt;output_dir&gt;</w:t>
      </w:r>
    </w:p>
    <w:p>
      <w:pPr>
        <w:ind w:firstLine="0"/>
        <w:jc w:val="both"/>
      </w:pPr>
      <w:r>
        <w:rPr>
          <w:rFonts w:ascii="Times New Roman" w:hAnsi="Times New Roman"/>
          <w:sz w:val="28"/>
        </w:rPr>
        <w:t xml:space="preserve">5. Запустить серию ablation: python run_experiments.py</w:t>
      </w:r>
    </w:p>
    <w:p>
      <w:pPr>
        <w:ind w:firstLine="0"/>
        <w:jc w:val="both"/>
      </w:pPr>
      <w:r>
        <w:rPr>
          <w:rFonts w:ascii="Times New Roman" w:hAnsi="Times New Roman"/>
          <w:sz w:val="28"/>
        </w:rPr>
        <w:t xml:space="preserve">6. Оценить модели: python evaluate.py --model_path &lt;checkpoint&gt; --dataset_root &lt;output_dir&gt;</w:t>
      </w:r>
    </w:p>
    <w:p>
      <w:pPr>
        <w:ind w:firstLine="0"/>
        <w:jc w:val="both"/>
      </w:pPr>
      <w:r>
        <w:rPr>
          <w:rFonts w:ascii="Times New Roman" w:hAnsi="Times New Roman"/>
          <w:sz w:val="28"/>
        </w:rPr>
        <w:t xml:space="preserve">7. Оценка: python evaluate.py --checkpoint experiments/best_model.pt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