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ОБРАЗОВАНИЯ И НАУКИ РОССИЙСКОЙ ФЕДЕРАЦИИ</w:t>
      </w:r>
    </w:p>
    <w:p>
      <w:pPr>
        <w:spacing w:after="0"/>
        <w:ind w:firstLine="0"/>
        <w:jc w:val="center"/>
      </w:pPr>
      <w:r>
        <w:rPr>
          <w:rFonts w:ascii="Times New Roman" w:hAnsi="Times New Roman"/>
          <w:b w:val="0"/>
          <w:sz w:val="24"/>
        </w:rPr>
        <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74 с., 10 рис., 10 табл., 42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трёх наборах данных (DFDC, DFD01 и Celeb-DF v2)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[24]),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(5 эпох frozen, затем fine-tune 2 блока)</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Следует указать,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(3431 видео, 363 real, 3068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превышает типичные значения из литературы (15–25% для CNN-детекторов [25]), что объясняется различием доменов и отсутствием специализированных методов повышения обобщения.</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92.5%</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92.7%</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Ложноположительные детекции (FP) представляют случаи, в которых реальные видео ошибочно классифицированы как манипулированные. Анализ FP показывает, что ложные срабатывания преимущественно возникают на видео с нестандартным освещением, частичным перекрытием лица и резкими движениями камеры, которые порождают межкадровые артефакты, схожие с артефактами deepfake.</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