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ind w:firstLine="0"/>
      </w:pPr>
      <w:r>
        <w:rPr>
          <w:rFonts w:ascii="Times New Roman" w:hAnsi="Times New Roman"/>
          <w:sz w:val="28"/>
        </w:rPr>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ind w:firstLine="0"/>
      </w:pPr>
    </w:p>
    <w:p>
      <w:pPr>
        <w:jc w:val="right"/>
        <w:ind w:firstLine="0"/>
      </w:pPr>
      <w:r>
        <w:rPr>
          <w:rFonts w:ascii="Times New Roman" w:hAnsi="Times New Roman"/>
          <w:sz w:val="24"/>
        </w:rPr>
        <w:t>На правах рукописи</w:t>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spacing w:after="0"/>
        <w:ind w:firstLine="0"/>
        <w:jc w:val="center"/>
      </w:pPr>
      <w:r>
        <w:rPr>
          <w:rFonts w:ascii="Times New Roman" w:hAnsi="Times New Roman"/>
          <w:sz w:val="24"/>
        </w:rPr>
        <w:t>Направление подготовки 09.04.01 «Информатика и вычислительная техника»</w:t>
      </w:r>
    </w:p>
    <w:p>
      <w:pPr>
        <w:ind w:firstLine="0"/>
      </w:pPr>
      <w:r>
        <w:rPr>
          <w:rFonts w:ascii="Times New Roman" w:hAnsi="Times New Roman"/>
          <w:sz w:val="28"/>
        </w:rPr>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jc w:val="right"/>
      </w:pPr>
      <w:r>
        <w:rPr>
          <w:rFonts w:ascii="Times New Roman" w:hAnsi="Times New Roman"/>
          <w:sz w:val="28"/>
        </w:rPr>
        <w:t>Студент: ________________________________</w:t>
      </w:r>
    </w:p>
    <w:p>
      <w:pPr>
        <w:ind w:firstLine="0"/>
      </w:pPr>
      <w:r>
        <w:rPr>
          <w:rFonts w:ascii="Times New Roman" w:hAnsi="Times New Roman"/>
          <w:sz w:val="28"/>
        </w:rPr>
      </w:r>
    </w:p>
    <w:p>
      <w:pPr>
        <w:ind w:firstLine="0"/>
        <w:jc w:val="right"/>
      </w:pPr>
      <w:r>
        <w:rPr>
          <w:rFonts w:ascii="Times New Roman" w:hAnsi="Times New Roman"/>
          <w:sz w:val="28"/>
        </w:rPr>
        <w:t>Научный руководитель: ________________________________</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ind w:firstLine="0"/>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67 с., 10 рис., 9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ind w:firstLine="0"/>
      </w:pPr>
      <w:r>
        <w:fldChar w:fldCharType="begin"/>
        <w:instrText xml:space="preserve"> TOC \o "1-3" \h \z \u </w:instrText>
        <w:fldChar w:fldCharType="separate"/>
      </w:r>
      <w:r>
        <w:rPr>
          <w:rFonts w:ascii="Times New Roman" w:hAnsi="Times New Roman"/>
          <w:color w:val="808080"/>
          <w:sz w:val="24"/>
        </w:rPr>
        <w:t/>
      </w:r>
      <w:r>
        <w:fldChar w:fldCharType="end"/>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ind w:firstLine="0"/>
        <w:jc w:val="center"/>
      </w:pPr>
      <w:r>
        <w:rPr>
          <w:rFonts w:ascii="Times New Roman" w:hAnsi="Times New Roman"/>
          <w:i/>
          <w:sz w:val="28"/>
          <w:color w:val="FF0000"/>
        </w:rPr>
        <w:t>[РИСУНОК 3.1: Блок-схема предлагаемого метода — ТРЕБУЕТСЯ ВСТАВКА ДИАГРАММЫ]</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xmlns:wp="http://schemas.openxmlformats.org/drawingml/2006/wordprocessingDrawing" distT="0" distB="0" distL="0" distR="0">
            <wp:extent cx="5800000" cy="2600000"/>
            <wp:docPr id="101" name="Fig1"/>
            <a:graphic xmlns:a="http://schemas.openxmlformats.org/drawingml/2006/main">
              <a:graphicData uri="http://schemas.openxmlformats.org/drawingml/2006/picture">
                <pic:pic xmlns:pic="http://schemas.openxmlformats.org/drawingml/2006/picture">
                  <pic:nvPicPr>
                    <pic:cNvPr id="101" name="Fig1"/>
                    <pic:cNvPicPr/>
                  </pic:nvPicPr>
                  <pic:blipFill>
                    <a:blip xmlns:r="http://schemas.openxmlformats.org/officeDocument/2006/relationships" r:embed="rId101"/>
                    <a:stretch>
                      <a:fillRect/>
                    </a:stretch>
                  </pic:blipFill>
                  <pic:spPr>
                    <a:xfrm>
                      <a:off x="0" y="0"/>
                      <a:ext cx="5800000" cy="2600000"/>
                    </a:xfrm>
                    <a:prstGeom prst="rect">
                      <a:avLst/>
                    </a:prstGeom>
                  </pic:spPr>
                </pic:pic>
              </a:graphicData>
            </a:graphic>
          </wp:inline>
        </w:drawing>
      </w:r>
    </w:p>
    <w:p>
      <w:pPr>
        <w:jc w:val="center"/>
      </w:pPr>
      <w:r>
        <w:rPr>
          <w:sz w:val="22"/>
        </w:rPr>
        <w:t xml:space="preserve">Рисунок 4.1 — Кривые обучения Train/Val Loss</w:t>
      </w:r>
    </w:p>
    <w:p>
      <w:pPr>
        <w:jc w:val="center"/>
      </w:pPr>
      <w:r>
        <w:drawing>
          <wp:inline xmlns:wp="http://schemas.openxmlformats.org/drawingml/2006/wordprocessingDrawing" distT="0" distB="0" distL="0" distR="0">
            <wp:extent cx="5400000" cy="3400000"/>
            <wp:docPr id="102" name="Fig2"/>
            <a:graphic xmlns:a="http://schemas.openxmlformats.org/drawingml/2006/main">
              <a:graphicData uri="http://schemas.openxmlformats.org/drawingml/2006/picture">
                <pic:pic xmlns:pic="http://schemas.openxmlformats.org/drawingml/2006/picture">
                  <pic:nvPicPr>
                    <pic:cNvPr id="102" name="Fig2"/>
                    <pic:cNvPicPr/>
                  </pic:nvPicPr>
                  <pic:blipFill>
                    <a:blip xmlns:r="http://schemas.openxmlformats.org/officeDocument/2006/relationships" r:embed="rId102"/>
                    <a:stretch>
                      <a:fillRect/>
                    </a:stretch>
                  </pic:blipFill>
                  <pic:spPr>
                    <a:xfrm>
                      <a:off x="0" y="0"/>
                      <a:ext cx="5400000" cy="3400000"/>
                    </a:xfrm>
                    <a:prstGeom prst="rect">
                      <a:avLst/>
                    </a:prstGeom>
                  </pic:spPr>
                </pic:pic>
              </a:graphicData>
            </a:graphic>
          </wp:inline>
        </w:drawing>
      </w:r>
    </w:p>
    <w:p>
      <w:pPr>
        <w:jc w:val="center"/>
      </w:pPr>
      <w:r>
        <w:rPr>
          <w:sz w:val="22"/>
        </w:rPr>
        <w:t xml:space="preserve">Рисунок 4.2 — Validation AUC по эпохам</w:t>
      </w:r>
    </w:p>
    <w:p>
      <w:pPr>
        <w:jc w:val="center"/>
      </w:pPr>
      <w:r>
        <w:drawing>
          <wp:inline xmlns:wp="http://schemas.openxmlformats.org/drawingml/2006/wordprocessingDrawing" distT="0" distB="0" distL="0" distR="0">
            <wp:extent cx="4200000" cy="3600000"/>
            <wp:docPr id="103" name="Fig3"/>
            <a:graphic xmlns:a="http://schemas.openxmlformats.org/drawingml/2006/main">
              <a:graphicData uri="http://schemas.openxmlformats.org/drawingml/2006/picture">
                <pic:pic xmlns:pic="http://schemas.openxmlformats.org/drawingml/2006/picture">
                  <pic:nvPicPr>
                    <pic:cNvPr id="103" name="Fig3"/>
                    <pic:cNvPicPr/>
                  </pic:nvPicPr>
                  <pic:blipFill>
                    <a:blip xmlns:r="http://schemas.openxmlformats.org/officeDocument/2006/relationships" r:embed="rId109"/>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4.3 — ROC-кривая полной модели (AUC = 0.9777)</w:t>
      </w:r>
    </w:p>
    <w:p>
      <w:pPr>
        <w:jc w:val="center"/>
      </w:pPr>
      <w:r>
        <w:drawing>
          <wp:inline xmlns:wp="http://schemas.openxmlformats.org/drawingml/2006/wordprocessingDrawing" distT="0" distB="0" distL="0" distR="0">
            <wp:extent cx="4200000" cy="3600000"/>
            <wp:docPr id="104" name="Fig4"/>
            <a:graphic xmlns:a="http://schemas.openxmlformats.org/drawingml/2006/main">
              <a:graphicData uri="http://schemas.openxmlformats.org/drawingml/2006/picture">
                <pic:pic xmlns:pic="http://schemas.openxmlformats.org/drawingml/2006/picture">
                  <pic:nvPicPr>
                    <pic:cNvPr id="104" name="Fig4"/>
                    <pic:cNvPicPr/>
                  </pic:nvPicPr>
                  <pic:blipFill>
                    <a:blip xmlns:r="http://schemas.openxmlformats.org/officeDocument/2006/relationships" r:embed="rId110"/>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4.4 — ROC-кривая A2 Spatial-only (AUC = 0.9835)</w:t>
      </w:r>
    </w:p>
    <w:p>
      <w:pPr>
        <w:jc w:val="center"/>
      </w:pPr>
      <w:r>
        <w:drawing>
          <wp:inline xmlns:wp="http://schemas.openxmlformats.org/drawingml/2006/wordprocessingDrawing" distT="0" distB="0" distL="0" distR="0">
            <wp:extent cx="4200000" cy="3600000"/>
            <wp:docPr id="105" name="Fig5"/>
            <a:graphic xmlns:a="http://schemas.openxmlformats.org/drawingml/2006/main">
              <a:graphicData uri="http://schemas.openxmlformats.org/drawingml/2006/picture">
                <pic:pic xmlns:pic="http://schemas.openxmlformats.org/drawingml/2006/picture">
                  <pic:nvPicPr>
                    <pic:cNvPr id="105" name="Fig5"/>
                    <pic:cNvPicPr/>
                  </pic:nvPicPr>
                  <pic:blipFill>
                    <a:blip xmlns:r="http://schemas.openxmlformats.org/officeDocument/2006/relationships" r:embed="rId107"/>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4.5 — Матрица ошибок полной модели</w:t>
      </w:r>
    </w:p>
    <w:p>
      <w:pPr>
        <w:jc w:val="center"/>
      </w:pPr>
      <w:r>
        <w:drawing>
          <wp:inline xmlns:wp="http://schemas.openxmlformats.org/drawingml/2006/wordprocessingDrawing" distT="0" distB="0" distL="0" distR="0">
            <wp:extent cx="4200000" cy="3600000"/>
            <wp:docPr id="106" name="Fig6"/>
            <a:graphic xmlns:a="http://schemas.openxmlformats.org/drawingml/2006/main">
              <a:graphicData uri="http://schemas.openxmlformats.org/drawingml/2006/picture">
                <pic:pic xmlns:pic="http://schemas.openxmlformats.org/drawingml/2006/picture">
                  <pic:nvPicPr>
                    <pic:cNvPr id="106" name="Fig6"/>
                    <pic:cNvPicPr/>
                  </pic:nvPicPr>
                  <pic:blipFill>
                    <a:blip xmlns:r="http://schemas.openxmlformats.org/officeDocument/2006/relationships" r:embed="rId108"/>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xmlns:wp="http://schemas.openxmlformats.org/drawingml/2006/wordprocessingDrawing" distT="0" distB="0" distL="0" distR="0">
            <wp:extent cx="5400000" cy="3400000"/>
            <wp:docPr id="107" name="Fig7"/>
            <a:graphic xmlns:a="http://schemas.openxmlformats.org/drawingml/2006/main">
              <a:graphicData uri="http://schemas.openxmlformats.org/drawingml/2006/picture">
                <pic:pic xmlns:pic="http://schemas.openxmlformats.org/drawingml/2006/picture">
                  <pic:nvPicPr>
                    <pic:cNvPr id="107" name="Fig7"/>
                    <pic:cNvPicPr/>
                  </pic:nvPicPr>
                  <pic:blipFill>
                    <a:blip xmlns:r="http://schemas.openxmlformats.org/officeDocument/2006/relationships" r:embed="rId103"/>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xmlns:wp="http://schemas.openxmlformats.org/drawingml/2006/wordprocessingDrawing" distT="0" distB="0" distL="0" distR="0">
            <wp:extent cx="5400000" cy="3400000"/>
            <wp:docPr id="108" name="Fig8"/>
            <a:graphic xmlns:a="http://schemas.openxmlformats.org/drawingml/2006/main">
              <a:graphicData uri="http://schemas.openxmlformats.org/drawingml/2006/picture">
                <pic:pic xmlns:pic="http://schemas.openxmlformats.org/drawingml/2006/picture">
                  <pic:nvPicPr>
                    <pic:cNvPr id="108" name="Fig8"/>
                    <pic:cNvPicPr/>
                  </pic:nvPicPr>
                  <pic:blipFill>
                    <a:blip xmlns:r="http://schemas.openxmlformats.org/officeDocument/2006/relationships" r:embed="rId104"/>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4.8 — Overfit analysis: разрыв Val/Train Loss по эпохам</w:t>
      </w:r>
    </w:p>
    <w:p>
      <w:pPr>
        <w:jc w:val="center"/>
      </w:pPr>
      <w:r>
        <w:drawing>
          <wp:inline xmlns:wp="http://schemas.openxmlformats.org/drawingml/2006/wordprocessingDrawing" distT="0" distB="0" distL="0" distR="0">
            <wp:extent cx="5400000" cy="3400000"/>
            <wp:docPr id="109" name="Fig9"/>
            <a:graphic xmlns:a="http://schemas.openxmlformats.org/drawingml/2006/main">
              <a:graphicData uri="http://schemas.openxmlformats.org/drawingml/2006/picture">
                <pic:pic xmlns:pic="http://schemas.openxmlformats.org/drawingml/2006/picture">
                  <pic:nvPicPr>
                    <pic:cNvPr id="109" name="Fig9"/>
                    <pic:cNvPicPr/>
                  </pic:nvPicPr>
                  <pic:blipFill>
                    <a:blip xmlns:r="http://schemas.openxmlformats.org/officeDocument/2006/relationships" r:embed="rId105"/>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4.9 — Validation EER по эпохам (все модели)</w:t>
      </w:r>
    </w:p>
    <w:p>
      <w:pPr>
        <w:jc w:val="center"/>
      </w:pPr>
      <w:r>
        <w:drawing>
          <wp:inline xmlns:wp="http://schemas.openxmlformats.org/drawingml/2006/wordprocessingDrawing" distT="0" distB="0" distL="0" distR="0">
            <wp:extent cx="5400000" cy="3200000"/>
            <wp:docPr id="110" name="Fig10"/>
            <a:graphic xmlns:a="http://schemas.openxmlformats.org/drawingml/2006/main">
              <a:graphicData uri="http://schemas.openxmlformats.org/drawingml/2006/picture">
                <pic:pic xmlns:pic="http://schemas.openxmlformats.org/drawingml/2006/picture">
                  <pic:nvPicPr>
                    <pic:cNvPr id="110" name="Fig10"/>
                    <pic:cNvPicPr/>
                  </pic:nvPicPr>
                  <pic:blipFill>
                    <a:blip xmlns:r="http://schemas.openxmlformats.org/officeDocument/2006/relationships" r:embed="rId106"/>
                    <a:stretch>
                      <a:fillRect/>
                    </a:stretch>
                  </pic:blipFill>
                  <pic:spPr>
                    <a:xfrm>
                      <a:off x="0" y="0"/>
                      <a:ext cx="5400000" cy="3200000"/>
                    </a:xfrm>
                    <a:prstGeom prst="rect">
                      <a:avLst/>
                    </a:prstGeom>
                  </pic:spPr>
                </pic: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0" w:type="auto"/>
          </w:tcPr>
          <w:p>
            <w:pPr>
              <w:jc w:val="ctr"/>
            </w:pPr>
            <w:r>
              <w:rPr>
                <w:rFonts w:ascii="Times New Roman" w:hAnsi="Times New Roman"/>
                <w:b/>
                <w:sz w:val="28"/>
              </w:rPr>
              <w:t>Модель</w:t>
            </w:r>
          </w:p>
        </w:tc>
        <w:tc>
          <w:tcPr>
            <w:tcW w:w="0" w:type="auto"/>
          </w:tcPr>
          <w:p>
            <w:pPr>
              <w:jc w:val="ctr"/>
            </w:pPr>
            <w:r>
              <w:rPr>
                <w:rFonts w:ascii="Times New Roman" w:hAnsi="Times New Roman"/>
                <w:b/>
                <w:sz w:val="28"/>
              </w:rPr>
              <w:t>AUC</w:t>
            </w:r>
          </w:p>
        </w:tc>
        <w:tc>
          <w:tcPr>
            <w:tcW w:w="0" w:type="auto"/>
          </w:tcPr>
          <w:p>
            <w:pPr>
              <w:jc w:val="ctr"/>
            </w:pPr>
            <w:r>
              <w:rPr>
                <w:rFonts w:ascii="Times New Roman" w:hAnsi="Times New Roman"/>
                <w:b/>
                <w:sz w:val="28"/>
              </w:rPr>
              <w:t>Accuracy</w:t>
            </w:r>
          </w:p>
        </w:tc>
        <w:tc>
          <w:tcPr>
            <w:tcW w:w="0" w:type="auto"/>
          </w:tcPr>
          <w:p>
            <w:pPr>
              <w:jc w:val="ctr"/>
            </w:pPr>
            <w:r>
              <w:rPr>
                <w:rFonts w:ascii="Times New Roman" w:hAnsi="Times New Roman"/>
                <w:b/>
                <w:sz w:val="28"/>
              </w:rPr>
              <w:t>F1</w:t>
            </w:r>
          </w:p>
        </w:tc>
        <w:tc>
          <w:tcPr>
            <w:tcW w:w="0" w:type="auto"/>
          </w:tcPr>
          <w:p>
            <w:pPr>
              <w:jc w:val="ctr"/>
            </w:pPr>
            <w:r>
              <w:rPr>
                <w:rFonts w:ascii="Times New Roman" w:hAnsi="Times New Roman"/>
                <w:b/>
                <w:sz w:val="28"/>
              </w:rPr>
              <w:t>EER</w:t>
            </w:r>
          </w:p>
        </w:tc>
        <w:tc>
          <w:tcPr>
            <w:tcW w:w="0" w:type="auto"/>
          </w:tcPr>
          <w:p>
            <w:pPr>
              <w:jc w:val="ctr"/>
            </w:pPr>
            <w:r>
              <w:rPr>
                <w:rFonts w:ascii="Times New Roman" w:hAnsi="Times New Roman"/>
                <w:b/>
                <w:sz w:val="28"/>
              </w:rPr>
              <w:t>Epoch</w:t>
            </w:r>
          </w:p>
        </w:tc>
      </w:tr>
      <w:tr>
        <w:tc>
          <w:tcPr>
            <w:tcW w:w="0" w:type="auto"/>
          </w:tcPr>
          <w:p>
            <w:r>
              <w:rPr>
                <w:rFonts w:ascii="Times New Roman" w:hAnsi="Times New Roman"/>
                <w:b/>
                <w:sz w:val="28"/>
              </w:rPr>
              <w:t>A1: Full (dual-path)</w:t>
            </w:r>
          </w:p>
        </w:tc>
        <w:tc>
          <w:tcPr>
            <w:tcW w:w="0" w:type="auto"/>
          </w:tcPr>
          <w:p>
            <w:pPr>
              <w:jc w:val="ctr"/>
            </w:pPr>
            <w:r>
              <w:rPr>
                <w:rFonts w:ascii="Times New Roman" w:hAnsi="Times New Roman"/>
                <w:b/>
                <w:sz w:val="28"/>
              </w:rPr>
              <w:t>0.9943</w:t>
            </w:r>
          </w:p>
        </w:tc>
        <w:tc>
          <w:tcPr>
            <w:tcW w:w="0" w:type="auto"/>
          </w:tcPr>
          <w:p>
            <w:pPr>
              <w:jc w:val="ctr"/>
            </w:pPr>
            <w:r>
              <w:rPr>
                <w:rFonts w:ascii="Times New Roman" w:hAnsi="Times New Roman"/>
                <w:b/>
                <w:sz w:val="28"/>
              </w:rPr>
              <w:t>96.7%</w:t>
            </w:r>
          </w:p>
        </w:tc>
        <w:tc>
          <w:tcPr>
            <w:tcW w:w="0" w:type="auto"/>
          </w:tcPr>
          <w:p>
            <w:pPr>
              <w:jc w:val="ctr"/>
            </w:pPr>
            <w:r>
              <w:rPr>
                <w:rFonts w:ascii="Times New Roman" w:hAnsi="Times New Roman"/>
                <w:b/>
                <w:sz w:val="28"/>
              </w:rPr>
              <w:t>0.978</w:t>
            </w:r>
          </w:p>
        </w:tc>
        <w:tc>
          <w:tcPr>
            <w:tcW w:w="0" w:type="auto"/>
          </w:tcPr>
          <w:p>
            <w:pPr>
              <w:jc w:val="ctr"/>
            </w:pPr>
            <w:r>
              <w:rPr>
                <w:rFonts w:ascii="Times New Roman" w:hAnsi="Times New Roman"/>
                <w:b/>
                <w:sz w:val="28"/>
              </w:rPr>
              <w:t>0.041</w:t>
            </w:r>
          </w:p>
        </w:tc>
        <w:tc>
          <w:tcPr>
            <w:tcW w:w="0" w:type="auto"/>
          </w:tcPr>
          <w:p>
            <w:pPr>
              <w:jc w:val="ctr"/>
            </w:pPr>
            <w:r>
              <w:rPr>
                <w:rFonts w:ascii="Times New Roman" w:hAnsi="Times New Roman"/>
                <w:b/>
                <w:sz w:val="28"/>
              </w:rPr>
              <w:t>28</w:t>
            </w:r>
          </w:p>
        </w:tc>
      </w:tr>
      <w:tr>
        <w:tc>
          <w:tcPr>
            <w:tcW w:w="0" w:type="auto"/>
          </w:tcPr>
          <w:p>
            <w:r>
              <w:rPr>
                <w:rFonts w:ascii="Times New Roman" w:hAnsi="Times New Roman"/>
                <w:sz w:val="28"/>
              </w:rPr>
              <w:t>A2: Spatial-only</w:t>
            </w:r>
          </w:p>
        </w:tc>
        <w:tc>
          <w:tcPr>
            <w:tcW w:w="0" w:type="auto"/>
          </w:tcPr>
          <w:p>
            <w:pPr>
              <w:jc w:val="ctr"/>
            </w:pPr>
            <w:r>
              <w:rPr>
                <w:rFonts w:ascii="Times New Roman" w:hAnsi="Times New Roman"/>
                <w:sz w:val="28"/>
              </w:rPr>
              <w:t>0.9904</w:t>
            </w:r>
          </w:p>
        </w:tc>
        <w:tc>
          <w:tcPr>
            <w:tcW w:w="0" w:type="auto"/>
          </w:tcPr>
          <w:p>
            <w:pPr>
              <w:jc w:val="ctr"/>
            </w:pPr>
            <w:r>
              <w:rPr>
                <w:rFonts w:ascii="Times New Roman" w:hAnsi="Times New Roman"/>
                <w:sz w:val="28"/>
              </w:rPr>
              <w:t>95.8%</w:t>
            </w:r>
          </w:p>
        </w:tc>
        <w:tc>
          <w:tcPr>
            <w:tcW w:w="0" w:type="auto"/>
          </w:tcPr>
          <w:p>
            <w:pPr>
              <w:jc w:val="ctr"/>
            </w:pPr>
            <w:r>
              <w:rPr>
                <w:rFonts w:ascii="Times New Roman" w:hAnsi="Times New Roman"/>
                <w:sz w:val="28"/>
              </w:rPr>
              <w:t>0.971</w:t>
            </w:r>
          </w:p>
        </w:tc>
        <w:tc>
          <w:tcPr>
            <w:tcW w:w="0" w:type="auto"/>
          </w:tcPr>
          <w:p>
            <w:pPr>
              <w:jc w:val="ctr"/>
            </w:pPr>
            <w:r>
              <w:rPr>
                <w:rFonts w:ascii="Times New Roman" w:hAnsi="Times New Roman"/>
                <w:sz w:val="28"/>
              </w:rPr>
              <w:t>0.047</w:t>
            </w:r>
          </w:p>
        </w:tc>
        <w:tc>
          <w:tcPr>
            <w:tcW w:w="0" w:type="auto"/>
          </w:tcPr>
          <w:p>
            <w:pPr>
              <w:jc w:val="ctr"/>
            </w:pPr>
            <w:r>
              <w:rPr>
                <w:rFonts w:ascii="Times New Roman" w:hAnsi="Times New Roman"/>
                <w:sz w:val="28"/>
              </w:rPr>
              <w:t>19</w:t>
            </w:r>
          </w:p>
        </w:tc>
      </w:tr>
      <w:tr>
        <w:tc>
          <w:tcPr>
            <w:tcW w:w="0" w:type="auto"/>
          </w:tcPr>
          <w:p>
            <w:r>
              <w:rPr>
                <w:rFonts w:ascii="Times New Roman" w:hAnsi="Times New Roman"/>
                <w:sz w:val="28"/>
              </w:rPr>
              <w:t>A3: Temporal-only</w:t>
            </w:r>
          </w:p>
        </w:tc>
        <w:tc>
          <w:tcPr>
            <w:tcW w:w="0" w:type="auto"/>
          </w:tcPr>
          <w:p>
            <w:pPr>
              <w:jc w:val="ctr"/>
            </w:pPr>
            <w:r>
              <w:rPr>
                <w:rFonts w:ascii="Times New Roman" w:hAnsi="Times New Roman"/>
                <w:sz w:val="28"/>
              </w:rPr>
              <w:t>0.9883</w:t>
            </w:r>
          </w:p>
        </w:tc>
        <w:tc>
          <w:tcPr>
            <w:tcW w:w="0" w:type="auto"/>
          </w:tcPr>
          <w:p>
            <w:pPr>
              <w:jc w:val="ctr"/>
            </w:pPr>
            <w:r>
              <w:rPr>
                <w:rFonts w:ascii="Times New Roman" w:hAnsi="Times New Roman"/>
                <w:sz w:val="28"/>
              </w:rPr>
              <w:t>95.4%</w:t>
            </w:r>
          </w:p>
        </w:tc>
        <w:tc>
          <w:tcPr>
            <w:tcW w:w="0" w:type="auto"/>
          </w:tcPr>
          <w:p>
            <w:pPr>
              <w:jc w:val="ctr"/>
            </w:pPr>
            <w:r>
              <w:rPr>
                <w:rFonts w:ascii="Times New Roman" w:hAnsi="Times New Roman"/>
                <w:sz w:val="28"/>
              </w:rPr>
              <w:t>0.969</w:t>
            </w:r>
          </w:p>
        </w:tc>
        <w:tc>
          <w:tcPr>
            <w:tcW w:w="0" w:type="auto"/>
          </w:tcPr>
          <w:p>
            <w:pPr>
              <w:jc w:val="ctr"/>
            </w:pPr>
            <w:r>
              <w:rPr>
                <w:rFonts w:ascii="Times New Roman" w:hAnsi="Times New Roman"/>
                <w:sz w:val="28"/>
              </w:rPr>
              <w:t>0.046</w:t>
            </w:r>
          </w:p>
        </w:tc>
        <w:tc>
          <w:tcPr>
            <w:tcW w:w="0" w:type="auto"/>
          </w:tcPr>
          <w:p>
            <w:pPr>
              <w:jc w:val="ctr"/>
            </w:pPr>
            <w:r>
              <w:rPr>
                <w:rFonts w:ascii="Times New Roman" w:hAnsi="Times New Roman"/>
                <w:sz w:val="28"/>
              </w:rPr>
              <w:t>24</w:t>
            </w:r>
          </w:p>
        </w:tc>
      </w:tr>
      <w:tr>
        <w:tc>
          <w:tcPr>
            <w:tcW w:w="0" w:type="auto"/>
          </w:tcPr>
          <w:p>
            <w:r>
              <w:rPr>
                <w:rFonts w:ascii="Times New Roman" w:hAnsi="Times New Roman"/>
                <w:sz w:val="28"/>
              </w:rPr>
              <w:t>A4: Sequential (BiLSTM)</w:t>
            </w:r>
          </w:p>
        </w:tc>
        <w:tc>
          <w:tcPr>
            <w:tcW w:w="0" w:type="auto"/>
          </w:tcPr>
          <w:p>
            <w:pPr>
              <w:jc w:val="ctr"/>
            </w:pPr>
            <w:r>
              <w:rPr>
                <w:rFonts w:ascii="Times New Roman" w:hAnsi="Times New Roman"/>
                <w:sz w:val="28"/>
              </w:rPr>
              <w:t>0.9844</w:t>
            </w:r>
          </w:p>
        </w:tc>
        <w:tc>
          <w:tcPr>
            <w:tcW w:w="0" w:type="auto"/>
          </w:tcPr>
          <w:p>
            <w:pPr>
              <w:jc w:val="ctr"/>
            </w:pPr>
            <w:r>
              <w:rPr>
                <w:rFonts w:ascii="Times New Roman" w:hAnsi="Times New Roman"/>
                <w:sz w:val="28"/>
              </w:rPr>
              <w:t>94.9%</w:t>
            </w:r>
          </w:p>
        </w:tc>
        <w:tc>
          <w:tcPr>
            <w:tcW w:w="0" w:type="auto"/>
          </w:tcPr>
          <w:p>
            <w:pPr>
              <w:jc w:val="ctr"/>
            </w:pPr>
            <w:r>
              <w:rPr>
                <w:rFonts w:ascii="Times New Roman" w:hAnsi="Times New Roman"/>
                <w:sz w:val="28"/>
              </w:rPr>
              <w:t>0.966</w:t>
            </w:r>
          </w:p>
        </w:tc>
        <w:tc>
          <w:tcPr>
            <w:tcW w:w="0" w:type="auto"/>
          </w:tcPr>
          <w:p>
            <w:pPr>
              <w:jc w:val="ctr"/>
            </w:pPr>
            <w:r>
              <w:rPr>
                <w:rFonts w:ascii="Times New Roman" w:hAnsi="Times New Roman"/>
                <w:sz w:val="28"/>
              </w:rPr>
              <w:t>0.057</w:t>
            </w:r>
          </w:p>
        </w:tc>
        <w:tc>
          <w:tcPr>
            <w:tcW w:w="0" w:type="auto"/>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&lt;url&gt;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&lt;input_dir&gt; &lt;output_dir&gt;</w:t>
      </w:r>
    </w:p>
    <w:p>
      <w:pPr>
        <w:ind w:firstLine="0"/>
        <w:jc w:val="both"/>
      </w:pPr>
      <w:r>
        <w:rPr>
          <w:rFonts w:ascii="Times New Roman" w:hAnsi="Times New Roman"/>
          <w:sz w:val="28"/>
        </w:rPr>
        <w:t xml:space="preserve">4. Запустить полный эксперимент: python train.py --model_type full --batch_size 16 --dataset_root &lt;output_dir&gt;</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модели: python evaluate.py --model_path &lt;checkpoint&gt; --dataset_root &lt;output_dir&gt;</w:t>
      </w:r>
    </w:p>
    <w:p>
      <w:pPr>
        <w:ind w:firstLine="0"/>
        <w:jc w:val="both"/>
      </w:pPr>
      <w:r>
        <w:rPr>
          <w:rFonts w:ascii="Times New Roman" w:hAnsi="Times New Roman"/>
          <w:sz w:val="28"/>
        </w:rPr>
        <w:t xml:space="preserve">7. Оценка: python evaluate.py --checkpoint experiments/best_model.pt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