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высшего образования и науки Российской Федерации</w:t>
      </w:r>
    </w:p>
    <w:p>
      <w:pPr>
        <w:spacing w:after="0"/>
        <w:ind w:firstLine="0"/>
        <w:jc w:val="center"/>
      </w:pPr>
      <w:r>
        <w:rPr>
          <w:rFonts w:ascii="Times New Roman" w:hAnsi="Times New Roman"/>
          <w:b w:val="0"/>
          <w:sz w:val="24"/>
        </w:rPr>
        <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spacing w:before="360"/>
      </w:pPr>
      <w:r>
        <w:rPr>
          <w:rFonts w:ascii="Times New Roman" w:hAnsi="Times New Roman"/>
          <w:sz w:val="24"/>
        </w:rPr>
        <w:t>На правах рукописи</w:t>
      </w:r>
    </w:p>
    <w:p>
      <w:pPr>
        <w:jc w:val="right"/>
        <w:ind w:firstLine="0"/>
        <w:spacing w:before="360"/>
      </w:pPr>
      <w:r>
        <w:rPr>
          <w:rFonts w:ascii="Times New Roman" w:hAnsi="Times New Roman"/>
          <w:sz w:val="24"/>
        </w:rPr>
        <w:t>УДК ______</w:t>
      </w:r>
    </w:p>
    <w:p>
      <w:pPr>
        <w:spacing w:after="0" w:before="360"/>
        <w:ind w:firstLine="0"/>
        <w:jc w:val="center"/>
      </w:pPr>
      <w:r>
        <w:rPr>
          <w:rFonts w:ascii="Times New Roman" w:hAnsi="Times New Roman"/>
          <w:b/>
          <w:sz w:val="28"/>
        </w:rPr>
        <w:t>Выпускная квалификационная работа магистра</w:t>
      </w:r>
    </w:p>
    <w:p>
      <w:pPr>
        <w:spacing w:after="0"/>
        <w:ind w:firstLine="0"/>
        <w:jc w:val="center"/>
      </w:pPr>
      <w:r>
        <w:rPr>
          <w:rFonts w:ascii="Times New Roman" w:hAnsi="Times New Roman"/>
          <w:b/>
          <w:sz w:val="28"/>
        </w:rPr>
        <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spacing w:before="480"/>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74 с., 10 рис., 10 табл., 42 источника, 4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[24]),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[28]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[28],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[41] (25.6M). XceptionNet является стандартом де-факто после работы Рёсслера и соавт. [28],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[28,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[38],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[31])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[32],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[33])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[34],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[35]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[36],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[37],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[38],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[3]</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CNN+LSTM [16]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[16]</w:t>
            </w:r>
          </w:p>
        </w:tc>
      </w:tr>
      <w:tr>
        <w:tc>
          <w:tcPr>
            <w:tcW w:type="dxa" w:w="1336"/>
          </w:tcPr>
          <w:p>
            <w:pPr>
              <w:spacing w:after="0"/>
              <w:ind w:firstLine="0"/>
            </w:pPr>
            <w:r/>
            <w:r>
              <w:rPr>
                <w:rFonts w:ascii="Times New Roman" w:hAnsi="Times New Roman"/>
                <w:b w:val="0"/>
                <w:sz w:val="24"/>
              </w:rPr>
              <w:t>AltFreezing [24]</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[24]</w:t>
            </w:r>
          </w:p>
        </w:tc>
      </w:tr>
      <w:tr>
        <w:tc>
          <w:tcPr>
            <w:tcW w:type="dxa" w:w="1336"/>
          </w:tcPr>
          <w:p>
            <w:pPr>
              <w:spacing w:after="0"/>
              <w:ind w:firstLine="0"/>
            </w:pPr>
            <w:r/>
            <w:r>
              <w:rPr>
                <w:rFonts w:ascii="Times New Roman" w:hAnsi="Times New Roman"/>
                <w:b w:val="0"/>
                <w:sz w:val="24"/>
              </w:rPr>
              <w:t>TALL [28]</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[28]</w:t>
            </w:r>
          </w:p>
        </w:tc>
      </w:tr>
      <w:tr>
        <w:tc>
          <w:tcPr>
            <w:tcW w:type="dxa" w:w="1336"/>
          </w:tcPr>
          <w:p>
            <w:pPr>
              <w:spacing w:after="0"/>
              <w:ind w:firstLine="0"/>
            </w:pPr>
            <w:r/>
            <w:r>
              <w:rPr>
                <w:rFonts w:ascii="Times New Roman" w:hAnsi="Times New Roman"/>
                <w:b w:val="0"/>
                <w:sz w:val="24"/>
              </w:rPr>
              <w:t>Style Latent Flows [29]</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[40]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[42]: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[39]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(5 эпох frozen, затем fine-tune 2 блока)</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[37]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[43],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Следует указать, что преимущество dual-path архитектуры перед spatial-only ожидается при cross-dataset evaluation, где пространственные артефакты менее стабильны.</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Pr>
        <w:jc w:val="center"/>
      </w:pPr>
      <w:r>
        <w:rPr>
          <w:sz w:val="22"/>
        </w:rPr>
        <w:t xml:space="preserve">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 xml:space="preserve">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(3431 видео, 363 real, 3068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превышает типичные значения из литературы (15–25% для CNN-детекторов [25]), что объясняется различием доменов и отсутствием специализированных методов повышения обобщения.</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92.5%</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92.7%</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ind w:firstLine="709"/>
        <w:jc w:val="both"/>
      </w:pPr>
      <w:r>
        <w:rPr>
          <w:rFonts w:ascii="Times New Roman" w:hAnsi="Times New Roman"/>
          <w:sz w:val="28"/>
        </w:rPr>
        <w:t>Ложноположительные детекции (FP) представляют случаи, в которых реальные видео ошибочно классифицированы как манипулированные. Анализ FP показывает, что ложные срабатывания преимущественно возникают на видео с нестандартным освещением, частичным перекрытием лица и резкими движениями камеры, которые порождают межкадровые артефакты, схожие с артефактами deepfake.</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p>
      <w:pPr>
        <w:ind w:firstLine="0"/>
        <w:jc w:val="both"/>
      </w:pPr>
      <w:r>
        <w:rPr>
          <w:rFonts w:ascii="Times New Roman" w:hAnsi="Times New Roman"/>
          <w:sz w:val="28"/>
        </w:rPr>
        <w:t xml:space="preserve">ПРИЛОЖЕНИЕ Г. Ключевые фрагменты исходного кода</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Листинг Г.1 – Класс AdaptiveWeightedFusion (fusion механизм)</w:t>
      </w:r>
    </w:p>
    <w:p>
      <w:pPr>
        <w:ind w:firstLine="0"/>
        <w:jc w:val="both"/>
      </w:pPr>
      <w:r>
        <w:rPr>
          <w:rFonts w:ascii="Times New Roman" w:hAnsi="Times New Roman"/>
          <w:sz w:val="28"/>
        </w:rPr>
        <w:t xml:space="preserve">class AdaptiveWeightedFusion(nn.Module):
    def __init__(self, input_dim: int):
        super().__init__()
        self.weight_layer = nn.Linear(input_dim * 2, 2)
    def forward(self, h_s, h_t):
        concat = torch.cat([h_s, h_t], dim=-1)
        alpha = F.softmax(self.weight_layer(concat), dim=-1)
        h_fused = alpha[:, 0:1] * h_s + alpha[:, 1:2] * h_t
        return h_fused, alpha</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Листинг Г.2 – Вычисление разностей кадров (frame differences)</w:t>
      </w:r>
    </w:p>
    <w:p>
      <w:pPr>
        <w:ind w:firstLine="0"/>
        <w:jc w:val="both"/>
      </w:pPr>
      <w:r>
        <w:rPr>
          <w:rFonts w:ascii="Times New Roman" w:hAnsi="Times New Roman"/>
          <w:sz w:val="28"/>
        </w:rPr>
        <w:t xml:space="preserve">def compute_frame_differences(frames):
    # frames: (T, C, H, W)
    diffs = frames[1:] - frames[:-1]  # (T-1, C, H, W)
    mean = diffs.mean(dim=[0, 2, 3], keepdim=True)
    std = diffs.std(dim=[0, 2, 3], keepdim=True) + 1e-6
    return (diffs - mean) / std</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Листинг Г.3 – Temporal Transformer Encoder</w:t>
      </w:r>
    </w:p>
    <w:p>
      <w:pPr>
        <w:ind w:firstLine="0"/>
        <w:jc w:val="both"/>
      </w:pPr>
      <w:r>
        <w:rPr>
          <w:rFonts w:ascii="Times New Roman" w:hAnsi="Times New Roman"/>
          <w:sz w:val="28"/>
        </w:rPr>
        <w:t xml:space="preserve">class TemporalTransformerEncoder(nn.Module):
    def __init__(self, d_model=256, nhead=4, num_layers=2):
        super().__init__()
        self.cls_token = nn.Parameter(torch.randn(1, 1, d_model))
        self.pos_enc = nn.Parameter(torch.randn(1, 16, d_model))
        encoder_layer = nn.TransformerEncoderLayer(
            d_model=d_model, nhead=nhead, dim_feedforward=1024,
            dropout=0.1, batch_first=True)
        self.encoder = nn.TransformerEncoder(
            encoder_layer, num_layers=num_layers)
    def forward(self, x):
        B = x.size(0)
        cls = self.cls_token.expand(B, -1, -1)
        x = torch.cat([cls, x], dim=1)
        x = x + self.pos_enc[:, :x.size(1), :]
        x = self.encoder(x)
        return x[:, 0]  # CLS token output</w:t>
      </w:r>
    </w:p>
    <w:p>
      <w:pPr>
        <w:ind w:firstLine="0"/>
        <w:jc w:val="both"/>
      </w:pPr>
      <w:r>
        <w:rPr>
          <w:rFonts w:ascii="Times New Roman" w:hAnsi="Times New Roman"/>
          <w:sz w:val="28"/>
        </w:rPr>
        <w:t xml:space="preserve"/>
      </w:r>
    </w:p>
    <w:sectPr w:rsidR="00FC693F" w:rsidRPr="0006063C" w:rsidSect="00034616">
      <w:footerReference w:type="default" r:id="rId9"/>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1" Type="http://schemas.openxmlformats.org/officeDocument/2006/relationships/image" Target="media/fig_01.png" /><Relationship Id="rId102" Type="http://schemas.openxmlformats.org/officeDocument/2006/relationships/image" Target="media/fig_02.png" /><Relationship Id="rId103" Type="http://schemas.openxmlformats.org/officeDocument/2006/relationships/image" Target="media/fig_03.png" /><Relationship Id="rId104" Type="http://schemas.openxmlformats.org/officeDocument/2006/relationships/image" Target="media/fig_04.png" /><Relationship Id="rId105" Type="http://schemas.openxmlformats.org/officeDocument/2006/relationships/image" Target="media/fig_05.png" /><Relationship Id="rId106" Type="http://schemas.openxmlformats.org/officeDocument/2006/relationships/image" Target="media/fig_06.png" /><Relationship Id="rId107" Type="http://schemas.openxmlformats.org/officeDocument/2006/relationships/image" Target="media/fig_07.png" /><Relationship Id="rId108" Type="http://schemas.openxmlformats.org/officeDocument/2006/relationships/image" Target="media/fig_08.png" /><Relationship Id="rId109" Type="http://schemas.openxmlformats.org/officeDocument/2006/relationships/image" Target="media/fig_09.png" /><Relationship Id="rId110" Type="http://schemas.openxmlformats.org/officeDocument/2006/relationships/image" Target="media/fig_10.png" /><Relationship Id="rId111" Type="http://schemas.openxmlformats.org/officeDocument/2006/relationships/image" Target="media/fig_arch.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